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ink/ink1.xml" ContentType="application/inkml+xml"/>
  <Override PartName="/word/ink/ink2.xml" ContentType="application/inkml+xml"/>
  <Override PartName="/word/ink/ink3.xml" ContentType="application/inkml+xml"/>
  <Override PartName="/word/ink/ink4.xml" ContentType="application/inkml+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4697AC">
      <w:pPr>
        <w:adjustRightInd w:val="0"/>
        <w:spacing w:line="288" w:lineRule="auto"/>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drawing>
          <wp:inline distT="0" distB="0" distL="114300" distR="114300">
            <wp:extent cx="5608955" cy="7924800"/>
            <wp:effectExtent l="0" t="0" r="10795" b="0"/>
            <wp:docPr id="45" name="图片 45" descr="1 首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1 首页"/>
                    <pic:cNvPicPr>
                      <a:picLocks noChangeAspect="1"/>
                    </pic:cNvPicPr>
                  </pic:nvPicPr>
                  <pic:blipFill>
                    <a:blip r:embed="rId10"/>
                    <a:stretch>
                      <a:fillRect/>
                    </a:stretch>
                  </pic:blipFill>
                  <pic:spPr>
                    <a:xfrm>
                      <a:off x="0" y="0"/>
                      <a:ext cx="5608955" cy="7924800"/>
                    </a:xfrm>
                    <a:prstGeom prst="rect">
                      <a:avLst/>
                    </a:prstGeom>
                  </pic:spPr>
                </pic:pic>
              </a:graphicData>
            </a:graphic>
          </wp:inline>
        </w:drawing>
      </w:r>
    </w:p>
    <w:p w14:paraId="7CBC069B">
      <w:pPr>
        <w:spacing w:line="240" w:lineRule="auto"/>
        <w:jc w:val="center"/>
        <w:rPr>
          <w:rFonts w:hint="default" w:ascii="Times New Roman" w:hAnsi="Times New Roman" w:cs="Times New Roman"/>
          <w:b/>
          <w:bCs/>
          <w:color w:val="auto"/>
          <w:sz w:val="36"/>
          <w:szCs w:val="44"/>
          <w:highlight w:val="none"/>
          <w:lang w:val="en-US" w:eastAsia="zh-CN"/>
        </w:rPr>
        <w:sectPr>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0" w:num="1"/>
          <w:docGrid w:linePitch="312" w:charSpace="0"/>
        </w:sectPr>
      </w:pPr>
    </w:p>
    <w:p w14:paraId="316BEF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bCs/>
          <w:color w:val="auto"/>
          <w:sz w:val="32"/>
          <w:szCs w:val="40"/>
          <w:highlight w:val="none"/>
        </w:rPr>
      </w:pPr>
      <w:r>
        <w:rPr>
          <w:rFonts w:hint="default" w:ascii="Times New Roman" w:hAnsi="Times New Roman" w:cs="Times New Roman"/>
          <w:b/>
          <w:bCs/>
          <w:color w:val="auto"/>
          <w:sz w:val="32"/>
          <w:szCs w:val="40"/>
          <w:highlight w:val="none"/>
        </w:rPr>
        <w:t>目</w:t>
      </w:r>
      <w:r>
        <w:rPr>
          <w:rFonts w:hint="default" w:ascii="Times New Roman" w:hAnsi="Times New Roman" w:cs="Times New Roman"/>
          <w:b/>
          <w:bCs/>
          <w:color w:val="auto"/>
          <w:sz w:val="32"/>
          <w:szCs w:val="40"/>
          <w:highlight w:val="none"/>
          <w:lang w:val="en-US" w:eastAsia="zh-CN"/>
        </w:rPr>
        <w:t xml:space="preserve">  </w:t>
      </w:r>
      <w:r>
        <w:rPr>
          <w:rFonts w:hint="default" w:ascii="Times New Roman" w:hAnsi="Times New Roman" w:cs="Times New Roman"/>
          <w:b/>
          <w:bCs/>
          <w:color w:val="auto"/>
          <w:sz w:val="32"/>
          <w:szCs w:val="40"/>
          <w:highlight w:val="none"/>
        </w:rPr>
        <w:t>录</w:t>
      </w:r>
    </w:p>
    <w:p w14:paraId="17ECCF79">
      <w:pPr>
        <w:pStyle w:val="34"/>
        <w:tabs>
          <w:tab w:val="right" w:leader="dot" w:pos="8312"/>
        </w:tabs>
        <w:rPr>
          <w:color w:val="auto"/>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TOC \o "1-1" \h \u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_Toc1176 </w:instrText>
      </w:r>
      <w:r>
        <w:rPr>
          <w:rFonts w:hint="default" w:ascii="Times New Roman" w:hAnsi="Times New Roman" w:cs="Times New Roman"/>
          <w:color w:val="auto"/>
          <w:highlight w:val="none"/>
        </w:rPr>
        <w:fldChar w:fldCharType="separate"/>
      </w:r>
      <w:r>
        <w:rPr>
          <w:rFonts w:hint="default" w:ascii="Times New Roman" w:hAnsi="Times New Roman" w:cs="Times New Roman"/>
          <w:bCs/>
          <w:color w:val="auto"/>
          <w:szCs w:val="30"/>
          <w:highlight w:val="none"/>
        </w:rPr>
        <w:t>一、建设项目基本情况</w:t>
      </w:r>
      <w:r>
        <w:rPr>
          <w:color w:val="auto"/>
        </w:rPr>
        <w:tab/>
      </w:r>
      <w:r>
        <w:rPr>
          <w:color w:val="auto"/>
        </w:rPr>
        <w:fldChar w:fldCharType="begin"/>
      </w:r>
      <w:r>
        <w:rPr>
          <w:color w:val="auto"/>
        </w:rPr>
        <w:instrText xml:space="preserve"> PAGEREF _Toc1176 \h </w:instrText>
      </w:r>
      <w:r>
        <w:rPr>
          <w:color w:val="auto"/>
        </w:rPr>
        <w:fldChar w:fldCharType="separate"/>
      </w:r>
      <w:r>
        <w:rPr>
          <w:color w:val="auto"/>
        </w:rPr>
        <w:t>1</w:t>
      </w:r>
      <w:r>
        <w:rPr>
          <w:color w:val="auto"/>
        </w:rPr>
        <w:fldChar w:fldCharType="end"/>
      </w:r>
      <w:r>
        <w:rPr>
          <w:rFonts w:hint="default" w:ascii="Times New Roman" w:hAnsi="Times New Roman" w:cs="Times New Roman"/>
          <w:color w:val="auto"/>
          <w:highlight w:val="none"/>
        </w:rPr>
        <w:fldChar w:fldCharType="end"/>
      </w:r>
    </w:p>
    <w:p w14:paraId="74E366E7">
      <w:pPr>
        <w:pStyle w:val="34"/>
        <w:tabs>
          <w:tab w:val="right" w:leader="dot" w:pos="8312"/>
        </w:tabs>
        <w:rPr>
          <w:color w:val="auto"/>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_Toc29933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二、建设项目工程分析</w:t>
      </w:r>
      <w:r>
        <w:rPr>
          <w:color w:val="auto"/>
        </w:rPr>
        <w:tab/>
      </w:r>
      <w:r>
        <w:rPr>
          <w:color w:val="auto"/>
        </w:rPr>
        <w:fldChar w:fldCharType="begin"/>
      </w:r>
      <w:r>
        <w:rPr>
          <w:color w:val="auto"/>
        </w:rPr>
        <w:instrText xml:space="preserve"> PAGEREF _Toc29933 \h </w:instrText>
      </w:r>
      <w:r>
        <w:rPr>
          <w:color w:val="auto"/>
        </w:rPr>
        <w:fldChar w:fldCharType="separate"/>
      </w:r>
      <w:r>
        <w:rPr>
          <w:color w:val="auto"/>
        </w:rPr>
        <w:t>24</w:t>
      </w:r>
      <w:r>
        <w:rPr>
          <w:color w:val="auto"/>
        </w:rPr>
        <w:fldChar w:fldCharType="end"/>
      </w:r>
      <w:r>
        <w:rPr>
          <w:rFonts w:hint="default" w:ascii="Times New Roman" w:hAnsi="Times New Roman" w:cs="Times New Roman"/>
          <w:color w:val="auto"/>
          <w:highlight w:val="none"/>
        </w:rPr>
        <w:fldChar w:fldCharType="end"/>
      </w:r>
    </w:p>
    <w:p w14:paraId="3E7FE679">
      <w:pPr>
        <w:pStyle w:val="34"/>
        <w:tabs>
          <w:tab w:val="right" w:leader="dot" w:pos="8312"/>
        </w:tabs>
        <w:rPr>
          <w:color w:val="auto"/>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_Toc19392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三、区域环境质量现状、环境保护目标及评价标准</w:t>
      </w:r>
      <w:r>
        <w:rPr>
          <w:color w:val="auto"/>
        </w:rPr>
        <w:tab/>
      </w:r>
      <w:r>
        <w:rPr>
          <w:color w:val="auto"/>
        </w:rPr>
        <w:fldChar w:fldCharType="begin"/>
      </w:r>
      <w:r>
        <w:rPr>
          <w:color w:val="auto"/>
        </w:rPr>
        <w:instrText xml:space="preserve"> PAGEREF _Toc19392 \h </w:instrText>
      </w:r>
      <w:r>
        <w:rPr>
          <w:color w:val="auto"/>
        </w:rPr>
        <w:fldChar w:fldCharType="separate"/>
      </w:r>
      <w:r>
        <w:rPr>
          <w:color w:val="auto"/>
        </w:rPr>
        <w:t>45</w:t>
      </w:r>
      <w:r>
        <w:rPr>
          <w:color w:val="auto"/>
        </w:rPr>
        <w:fldChar w:fldCharType="end"/>
      </w:r>
      <w:r>
        <w:rPr>
          <w:rFonts w:hint="default" w:ascii="Times New Roman" w:hAnsi="Times New Roman" w:cs="Times New Roman"/>
          <w:color w:val="auto"/>
          <w:highlight w:val="none"/>
        </w:rPr>
        <w:fldChar w:fldCharType="end"/>
      </w:r>
    </w:p>
    <w:p w14:paraId="2F5FFEDF">
      <w:pPr>
        <w:pStyle w:val="34"/>
        <w:tabs>
          <w:tab w:val="right" w:leader="dot" w:pos="8312"/>
        </w:tabs>
        <w:rPr>
          <w:color w:val="auto"/>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_Toc27519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四、主要环境影响和保护措施</w:t>
      </w:r>
      <w:r>
        <w:rPr>
          <w:color w:val="auto"/>
        </w:rPr>
        <w:tab/>
      </w:r>
      <w:r>
        <w:rPr>
          <w:color w:val="auto"/>
        </w:rPr>
        <w:fldChar w:fldCharType="begin"/>
      </w:r>
      <w:r>
        <w:rPr>
          <w:color w:val="auto"/>
        </w:rPr>
        <w:instrText xml:space="preserve"> PAGEREF _Toc27519 \h </w:instrText>
      </w:r>
      <w:r>
        <w:rPr>
          <w:color w:val="auto"/>
        </w:rPr>
        <w:fldChar w:fldCharType="separate"/>
      </w:r>
      <w:r>
        <w:rPr>
          <w:color w:val="auto"/>
        </w:rPr>
        <w:t>51</w:t>
      </w:r>
      <w:r>
        <w:rPr>
          <w:color w:val="auto"/>
        </w:rPr>
        <w:fldChar w:fldCharType="end"/>
      </w:r>
      <w:r>
        <w:rPr>
          <w:rFonts w:hint="default" w:ascii="Times New Roman" w:hAnsi="Times New Roman" w:cs="Times New Roman"/>
          <w:color w:val="auto"/>
          <w:highlight w:val="none"/>
        </w:rPr>
        <w:fldChar w:fldCharType="end"/>
      </w:r>
    </w:p>
    <w:p w14:paraId="69DE901E">
      <w:pPr>
        <w:pStyle w:val="34"/>
        <w:tabs>
          <w:tab w:val="right" w:leader="dot" w:pos="8312"/>
        </w:tabs>
        <w:rPr>
          <w:color w:val="auto"/>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_Toc3213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五、环境保护措施监督检查清单</w:t>
      </w:r>
      <w:r>
        <w:rPr>
          <w:color w:val="auto"/>
        </w:rPr>
        <w:tab/>
      </w:r>
      <w:r>
        <w:rPr>
          <w:color w:val="auto"/>
        </w:rPr>
        <w:fldChar w:fldCharType="begin"/>
      </w:r>
      <w:r>
        <w:rPr>
          <w:color w:val="auto"/>
        </w:rPr>
        <w:instrText xml:space="preserve"> PAGEREF _Toc3213 \h </w:instrText>
      </w:r>
      <w:r>
        <w:rPr>
          <w:color w:val="auto"/>
        </w:rPr>
        <w:fldChar w:fldCharType="separate"/>
      </w:r>
      <w:r>
        <w:rPr>
          <w:color w:val="auto"/>
        </w:rPr>
        <w:t>76</w:t>
      </w:r>
      <w:r>
        <w:rPr>
          <w:color w:val="auto"/>
        </w:rPr>
        <w:fldChar w:fldCharType="end"/>
      </w:r>
      <w:r>
        <w:rPr>
          <w:rFonts w:hint="default" w:ascii="Times New Roman" w:hAnsi="Times New Roman" w:cs="Times New Roman"/>
          <w:color w:val="auto"/>
          <w:highlight w:val="none"/>
        </w:rPr>
        <w:fldChar w:fldCharType="end"/>
      </w:r>
    </w:p>
    <w:p w14:paraId="54AAACF6">
      <w:pPr>
        <w:pStyle w:val="34"/>
        <w:tabs>
          <w:tab w:val="right" w:leader="dot" w:pos="8312"/>
        </w:tabs>
        <w:rPr>
          <w:color w:val="auto"/>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_Toc8623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六、结论</w:t>
      </w:r>
      <w:r>
        <w:rPr>
          <w:color w:val="auto"/>
        </w:rPr>
        <w:tab/>
      </w:r>
      <w:r>
        <w:rPr>
          <w:color w:val="auto"/>
        </w:rPr>
        <w:fldChar w:fldCharType="begin"/>
      </w:r>
      <w:r>
        <w:rPr>
          <w:color w:val="auto"/>
        </w:rPr>
        <w:instrText xml:space="preserve"> PAGEREF _Toc8623 \h </w:instrText>
      </w:r>
      <w:r>
        <w:rPr>
          <w:color w:val="auto"/>
        </w:rPr>
        <w:fldChar w:fldCharType="separate"/>
      </w:r>
      <w:r>
        <w:rPr>
          <w:color w:val="auto"/>
        </w:rPr>
        <w:t>81</w:t>
      </w:r>
      <w:r>
        <w:rPr>
          <w:color w:val="auto"/>
        </w:rPr>
        <w:fldChar w:fldCharType="end"/>
      </w:r>
      <w:r>
        <w:rPr>
          <w:rFonts w:hint="default" w:ascii="Times New Roman" w:hAnsi="Times New Roman" w:cs="Times New Roman"/>
          <w:color w:val="auto"/>
          <w:highlight w:val="none"/>
        </w:rPr>
        <w:fldChar w:fldCharType="end"/>
      </w:r>
    </w:p>
    <w:p w14:paraId="2C0CBA24">
      <w:pPr>
        <w:pStyle w:val="34"/>
        <w:tabs>
          <w:tab w:val="right" w:leader="dot" w:pos="8312"/>
        </w:tabs>
        <w:rPr>
          <w:color w:val="auto"/>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_Toc19930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color w:val="auto"/>
          <w:szCs w:val="28"/>
          <w:highlight w:val="none"/>
          <w:lang w:val="en-US" w:eastAsia="zh-CN"/>
        </w:rPr>
        <w:t>附表</w:t>
      </w:r>
      <w:r>
        <w:rPr>
          <w:color w:val="auto"/>
        </w:rPr>
        <w:tab/>
      </w:r>
      <w:r>
        <w:rPr>
          <w:color w:val="auto"/>
        </w:rPr>
        <w:fldChar w:fldCharType="begin"/>
      </w:r>
      <w:r>
        <w:rPr>
          <w:color w:val="auto"/>
        </w:rPr>
        <w:instrText xml:space="preserve"> PAGEREF _Toc19930 \h </w:instrText>
      </w:r>
      <w:r>
        <w:rPr>
          <w:color w:val="auto"/>
        </w:rPr>
        <w:fldChar w:fldCharType="separate"/>
      </w:r>
      <w:r>
        <w:rPr>
          <w:color w:val="auto"/>
        </w:rPr>
        <w:t>82</w:t>
      </w:r>
      <w:r>
        <w:rPr>
          <w:color w:val="auto"/>
        </w:rPr>
        <w:fldChar w:fldCharType="end"/>
      </w:r>
      <w:r>
        <w:rPr>
          <w:rFonts w:hint="default" w:ascii="Times New Roman" w:hAnsi="Times New Roman" w:cs="Times New Roman"/>
          <w:color w:val="auto"/>
          <w:highlight w:val="none"/>
        </w:rPr>
        <w:fldChar w:fldCharType="end"/>
      </w:r>
    </w:p>
    <w:p w14:paraId="4AC26B19">
      <w:pPr>
        <w:pStyle w:val="34"/>
        <w:tabs>
          <w:tab w:val="right" w:leader="dot" w:pos="8312"/>
        </w:tabs>
        <w:rPr>
          <w:color w:val="auto"/>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_Toc18774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bCs/>
          <w:color w:val="auto"/>
          <w:kern w:val="0"/>
          <w:szCs w:val="24"/>
          <w:highlight w:val="none"/>
          <w:lang w:val="en-US" w:eastAsia="zh-CN" w:bidi="ar-SA"/>
        </w:rPr>
        <w:t xml:space="preserve">附图1 </w:t>
      </w:r>
      <w:r>
        <w:rPr>
          <w:rFonts w:hint="eastAsia" w:cs="Times New Roman"/>
          <w:bCs/>
          <w:color w:val="auto"/>
          <w:kern w:val="0"/>
          <w:szCs w:val="24"/>
          <w:highlight w:val="none"/>
          <w:lang w:val="en-US" w:eastAsia="zh-CN" w:bidi="ar-SA"/>
        </w:rPr>
        <w:t>本</w:t>
      </w:r>
      <w:r>
        <w:rPr>
          <w:rFonts w:hint="default" w:ascii="Times New Roman" w:hAnsi="Times New Roman" w:eastAsia="宋体" w:cs="Times New Roman"/>
          <w:bCs/>
          <w:color w:val="auto"/>
          <w:szCs w:val="24"/>
          <w:highlight w:val="none"/>
        </w:rPr>
        <w:t>项目地理位置图</w:t>
      </w:r>
      <w:r>
        <w:rPr>
          <w:color w:val="auto"/>
        </w:rPr>
        <w:tab/>
      </w:r>
      <w:r>
        <w:rPr>
          <w:color w:val="auto"/>
        </w:rPr>
        <w:fldChar w:fldCharType="begin"/>
      </w:r>
      <w:r>
        <w:rPr>
          <w:color w:val="auto"/>
        </w:rPr>
        <w:instrText xml:space="preserve"> PAGEREF _Toc18774 \h </w:instrText>
      </w:r>
      <w:r>
        <w:rPr>
          <w:color w:val="auto"/>
        </w:rPr>
        <w:fldChar w:fldCharType="separate"/>
      </w:r>
      <w:r>
        <w:rPr>
          <w:color w:val="auto"/>
        </w:rPr>
        <w:t>83</w:t>
      </w:r>
      <w:r>
        <w:rPr>
          <w:color w:val="auto"/>
        </w:rPr>
        <w:fldChar w:fldCharType="end"/>
      </w:r>
      <w:r>
        <w:rPr>
          <w:rFonts w:hint="default" w:ascii="Times New Roman" w:hAnsi="Times New Roman" w:cs="Times New Roman"/>
          <w:color w:val="auto"/>
          <w:highlight w:val="none"/>
        </w:rPr>
        <w:fldChar w:fldCharType="end"/>
      </w:r>
    </w:p>
    <w:p w14:paraId="41043870">
      <w:pPr>
        <w:pStyle w:val="34"/>
        <w:tabs>
          <w:tab w:val="right" w:leader="dot" w:pos="8312"/>
        </w:tabs>
        <w:rPr>
          <w:color w:val="auto"/>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_Toc20186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bCs/>
          <w:color w:val="auto"/>
          <w:kern w:val="0"/>
          <w:szCs w:val="24"/>
          <w:highlight w:val="none"/>
          <w:lang w:val="en-US" w:eastAsia="zh-CN" w:bidi="ar-SA"/>
        </w:rPr>
        <w:t xml:space="preserve">附图2 </w:t>
      </w:r>
      <w:r>
        <w:rPr>
          <w:rFonts w:hint="default" w:ascii="Times New Roman" w:hAnsi="Times New Roman" w:eastAsia="宋体" w:cs="Times New Roman"/>
          <w:bCs/>
          <w:color w:val="auto"/>
          <w:szCs w:val="24"/>
          <w:highlight w:val="none"/>
        </w:rPr>
        <w:t>项目四至情况</w:t>
      </w:r>
      <w:r>
        <w:rPr>
          <w:rFonts w:hint="default" w:ascii="Times New Roman" w:hAnsi="Times New Roman" w:cs="Times New Roman"/>
          <w:bCs/>
          <w:color w:val="auto"/>
          <w:szCs w:val="24"/>
          <w:highlight w:val="none"/>
          <w:lang w:val="en-US" w:eastAsia="zh-CN"/>
        </w:rPr>
        <w:t>卫星图</w:t>
      </w:r>
      <w:r>
        <w:rPr>
          <w:color w:val="auto"/>
        </w:rPr>
        <w:tab/>
      </w:r>
      <w:r>
        <w:rPr>
          <w:color w:val="auto"/>
        </w:rPr>
        <w:fldChar w:fldCharType="begin"/>
      </w:r>
      <w:r>
        <w:rPr>
          <w:color w:val="auto"/>
        </w:rPr>
        <w:instrText xml:space="preserve"> PAGEREF _Toc20186 \h </w:instrText>
      </w:r>
      <w:r>
        <w:rPr>
          <w:color w:val="auto"/>
        </w:rPr>
        <w:fldChar w:fldCharType="separate"/>
      </w:r>
      <w:r>
        <w:rPr>
          <w:color w:val="auto"/>
        </w:rPr>
        <w:t>84</w:t>
      </w:r>
      <w:r>
        <w:rPr>
          <w:color w:val="auto"/>
        </w:rPr>
        <w:fldChar w:fldCharType="end"/>
      </w:r>
      <w:r>
        <w:rPr>
          <w:rFonts w:hint="default" w:ascii="Times New Roman" w:hAnsi="Times New Roman" w:cs="Times New Roman"/>
          <w:color w:val="auto"/>
          <w:highlight w:val="none"/>
        </w:rPr>
        <w:fldChar w:fldCharType="end"/>
      </w:r>
    </w:p>
    <w:p w14:paraId="07DE0370">
      <w:pPr>
        <w:pStyle w:val="34"/>
        <w:tabs>
          <w:tab w:val="right" w:leader="dot" w:pos="8312"/>
        </w:tabs>
        <w:rPr>
          <w:color w:val="auto"/>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_Toc11926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bCs/>
          <w:color w:val="auto"/>
          <w:kern w:val="0"/>
          <w:szCs w:val="24"/>
          <w:highlight w:val="none"/>
          <w:lang w:val="en-US" w:eastAsia="zh-CN" w:bidi="ar-SA"/>
        </w:rPr>
        <w:t>附图3</w:t>
      </w:r>
      <w:r>
        <w:rPr>
          <w:rFonts w:hint="default" w:ascii="Times New Roman" w:hAnsi="Times New Roman" w:eastAsia="宋体" w:cs="Times New Roman"/>
          <w:bCs/>
          <w:color w:val="auto"/>
          <w:szCs w:val="24"/>
          <w:highlight w:val="none"/>
        </w:rPr>
        <w:t>平面布置图</w:t>
      </w:r>
      <w:r>
        <w:rPr>
          <w:color w:val="auto"/>
        </w:rPr>
        <w:tab/>
      </w:r>
      <w:r>
        <w:rPr>
          <w:color w:val="auto"/>
        </w:rPr>
        <w:fldChar w:fldCharType="begin"/>
      </w:r>
      <w:r>
        <w:rPr>
          <w:color w:val="auto"/>
        </w:rPr>
        <w:instrText xml:space="preserve"> PAGEREF _Toc11926 \h </w:instrText>
      </w:r>
      <w:r>
        <w:rPr>
          <w:color w:val="auto"/>
        </w:rPr>
        <w:fldChar w:fldCharType="separate"/>
      </w:r>
      <w:r>
        <w:rPr>
          <w:color w:val="auto"/>
        </w:rPr>
        <w:t>85</w:t>
      </w:r>
      <w:r>
        <w:rPr>
          <w:color w:val="auto"/>
        </w:rPr>
        <w:fldChar w:fldCharType="end"/>
      </w:r>
      <w:r>
        <w:rPr>
          <w:rFonts w:hint="default" w:ascii="Times New Roman" w:hAnsi="Times New Roman" w:cs="Times New Roman"/>
          <w:color w:val="auto"/>
          <w:highlight w:val="none"/>
        </w:rPr>
        <w:fldChar w:fldCharType="end"/>
      </w:r>
    </w:p>
    <w:p w14:paraId="3C44B4AB">
      <w:pPr>
        <w:pStyle w:val="34"/>
        <w:tabs>
          <w:tab w:val="right" w:leader="dot" w:pos="8312"/>
        </w:tabs>
        <w:rPr>
          <w:color w:val="auto"/>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_Toc30205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bCs/>
          <w:color w:val="auto"/>
          <w:kern w:val="0"/>
          <w:szCs w:val="24"/>
          <w:highlight w:val="none"/>
          <w:lang w:val="en-US" w:eastAsia="zh-CN" w:bidi="ar-SA"/>
        </w:rPr>
        <w:t xml:space="preserve">附图4 </w:t>
      </w:r>
      <w:r>
        <w:rPr>
          <w:rFonts w:hint="default" w:ascii="Times New Roman" w:hAnsi="Times New Roman" w:eastAsia="宋体" w:cs="Times New Roman"/>
          <w:bCs/>
          <w:color w:val="auto"/>
          <w:szCs w:val="24"/>
          <w:highlight w:val="none"/>
          <w:lang w:eastAsia="zh-CN"/>
        </w:rPr>
        <w:t>环境保护目标分布图</w:t>
      </w:r>
      <w:r>
        <w:rPr>
          <w:color w:val="auto"/>
        </w:rPr>
        <w:tab/>
      </w:r>
      <w:r>
        <w:rPr>
          <w:color w:val="auto"/>
        </w:rPr>
        <w:fldChar w:fldCharType="begin"/>
      </w:r>
      <w:r>
        <w:rPr>
          <w:color w:val="auto"/>
        </w:rPr>
        <w:instrText xml:space="preserve"> PAGEREF _Toc30205 \h </w:instrText>
      </w:r>
      <w:r>
        <w:rPr>
          <w:color w:val="auto"/>
        </w:rPr>
        <w:fldChar w:fldCharType="separate"/>
      </w:r>
      <w:r>
        <w:rPr>
          <w:color w:val="auto"/>
        </w:rPr>
        <w:t>86</w:t>
      </w:r>
      <w:r>
        <w:rPr>
          <w:color w:val="auto"/>
        </w:rPr>
        <w:fldChar w:fldCharType="end"/>
      </w:r>
      <w:r>
        <w:rPr>
          <w:rFonts w:hint="default" w:ascii="Times New Roman" w:hAnsi="Times New Roman" w:cs="Times New Roman"/>
          <w:color w:val="auto"/>
          <w:highlight w:val="none"/>
        </w:rPr>
        <w:fldChar w:fldCharType="end"/>
      </w:r>
    </w:p>
    <w:p w14:paraId="754134E1">
      <w:pPr>
        <w:pStyle w:val="34"/>
        <w:tabs>
          <w:tab w:val="right" w:leader="dot" w:pos="8312"/>
        </w:tabs>
        <w:rPr>
          <w:color w:val="auto"/>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_Toc6139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bCs/>
          <w:color w:val="auto"/>
          <w:kern w:val="0"/>
          <w:szCs w:val="24"/>
          <w:highlight w:val="none"/>
          <w:lang w:val="en-US" w:eastAsia="zh-CN" w:bidi="ar-SA"/>
        </w:rPr>
        <w:t xml:space="preserve">附图5 </w:t>
      </w:r>
      <w:r>
        <w:rPr>
          <w:rFonts w:hint="default" w:ascii="Times New Roman" w:hAnsi="Times New Roman" w:eastAsia="宋体" w:cs="Times New Roman"/>
          <w:bCs/>
          <w:color w:val="auto"/>
          <w:szCs w:val="24"/>
          <w:highlight w:val="none"/>
          <w:lang w:eastAsia="zh-CN"/>
        </w:rPr>
        <w:t>建设项目土地利用规划图</w:t>
      </w:r>
      <w:r>
        <w:rPr>
          <w:color w:val="auto"/>
        </w:rPr>
        <w:tab/>
      </w:r>
      <w:r>
        <w:rPr>
          <w:color w:val="auto"/>
        </w:rPr>
        <w:fldChar w:fldCharType="begin"/>
      </w:r>
      <w:r>
        <w:rPr>
          <w:color w:val="auto"/>
        </w:rPr>
        <w:instrText xml:space="preserve"> PAGEREF _Toc6139 \h </w:instrText>
      </w:r>
      <w:r>
        <w:rPr>
          <w:color w:val="auto"/>
        </w:rPr>
        <w:fldChar w:fldCharType="separate"/>
      </w:r>
      <w:r>
        <w:rPr>
          <w:color w:val="auto"/>
        </w:rPr>
        <w:t>87</w:t>
      </w:r>
      <w:r>
        <w:rPr>
          <w:color w:val="auto"/>
        </w:rPr>
        <w:fldChar w:fldCharType="end"/>
      </w:r>
      <w:r>
        <w:rPr>
          <w:rFonts w:hint="default" w:ascii="Times New Roman" w:hAnsi="Times New Roman" w:cs="Times New Roman"/>
          <w:color w:val="auto"/>
          <w:highlight w:val="none"/>
        </w:rPr>
        <w:fldChar w:fldCharType="end"/>
      </w:r>
    </w:p>
    <w:p w14:paraId="69B26975">
      <w:pPr>
        <w:pStyle w:val="34"/>
        <w:tabs>
          <w:tab w:val="right" w:leader="dot" w:pos="8312"/>
        </w:tabs>
        <w:rPr>
          <w:color w:val="auto"/>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_Toc1085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bCs/>
          <w:color w:val="auto"/>
          <w:kern w:val="0"/>
          <w:szCs w:val="24"/>
          <w:highlight w:val="none"/>
          <w:lang w:val="en-US" w:eastAsia="zh-CN" w:bidi="ar-SA"/>
        </w:rPr>
        <w:t xml:space="preserve">附图6 </w:t>
      </w:r>
      <w:r>
        <w:rPr>
          <w:rFonts w:hint="eastAsia" w:cs="Times New Roman"/>
          <w:bCs/>
          <w:color w:val="auto"/>
          <w:szCs w:val="24"/>
          <w:highlight w:val="none"/>
          <w:lang w:val="en-US" w:eastAsia="zh-CN"/>
        </w:rPr>
        <w:t>周边水系</w:t>
      </w:r>
      <w:r>
        <w:rPr>
          <w:rFonts w:hint="default" w:ascii="Times New Roman" w:hAnsi="Times New Roman" w:eastAsia="宋体" w:cs="Times New Roman"/>
          <w:bCs/>
          <w:color w:val="auto"/>
          <w:szCs w:val="24"/>
          <w:highlight w:val="none"/>
          <w:lang w:eastAsia="zh-CN"/>
        </w:rPr>
        <w:t>图</w:t>
      </w:r>
      <w:r>
        <w:rPr>
          <w:color w:val="auto"/>
        </w:rPr>
        <w:tab/>
      </w:r>
      <w:r>
        <w:rPr>
          <w:color w:val="auto"/>
        </w:rPr>
        <w:fldChar w:fldCharType="begin"/>
      </w:r>
      <w:r>
        <w:rPr>
          <w:color w:val="auto"/>
        </w:rPr>
        <w:instrText xml:space="preserve"> PAGEREF _Toc1085 \h </w:instrText>
      </w:r>
      <w:r>
        <w:rPr>
          <w:color w:val="auto"/>
        </w:rPr>
        <w:fldChar w:fldCharType="separate"/>
      </w:r>
      <w:r>
        <w:rPr>
          <w:color w:val="auto"/>
        </w:rPr>
        <w:t>88</w:t>
      </w:r>
      <w:r>
        <w:rPr>
          <w:color w:val="auto"/>
        </w:rPr>
        <w:fldChar w:fldCharType="end"/>
      </w:r>
      <w:r>
        <w:rPr>
          <w:rFonts w:hint="default" w:ascii="Times New Roman" w:hAnsi="Times New Roman" w:cs="Times New Roman"/>
          <w:color w:val="auto"/>
          <w:highlight w:val="none"/>
        </w:rPr>
        <w:fldChar w:fldCharType="end"/>
      </w:r>
    </w:p>
    <w:p w14:paraId="7D48F033">
      <w:pPr>
        <w:pStyle w:val="34"/>
        <w:tabs>
          <w:tab w:val="right" w:leader="dot" w:pos="8312"/>
        </w:tabs>
        <w:rPr>
          <w:color w:val="auto"/>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_Toc24616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bCs/>
          <w:color w:val="auto"/>
          <w:kern w:val="2"/>
          <w:szCs w:val="24"/>
          <w:highlight w:val="none"/>
          <w:lang w:val="en-US" w:eastAsia="zh-CN" w:bidi="ar-SA"/>
        </w:rPr>
        <w:t xml:space="preserve">附图7 </w:t>
      </w:r>
      <w:r>
        <w:rPr>
          <w:rFonts w:hint="default" w:ascii="Times New Roman" w:hAnsi="Times New Roman" w:eastAsia="宋体" w:cs="Times New Roman"/>
          <w:bCs/>
          <w:color w:val="auto"/>
          <w:szCs w:val="24"/>
          <w:highlight w:val="none"/>
          <w:lang w:eastAsia="zh-CN"/>
        </w:rPr>
        <w:t>大气环境功能区划图</w:t>
      </w:r>
      <w:r>
        <w:rPr>
          <w:color w:val="auto"/>
        </w:rPr>
        <w:tab/>
      </w:r>
      <w:r>
        <w:rPr>
          <w:color w:val="auto"/>
        </w:rPr>
        <w:fldChar w:fldCharType="begin"/>
      </w:r>
      <w:r>
        <w:rPr>
          <w:color w:val="auto"/>
        </w:rPr>
        <w:instrText xml:space="preserve"> PAGEREF _Toc24616 \h </w:instrText>
      </w:r>
      <w:r>
        <w:rPr>
          <w:color w:val="auto"/>
        </w:rPr>
        <w:fldChar w:fldCharType="separate"/>
      </w:r>
      <w:r>
        <w:rPr>
          <w:color w:val="auto"/>
        </w:rPr>
        <w:t>89</w:t>
      </w:r>
      <w:r>
        <w:rPr>
          <w:color w:val="auto"/>
        </w:rPr>
        <w:fldChar w:fldCharType="end"/>
      </w:r>
      <w:r>
        <w:rPr>
          <w:rFonts w:hint="default" w:ascii="Times New Roman" w:hAnsi="Times New Roman" w:cs="Times New Roman"/>
          <w:color w:val="auto"/>
          <w:highlight w:val="none"/>
        </w:rPr>
        <w:fldChar w:fldCharType="end"/>
      </w:r>
    </w:p>
    <w:p w14:paraId="03C67AA9">
      <w:pPr>
        <w:pStyle w:val="34"/>
        <w:tabs>
          <w:tab w:val="right" w:leader="dot" w:pos="8312"/>
        </w:tabs>
        <w:rPr>
          <w:color w:val="auto"/>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_Toc2821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bCs/>
          <w:color w:val="auto"/>
          <w:kern w:val="2"/>
          <w:szCs w:val="24"/>
          <w:highlight w:val="none"/>
          <w:lang w:val="en-US" w:eastAsia="zh-CN" w:bidi="ar-SA"/>
        </w:rPr>
        <w:t xml:space="preserve">附图8 </w:t>
      </w:r>
      <w:r>
        <w:rPr>
          <w:rFonts w:hint="eastAsia" w:ascii="Times New Roman" w:hAnsi="Times New Roman" w:eastAsia="宋体" w:cs="Times New Roman"/>
          <w:bCs/>
          <w:color w:val="auto"/>
          <w:szCs w:val="24"/>
          <w:highlight w:val="none"/>
          <w:lang w:val="en-US" w:eastAsia="zh-CN"/>
        </w:rPr>
        <w:t>声环境功能区划图</w:t>
      </w:r>
      <w:r>
        <w:rPr>
          <w:color w:val="auto"/>
        </w:rPr>
        <w:tab/>
      </w:r>
      <w:r>
        <w:rPr>
          <w:color w:val="auto"/>
        </w:rPr>
        <w:fldChar w:fldCharType="begin"/>
      </w:r>
      <w:r>
        <w:rPr>
          <w:color w:val="auto"/>
        </w:rPr>
        <w:instrText xml:space="preserve"> PAGEREF _Toc2821 \h </w:instrText>
      </w:r>
      <w:r>
        <w:rPr>
          <w:color w:val="auto"/>
        </w:rPr>
        <w:fldChar w:fldCharType="separate"/>
      </w:r>
      <w:r>
        <w:rPr>
          <w:color w:val="auto"/>
        </w:rPr>
        <w:t>90</w:t>
      </w:r>
      <w:r>
        <w:rPr>
          <w:color w:val="auto"/>
        </w:rPr>
        <w:fldChar w:fldCharType="end"/>
      </w:r>
      <w:r>
        <w:rPr>
          <w:rFonts w:hint="default" w:ascii="Times New Roman" w:hAnsi="Times New Roman" w:cs="Times New Roman"/>
          <w:color w:val="auto"/>
          <w:highlight w:val="none"/>
        </w:rPr>
        <w:fldChar w:fldCharType="end"/>
      </w:r>
    </w:p>
    <w:p w14:paraId="0DC63312">
      <w:pPr>
        <w:pStyle w:val="34"/>
        <w:tabs>
          <w:tab w:val="right" w:leader="dot" w:pos="8312"/>
        </w:tabs>
        <w:rPr>
          <w:color w:val="auto"/>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_Toc11394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bCs/>
          <w:color w:val="auto"/>
          <w:kern w:val="2"/>
          <w:szCs w:val="24"/>
          <w:highlight w:val="none"/>
          <w:lang w:val="en-US" w:eastAsia="zh-CN" w:bidi="ar-SA"/>
        </w:rPr>
        <w:t>附图</w:t>
      </w:r>
      <w:r>
        <w:rPr>
          <w:rFonts w:hint="eastAsia" w:ascii="Times New Roman" w:hAnsi="Times New Roman" w:cs="Times New Roman"/>
          <w:bCs/>
          <w:color w:val="auto"/>
          <w:kern w:val="2"/>
          <w:szCs w:val="24"/>
          <w:highlight w:val="none"/>
          <w:lang w:val="en-US" w:eastAsia="zh-CN" w:bidi="ar-SA"/>
        </w:rPr>
        <w:t>10</w:t>
      </w:r>
      <w:r>
        <w:rPr>
          <w:rFonts w:hint="default" w:ascii="Times New Roman" w:hAnsi="Times New Roman" w:eastAsia="宋体" w:cs="Times New Roman"/>
          <w:bCs/>
          <w:color w:val="auto"/>
          <w:kern w:val="2"/>
          <w:szCs w:val="24"/>
          <w:highlight w:val="none"/>
          <w:lang w:val="en-US" w:eastAsia="zh-CN" w:bidi="ar-SA"/>
        </w:rPr>
        <w:t xml:space="preserve"> </w:t>
      </w:r>
      <w:r>
        <w:rPr>
          <w:rFonts w:hint="default" w:ascii="Times New Roman" w:hAnsi="Times New Roman" w:eastAsia="宋体" w:cs="Times New Roman"/>
          <w:bCs/>
          <w:color w:val="auto"/>
          <w:szCs w:val="24"/>
          <w:highlight w:val="none"/>
          <w:lang w:eastAsia="zh-CN"/>
        </w:rPr>
        <w:t>周边主要饮用水源保护区分布图</w:t>
      </w:r>
      <w:r>
        <w:rPr>
          <w:color w:val="auto"/>
        </w:rPr>
        <w:tab/>
      </w:r>
      <w:r>
        <w:rPr>
          <w:color w:val="auto"/>
        </w:rPr>
        <w:fldChar w:fldCharType="begin"/>
      </w:r>
      <w:r>
        <w:rPr>
          <w:color w:val="auto"/>
        </w:rPr>
        <w:instrText xml:space="preserve"> PAGEREF _Toc11394 \h </w:instrText>
      </w:r>
      <w:r>
        <w:rPr>
          <w:color w:val="auto"/>
        </w:rPr>
        <w:fldChar w:fldCharType="separate"/>
      </w:r>
      <w:r>
        <w:rPr>
          <w:color w:val="auto"/>
        </w:rPr>
        <w:t>92</w:t>
      </w:r>
      <w:r>
        <w:rPr>
          <w:color w:val="auto"/>
        </w:rPr>
        <w:fldChar w:fldCharType="end"/>
      </w:r>
      <w:r>
        <w:rPr>
          <w:rFonts w:hint="default" w:ascii="Times New Roman" w:hAnsi="Times New Roman" w:cs="Times New Roman"/>
          <w:color w:val="auto"/>
          <w:highlight w:val="none"/>
        </w:rPr>
        <w:fldChar w:fldCharType="end"/>
      </w:r>
    </w:p>
    <w:p w14:paraId="043282E5">
      <w:pPr>
        <w:pStyle w:val="34"/>
        <w:tabs>
          <w:tab w:val="right" w:leader="dot" w:pos="8312"/>
        </w:tabs>
        <w:rPr>
          <w:color w:val="auto"/>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_Toc2048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bCs/>
          <w:color w:val="auto"/>
          <w:kern w:val="2"/>
          <w:szCs w:val="24"/>
          <w:highlight w:val="none"/>
          <w:lang w:val="en-US" w:eastAsia="zh-CN" w:bidi="ar-SA"/>
        </w:rPr>
        <w:t>附图1</w:t>
      </w:r>
      <w:r>
        <w:rPr>
          <w:rFonts w:hint="eastAsia" w:ascii="Times New Roman" w:hAnsi="Times New Roman" w:cs="Times New Roman"/>
          <w:bCs/>
          <w:color w:val="auto"/>
          <w:kern w:val="2"/>
          <w:szCs w:val="24"/>
          <w:highlight w:val="none"/>
          <w:lang w:val="en-US" w:eastAsia="zh-CN" w:bidi="ar-SA"/>
        </w:rPr>
        <w:t>1</w:t>
      </w:r>
      <w:r>
        <w:rPr>
          <w:rFonts w:hint="default" w:ascii="Times New Roman" w:hAnsi="Times New Roman" w:eastAsia="宋体" w:cs="Times New Roman"/>
          <w:bCs/>
          <w:color w:val="auto"/>
          <w:kern w:val="2"/>
          <w:szCs w:val="24"/>
          <w:highlight w:val="none"/>
          <w:lang w:val="en-US" w:eastAsia="zh-CN" w:bidi="ar-SA"/>
        </w:rPr>
        <w:t xml:space="preserve"> </w:t>
      </w:r>
      <w:r>
        <w:rPr>
          <w:rFonts w:hint="default" w:ascii="Times New Roman" w:hAnsi="Times New Roman" w:eastAsia="宋体" w:cs="Times New Roman"/>
          <w:bCs/>
          <w:color w:val="auto"/>
          <w:szCs w:val="24"/>
          <w:highlight w:val="none"/>
          <w:lang w:eastAsia="zh-CN"/>
        </w:rPr>
        <w:t>区域生态功能区划示意</w:t>
      </w:r>
      <w:r>
        <w:rPr>
          <w:rFonts w:hint="default" w:ascii="Times New Roman" w:hAnsi="Times New Roman" w:cs="Times New Roman"/>
          <w:bCs/>
          <w:color w:val="auto"/>
          <w:szCs w:val="24"/>
          <w:highlight w:val="none"/>
          <w:lang w:val="en-US" w:eastAsia="zh-CN"/>
        </w:rPr>
        <w:t>图</w:t>
      </w:r>
      <w:r>
        <w:rPr>
          <w:color w:val="auto"/>
        </w:rPr>
        <w:tab/>
      </w:r>
      <w:r>
        <w:rPr>
          <w:color w:val="auto"/>
        </w:rPr>
        <w:fldChar w:fldCharType="begin"/>
      </w:r>
      <w:r>
        <w:rPr>
          <w:color w:val="auto"/>
        </w:rPr>
        <w:instrText xml:space="preserve"> PAGEREF _Toc2048 \h </w:instrText>
      </w:r>
      <w:r>
        <w:rPr>
          <w:color w:val="auto"/>
        </w:rPr>
        <w:fldChar w:fldCharType="separate"/>
      </w:r>
      <w:r>
        <w:rPr>
          <w:color w:val="auto"/>
        </w:rPr>
        <w:t>93</w:t>
      </w:r>
      <w:r>
        <w:rPr>
          <w:color w:val="auto"/>
        </w:rPr>
        <w:fldChar w:fldCharType="end"/>
      </w:r>
      <w:r>
        <w:rPr>
          <w:rFonts w:hint="default" w:ascii="Times New Roman" w:hAnsi="Times New Roman" w:cs="Times New Roman"/>
          <w:color w:val="auto"/>
          <w:highlight w:val="none"/>
        </w:rPr>
        <w:fldChar w:fldCharType="end"/>
      </w:r>
    </w:p>
    <w:p w14:paraId="044425E6">
      <w:pPr>
        <w:pStyle w:val="34"/>
        <w:tabs>
          <w:tab w:val="right" w:leader="dot" w:pos="8312"/>
        </w:tabs>
        <w:rPr>
          <w:color w:val="auto"/>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_Toc792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bCs/>
          <w:color w:val="auto"/>
          <w:kern w:val="2"/>
          <w:szCs w:val="24"/>
          <w:highlight w:val="none"/>
          <w:lang w:val="en-US" w:eastAsia="zh-CN" w:bidi="ar-SA"/>
        </w:rPr>
        <w:t>附图1</w:t>
      </w:r>
      <w:r>
        <w:rPr>
          <w:rFonts w:hint="eastAsia" w:ascii="Times New Roman" w:hAnsi="Times New Roman" w:cs="Times New Roman"/>
          <w:bCs/>
          <w:color w:val="auto"/>
          <w:kern w:val="2"/>
          <w:szCs w:val="24"/>
          <w:highlight w:val="none"/>
          <w:lang w:val="en-US" w:eastAsia="zh-CN" w:bidi="ar-SA"/>
        </w:rPr>
        <w:t>2</w:t>
      </w:r>
      <w:r>
        <w:rPr>
          <w:rFonts w:hint="default" w:ascii="Times New Roman" w:hAnsi="Times New Roman" w:eastAsia="宋体" w:cs="Times New Roman"/>
          <w:bCs/>
          <w:color w:val="auto"/>
          <w:kern w:val="2"/>
          <w:szCs w:val="24"/>
          <w:highlight w:val="none"/>
          <w:lang w:val="en-US" w:eastAsia="zh-CN" w:bidi="ar-SA"/>
        </w:rPr>
        <w:t xml:space="preserve"> </w:t>
      </w:r>
      <w:r>
        <w:rPr>
          <w:rFonts w:hint="default" w:ascii="Times New Roman" w:hAnsi="Times New Roman" w:eastAsia="宋体" w:cs="Times New Roman"/>
          <w:bCs/>
          <w:color w:val="auto"/>
          <w:szCs w:val="24"/>
          <w:highlight w:val="none"/>
          <w:lang w:eastAsia="zh-CN"/>
        </w:rPr>
        <w:t>周边</w:t>
      </w:r>
      <w:r>
        <w:rPr>
          <w:rFonts w:hint="eastAsia" w:cs="Times New Roman"/>
          <w:bCs/>
          <w:color w:val="auto"/>
          <w:szCs w:val="24"/>
          <w:highlight w:val="none"/>
          <w:lang w:eastAsia="zh-CN"/>
        </w:rPr>
        <w:t>永久基本农田</w:t>
      </w:r>
      <w:r>
        <w:rPr>
          <w:rFonts w:hint="default" w:ascii="Times New Roman" w:hAnsi="Times New Roman" w:eastAsia="宋体" w:cs="Times New Roman"/>
          <w:bCs/>
          <w:color w:val="auto"/>
          <w:szCs w:val="24"/>
          <w:highlight w:val="none"/>
          <w:lang w:eastAsia="zh-CN"/>
        </w:rPr>
        <w:t>、耕地、园地分布图</w:t>
      </w:r>
      <w:r>
        <w:rPr>
          <w:color w:val="auto"/>
        </w:rPr>
        <w:tab/>
      </w:r>
      <w:r>
        <w:rPr>
          <w:color w:val="auto"/>
        </w:rPr>
        <w:fldChar w:fldCharType="begin"/>
      </w:r>
      <w:r>
        <w:rPr>
          <w:color w:val="auto"/>
        </w:rPr>
        <w:instrText xml:space="preserve"> PAGEREF _Toc792 \h </w:instrText>
      </w:r>
      <w:r>
        <w:rPr>
          <w:color w:val="auto"/>
        </w:rPr>
        <w:fldChar w:fldCharType="separate"/>
      </w:r>
      <w:r>
        <w:rPr>
          <w:color w:val="auto"/>
        </w:rPr>
        <w:t>94</w:t>
      </w:r>
      <w:r>
        <w:rPr>
          <w:color w:val="auto"/>
        </w:rPr>
        <w:fldChar w:fldCharType="end"/>
      </w:r>
      <w:r>
        <w:rPr>
          <w:rFonts w:hint="default" w:ascii="Times New Roman" w:hAnsi="Times New Roman" w:cs="Times New Roman"/>
          <w:color w:val="auto"/>
          <w:highlight w:val="none"/>
        </w:rPr>
        <w:fldChar w:fldCharType="end"/>
      </w:r>
    </w:p>
    <w:p w14:paraId="5ADD8757">
      <w:pPr>
        <w:pStyle w:val="34"/>
        <w:tabs>
          <w:tab w:val="right" w:leader="dot" w:pos="8312"/>
        </w:tabs>
        <w:rPr>
          <w:color w:val="auto"/>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_Toc16585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bCs/>
          <w:color w:val="auto"/>
          <w:kern w:val="0"/>
          <w:szCs w:val="24"/>
          <w:highlight w:val="none"/>
          <w:lang w:val="en-US" w:eastAsia="zh-CN" w:bidi="ar-SA"/>
        </w:rPr>
        <w:t xml:space="preserve">附图13 </w:t>
      </w:r>
      <w:r>
        <w:rPr>
          <w:rFonts w:hint="default" w:ascii="Times New Roman" w:hAnsi="Times New Roman" w:eastAsia="宋体" w:cs="Times New Roman"/>
          <w:bCs/>
          <w:color w:val="auto"/>
          <w:szCs w:val="24"/>
          <w:highlight w:val="none"/>
          <w:lang w:eastAsia="zh-CN"/>
        </w:rPr>
        <w:t>项目周边现状图</w:t>
      </w:r>
      <w:r>
        <w:rPr>
          <w:color w:val="auto"/>
        </w:rPr>
        <w:tab/>
      </w:r>
      <w:r>
        <w:rPr>
          <w:color w:val="auto"/>
        </w:rPr>
        <w:fldChar w:fldCharType="begin"/>
      </w:r>
      <w:r>
        <w:rPr>
          <w:color w:val="auto"/>
        </w:rPr>
        <w:instrText xml:space="preserve"> PAGEREF _Toc16585 \h </w:instrText>
      </w:r>
      <w:r>
        <w:rPr>
          <w:color w:val="auto"/>
        </w:rPr>
        <w:fldChar w:fldCharType="separate"/>
      </w:r>
      <w:r>
        <w:rPr>
          <w:color w:val="auto"/>
        </w:rPr>
        <w:t>95</w:t>
      </w:r>
      <w:r>
        <w:rPr>
          <w:color w:val="auto"/>
        </w:rPr>
        <w:fldChar w:fldCharType="end"/>
      </w:r>
      <w:r>
        <w:rPr>
          <w:rFonts w:hint="default" w:ascii="Times New Roman" w:hAnsi="Times New Roman" w:cs="Times New Roman"/>
          <w:color w:val="auto"/>
          <w:highlight w:val="none"/>
        </w:rPr>
        <w:fldChar w:fldCharType="end"/>
      </w:r>
    </w:p>
    <w:p w14:paraId="73BD5CA8">
      <w:pPr>
        <w:pStyle w:val="34"/>
        <w:tabs>
          <w:tab w:val="right" w:leader="dot" w:pos="8312"/>
        </w:tabs>
        <w:rPr>
          <w:color w:val="auto"/>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_Toc13241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bCs/>
          <w:color w:val="auto"/>
          <w:kern w:val="0"/>
          <w:szCs w:val="24"/>
          <w:highlight w:val="none"/>
          <w:lang w:val="en-US" w:eastAsia="zh-CN" w:bidi="ar-SA"/>
        </w:rPr>
        <w:t xml:space="preserve">附图14 </w:t>
      </w:r>
      <w:r>
        <w:rPr>
          <w:rFonts w:hint="default" w:ascii="Times New Roman" w:hAnsi="Times New Roman" w:eastAsia="宋体" w:cs="Times New Roman"/>
          <w:bCs/>
          <w:color w:val="auto"/>
          <w:szCs w:val="24"/>
          <w:highlight w:val="none"/>
          <w:lang w:val="en-US" w:eastAsia="zh-CN"/>
        </w:rPr>
        <w:t>广东省“三线一单”截图</w:t>
      </w:r>
      <w:r>
        <w:rPr>
          <w:color w:val="auto"/>
        </w:rPr>
        <w:tab/>
      </w:r>
      <w:r>
        <w:rPr>
          <w:color w:val="auto"/>
        </w:rPr>
        <w:fldChar w:fldCharType="begin"/>
      </w:r>
      <w:r>
        <w:rPr>
          <w:color w:val="auto"/>
        </w:rPr>
        <w:instrText xml:space="preserve"> PAGEREF _Toc13241 \h </w:instrText>
      </w:r>
      <w:r>
        <w:rPr>
          <w:color w:val="auto"/>
        </w:rPr>
        <w:fldChar w:fldCharType="separate"/>
      </w:r>
      <w:r>
        <w:rPr>
          <w:color w:val="auto"/>
        </w:rPr>
        <w:t>96</w:t>
      </w:r>
      <w:r>
        <w:rPr>
          <w:color w:val="auto"/>
        </w:rPr>
        <w:fldChar w:fldCharType="end"/>
      </w:r>
      <w:r>
        <w:rPr>
          <w:rFonts w:hint="default" w:ascii="Times New Roman" w:hAnsi="Times New Roman" w:cs="Times New Roman"/>
          <w:color w:val="auto"/>
          <w:highlight w:val="none"/>
        </w:rPr>
        <w:fldChar w:fldCharType="end"/>
      </w:r>
    </w:p>
    <w:p w14:paraId="2686B162">
      <w:pPr>
        <w:pStyle w:val="34"/>
        <w:tabs>
          <w:tab w:val="right" w:leader="dot" w:pos="8312"/>
        </w:tabs>
        <w:rPr>
          <w:color w:val="auto"/>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_Toc27663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bCs/>
          <w:color w:val="auto"/>
          <w:kern w:val="0"/>
          <w:szCs w:val="24"/>
          <w:highlight w:val="none"/>
          <w:lang w:val="en-US" w:eastAsia="zh-CN" w:bidi="ar-SA"/>
        </w:rPr>
        <w:t xml:space="preserve">附图15 </w:t>
      </w:r>
      <w:r>
        <w:rPr>
          <w:rFonts w:hint="eastAsia" w:cs="Times New Roman"/>
          <w:bCs/>
          <w:color w:val="auto"/>
          <w:kern w:val="0"/>
          <w:szCs w:val="24"/>
          <w:highlight w:val="none"/>
          <w:lang w:val="en-US" w:eastAsia="zh-CN" w:bidi="ar-SA"/>
        </w:rPr>
        <w:t>本</w:t>
      </w:r>
      <w:r>
        <w:rPr>
          <w:rFonts w:hint="default" w:ascii="Times New Roman" w:hAnsi="Times New Roman" w:eastAsia="宋体" w:cs="Times New Roman"/>
          <w:bCs/>
          <w:color w:val="auto"/>
          <w:szCs w:val="24"/>
          <w:highlight w:val="none"/>
          <w:lang w:val="en-US" w:eastAsia="zh-CN"/>
        </w:rPr>
        <w:t>项目与大气</w:t>
      </w:r>
      <w:r>
        <w:rPr>
          <w:rFonts w:hint="default" w:ascii="Times New Roman" w:hAnsi="Times New Roman" w:cs="Times New Roman"/>
          <w:bCs/>
          <w:color w:val="auto"/>
          <w:szCs w:val="24"/>
          <w:highlight w:val="none"/>
          <w:lang w:val="en-US" w:eastAsia="zh-CN"/>
        </w:rPr>
        <w:t>引用</w:t>
      </w:r>
      <w:r>
        <w:rPr>
          <w:rFonts w:hint="default" w:ascii="Times New Roman" w:hAnsi="Times New Roman" w:eastAsia="宋体" w:cs="Times New Roman"/>
          <w:bCs/>
          <w:color w:val="auto"/>
          <w:szCs w:val="24"/>
          <w:highlight w:val="none"/>
          <w:lang w:val="en-US" w:eastAsia="zh-CN"/>
        </w:rPr>
        <w:t>监测点位置图</w:t>
      </w:r>
      <w:r>
        <w:rPr>
          <w:color w:val="auto"/>
        </w:rPr>
        <w:tab/>
      </w:r>
      <w:r>
        <w:rPr>
          <w:color w:val="auto"/>
        </w:rPr>
        <w:fldChar w:fldCharType="begin"/>
      </w:r>
      <w:r>
        <w:rPr>
          <w:color w:val="auto"/>
        </w:rPr>
        <w:instrText xml:space="preserve"> PAGEREF _Toc27663 \h </w:instrText>
      </w:r>
      <w:r>
        <w:rPr>
          <w:color w:val="auto"/>
        </w:rPr>
        <w:fldChar w:fldCharType="separate"/>
      </w:r>
      <w:r>
        <w:rPr>
          <w:color w:val="auto"/>
        </w:rPr>
        <w:t>98</w:t>
      </w:r>
      <w:r>
        <w:rPr>
          <w:color w:val="auto"/>
        </w:rPr>
        <w:fldChar w:fldCharType="end"/>
      </w:r>
      <w:r>
        <w:rPr>
          <w:rFonts w:hint="default" w:ascii="Times New Roman" w:hAnsi="Times New Roman" w:cs="Times New Roman"/>
          <w:color w:val="auto"/>
          <w:highlight w:val="none"/>
        </w:rPr>
        <w:fldChar w:fldCharType="end"/>
      </w:r>
    </w:p>
    <w:p w14:paraId="6CB29AAB">
      <w:pPr>
        <w:pStyle w:val="34"/>
        <w:tabs>
          <w:tab w:val="right" w:leader="dot" w:pos="8312"/>
        </w:tabs>
        <w:rPr>
          <w:color w:val="auto"/>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_Toc4110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bCs/>
          <w:color w:val="auto"/>
          <w:kern w:val="0"/>
          <w:szCs w:val="24"/>
          <w:highlight w:val="none"/>
          <w:lang w:val="en-US" w:eastAsia="zh-CN" w:bidi="ar-SA"/>
        </w:rPr>
        <w:t xml:space="preserve">附图16 </w:t>
      </w:r>
      <w:r>
        <w:rPr>
          <w:rFonts w:hint="default" w:ascii="Times New Roman" w:hAnsi="Times New Roman" w:eastAsia="宋体" w:cs="Times New Roman"/>
          <w:bCs/>
          <w:color w:val="auto"/>
          <w:szCs w:val="24"/>
          <w:highlight w:val="none"/>
          <w:lang w:val="en-US" w:eastAsia="zh-CN"/>
        </w:rPr>
        <w:t>乐昌产业转移工业园管网分布图</w:t>
      </w:r>
      <w:r>
        <w:rPr>
          <w:color w:val="auto"/>
        </w:rPr>
        <w:tab/>
      </w:r>
      <w:r>
        <w:rPr>
          <w:color w:val="auto"/>
        </w:rPr>
        <w:fldChar w:fldCharType="begin"/>
      </w:r>
      <w:r>
        <w:rPr>
          <w:color w:val="auto"/>
        </w:rPr>
        <w:instrText xml:space="preserve"> PAGEREF _Toc4110 \h </w:instrText>
      </w:r>
      <w:r>
        <w:rPr>
          <w:color w:val="auto"/>
        </w:rPr>
        <w:fldChar w:fldCharType="separate"/>
      </w:r>
      <w:r>
        <w:rPr>
          <w:color w:val="auto"/>
        </w:rPr>
        <w:t>99</w:t>
      </w:r>
      <w:r>
        <w:rPr>
          <w:color w:val="auto"/>
        </w:rPr>
        <w:fldChar w:fldCharType="end"/>
      </w:r>
      <w:r>
        <w:rPr>
          <w:rFonts w:hint="default" w:ascii="Times New Roman" w:hAnsi="Times New Roman" w:cs="Times New Roman"/>
          <w:color w:val="auto"/>
          <w:highlight w:val="none"/>
        </w:rPr>
        <w:fldChar w:fldCharType="end"/>
      </w:r>
    </w:p>
    <w:p w14:paraId="28C509F4">
      <w:pPr>
        <w:pStyle w:val="34"/>
        <w:tabs>
          <w:tab w:val="right" w:leader="dot" w:pos="8312"/>
        </w:tabs>
        <w:rPr>
          <w:color w:val="auto"/>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_Toc31680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bCs/>
          <w:color w:val="auto"/>
          <w:kern w:val="0"/>
          <w:szCs w:val="24"/>
          <w:highlight w:val="none"/>
          <w:lang w:val="en-US" w:eastAsia="zh-CN" w:bidi="ar-SA"/>
        </w:rPr>
        <w:t xml:space="preserve">附图17 </w:t>
      </w:r>
      <w:r>
        <w:rPr>
          <w:rFonts w:hint="eastAsia" w:cs="Times New Roman"/>
          <w:bCs/>
          <w:color w:val="auto"/>
          <w:szCs w:val="24"/>
          <w:highlight w:val="none"/>
          <w:lang w:val="en-US" w:eastAsia="zh-CN"/>
        </w:rPr>
        <w:t>本</w:t>
      </w:r>
      <w:r>
        <w:rPr>
          <w:rFonts w:hint="default" w:ascii="Times New Roman" w:hAnsi="Times New Roman" w:eastAsia="宋体" w:cs="Times New Roman"/>
          <w:bCs/>
          <w:color w:val="auto"/>
          <w:szCs w:val="24"/>
          <w:highlight w:val="none"/>
          <w:lang w:val="en-US" w:eastAsia="zh-CN"/>
        </w:rPr>
        <w:t>项目与韶关市区武江饮用水水源保护区关系示意图</w:t>
      </w:r>
      <w:r>
        <w:rPr>
          <w:color w:val="auto"/>
        </w:rPr>
        <w:tab/>
      </w:r>
      <w:r>
        <w:rPr>
          <w:color w:val="auto"/>
        </w:rPr>
        <w:fldChar w:fldCharType="begin"/>
      </w:r>
      <w:r>
        <w:rPr>
          <w:color w:val="auto"/>
        </w:rPr>
        <w:instrText xml:space="preserve"> PAGEREF _Toc31680 \h </w:instrText>
      </w:r>
      <w:r>
        <w:rPr>
          <w:color w:val="auto"/>
        </w:rPr>
        <w:fldChar w:fldCharType="separate"/>
      </w:r>
      <w:r>
        <w:rPr>
          <w:color w:val="auto"/>
        </w:rPr>
        <w:t>100</w:t>
      </w:r>
      <w:r>
        <w:rPr>
          <w:color w:val="auto"/>
        </w:rPr>
        <w:fldChar w:fldCharType="end"/>
      </w:r>
      <w:r>
        <w:rPr>
          <w:rFonts w:hint="default" w:ascii="Times New Roman" w:hAnsi="Times New Roman" w:cs="Times New Roman"/>
          <w:color w:val="auto"/>
          <w:highlight w:val="none"/>
        </w:rPr>
        <w:fldChar w:fldCharType="end"/>
      </w:r>
    </w:p>
    <w:p w14:paraId="4DDD5614">
      <w:pPr>
        <w:pStyle w:val="34"/>
        <w:tabs>
          <w:tab w:val="right" w:leader="dot" w:pos="8312"/>
        </w:tabs>
        <w:rPr>
          <w:color w:val="auto"/>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_Toc13705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bCs/>
          <w:color w:val="auto"/>
          <w:kern w:val="0"/>
          <w:szCs w:val="24"/>
          <w:highlight w:val="none"/>
          <w:lang w:val="en-US" w:eastAsia="zh-CN" w:bidi="ar-SA"/>
        </w:rPr>
        <w:t>附件1</w:t>
      </w:r>
      <w:r>
        <w:rPr>
          <w:rFonts w:hint="default" w:ascii="Times New Roman" w:hAnsi="Times New Roman" w:cs="Times New Roman"/>
          <w:bCs/>
          <w:color w:val="auto"/>
          <w:szCs w:val="24"/>
          <w:highlight w:val="none"/>
          <w:lang w:val="en-US" w:eastAsia="zh-CN"/>
        </w:rPr>
        <w:t>营业执照</w:t>
      </w:r>
      <w:r>
        <w:rPr>
          <w:color w:val="auto"/>
        </w:rPr>
        <w:tab/>
      </w:r>
      <w:r>
        <w:rPr>
          <w:color w:val="auto"/>
        </w:rPr>
        <w:fldChar w:fldCharType="begin"/>
      </w:r>
      <w:r>
        <w:rPr>
          <w:color w:val="auto"/>
        </w:rPr>
        <w:instrText xml:space="preserve"> PAGEREF _Toc13705 \h </w:instrText>
      </w:r>
      <w:r>
        <w:rPr>
          <w:color w:val="auto"/>
        </w:rPr>
        <w:fldChar w:fldCharType="separate"/>
      </w:r>
      <w:r>
        <w:rPr>
          <w:color w:val="auto"/>
        </w:rPr>
        <w:t>101</w:t>
      </w:r>
      <w:r>
        <w:rPr>
          <w:color w:val="auto"/>
        </w:rPr>
        <w:fldChar w:fldCharType="end"/>
      </w:r>
      <w:r>
        <w:rPr>
          <w:rFonts w:hint="default" w:ascii="Times New Roman" w:hAnsi="Times New Roman" w:cs="Times New Roman"/>
          <w:color w:val="auto"/>
          <w:highlight w:val="none"/>
        </w:rPr>
        <w:fldChar w:fldCharType="end"/>
      </w:r>
    </w:p>
    <w:p w14:paraId="520BAB1A">
      <w:pPr>
        <w:pStyle w:val="34"/>
        <w:tabs>
          <w:tab w:val="right" w:leader="dot" w:pos="8312"/>
        </w:tabs>
        <w:rPr>
          <w:color w:val="auto"/>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_Toc17857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bCs/>
          <w:color w:val="auto"/>
          <w:kern w:val="0"/>
          <w:szCs w:val="24"/>
          <w:highlight w:val="none"/>
          <w:lang w:val="en-US" w:eastAsia="zh-CN" w:bidi="ar-SA"/>
        </w:rPr>
        <w:t>附件2</w:t>
      </w:r>
      <w:r>
        <w:rPr>
          <w:rFonts w:hint="default" w:ascii="Times New Roman" w:hAnsi="Times New Roman" w:cs="Times New Roman"/>
          <w:bCs/>
          <w:color w:val="auto"/>
          <w:szCs w:val="24"/>
          <w:highlight w:val="none"/>
          <w:lang w:val="en-US" w:eastAsia="zh-CN"/>
        </w:rPr>
        <w:t>法人身份证复印件</w:t>
      </w:r>
      <w:r>
        <w:rPr>
          <w:color w:val="auto"/>
        </w:rPr>
        <w:tab/>
      </w:r>
      <w:r>
        <w:rPr>
          <w:color w:val="auto"/>
        </w:rPr>
        <w:fldChar w:fldCharType="begin"/>
      </w:r>
      <w:r>
        <w:rPr>
          <w:color w:val="auto"/>
        </w:rPr>
        <w:instrText xml:space="preserve"> PAGEREF _Toc17857 \h </w:instrText>
      </w:r>
      <w:r>
        <w:rPr>
          <w:color w:val="auto"/>
        </w:rPr>
        <w:fldChar w:fldCharType="separate"/>
      </w:r>
      <w:r>
        <w:rPr>
          <w:color w:val="auto"/>
        </w:rPr>
        <w:t>102</w:t>
      </w:r>
      <w:r>
        <w:rPr>
          <w:color w:val="auto"/>
        </w:rPr>
        <w:fldChar w:fldCharType="end"/>
      </w:r>
      <w:r>
        <w:rPr>
          <w:rFonts w:hint="default" w:ascii="Times New Roman" w:hAnsi="Times New Roman" w:cs="Times New Roman"/>
          <w:color w:val="auto"/>
          <w:highlight w:val="none"/>
        </w:rPr>
        <w:fldChar w:fldCharType="end"/>
      </w:r>
    </w:p>
    <w:p w14:paraId="7B13DC89">
      <w:pPr>
        <w:pStyle w:val="34"/>
        <w:tabs>
          <w:tab w:val="right" w:leader="dot" w:pos="8312"/>
        </w:tabs>
        <w:rPr>
          <w:color w:val="auto"/>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_Toc32722 </w:instrText>
      </w:r>
      <w:r>
        <w:rPr>
          <w:rFonts w:hint="default" w:ascii="Times New Roman" w:hAnsi="Times New Roman" w:cs="Times New Roman"/>
          <w:color w:val="auto"/>
          <w:highlight w:val="none"/>
        </w:rPr>
        <w:fldChar w:fldCharType="separate"/>
      </w:r>
      <w:r>
        <w:rPr>
          <w:rFonts w:hint="default" w:ascii="Times New Roman" w:hAnsi="Times New Roman" w:cs="Times New Roman"/>
          <w:bCs/>
          <w:color w:val="auto"/>
          <w:kern w:val="0"/>
          <w:szCs w:val="24"/>
          <w:highlight w:val="none"/>
          <w:lang w:val="en-US" w:eastAsia="zh-CN" w:bidi="ar-SA"/>
        </w:rPr>
        <w:t>附件3</w:t>
      </w:r>
      <w:r>
        <w:rPr>
          <w:rFonts w:hint="eastAsia" w:cs="Times New Roman"/>
          <w:bCs/>
          <w:color w:val="auto"/>
          <w:szCs w:val="24"/>
          <w:highlight w:val="none"/>
          <w:lang w:val="en-US" w:eastAsia="zh-CN"/>
        </w:rPr>
        <w:t>房屋租赁合同</w:t>
      </w:r>
      <w:r>
        <w:rPr>
          <w:color w:val="auto"/>
        </w:rPr>
        <w:tab/>
      </w:r>
      <w:r>
        <w:rPr>
          <w:color w:val="auto"/>
        </w:rPr>
        <w:fldChar w:fldCharType="begin"/>
      </w:r>
      <w:r>
        <w:rPr>
          <w:color w:val="auto"/>
        </w:rPr>
        <w:instrText xml:space="preserve"> PAGEREF _Toc32722 \h </w:instrText>
      </w:r>
      <w:r>
        <w:rPr>
          <w:color w:val="auto"/>
        </w:rPr>
        <w:fldChar w:fldCharType="separate"/>
      </w:r>
      <w:r>
        <w:rPr>
          <w:color w:val="auto"/>
        </w:rPr>
        <w:t>103</w:t>
      </w:r>
      <w:r>
        <w:rPr>
          <w:color w:val="auto"/>
        </w:rPr>
        <w:fldChar w:fldCharType="end"/>
      </w:r>
      <w:r>
        <w:rPr>
          <w:rFonts w:hint="default" w:ascii="Times New Roman" w:hAnsi="Times New Roman" w:cs="Times New Roman"/>
          <w:color w:val="auto"/>
          <w:highlight w:val="none"/>
        </w:rPr>
        <w:fldChar w:fldCharType="end"/>
      </w:r>
    </w:p>
    <w:p w14:paraId="12F18B34">
      <w:pPr>
        <w:pStyle w:val="34"/>
        <w:tabs>
          <w:tab w:val="right" w:leader="dot" w:pos="8312"/>
        </w:tabs>
        <w:rPr>
          <w:color w:val="auto"/>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_Toc26402 </w:instrText>
      </w:r>
      <w:r>
        <w:rPr>
          <w:rFonts w:hint="default" w:ascii="Times New Roman" w:hAnsi="Times New Roman" w:cs="Times New Roman"/>
          <w:color w:val="auto"/>
          <w:highlight w:val="none"/>
        </w:rPr>
        <w:fldChar w:fldCharType="separate"/>
      </w:r>
      <w:r>
        <w:rPr>
          <w:rFonts w:hint="eastAsia" w:ascii="Times New Roman" w:hAnsi="Times New Roman" w:eastAsia="宋体" w:cs="Times New Roman"/>
          <w:bCs/>
          <w:color w:val="auto"/>
          <w:kern w:val="0"/>
          <w:szCs w:val="24"/>
          <w:highlight w:val="none"/>
          <w:lang w:val="en-US" w:eastAsia="zh-CN" w:bidi="ar-SA"/>
        </w:rPr>
        <w:t>附件</w:t>
      </w:r>
      <w:r>
        <w:rPr>
          <w:rFonts w:hint="eastAsia" w:ascii="Times New Roman" w:cs="Times New Roman"/>
          <w:bCs/>
          <w:color w:val="auto"/>
          <w:kern w:val="0"/>
          <w:szCs w:val="24"/>
          <w:highlight w:val="none"/>
          <w:lang w:val="en-US" w:eastAsia="zh-CN" w:bidi="ar-SA"/>
        </w:rPr>
        <w:t>4</w:t>
      </w:r>
      <w:r>
        <w:rPr>
          <w:rFonts w:hint="eastAsia" w:ascii="Times New Roman" w:hAnsi="Times New Roman" w:eastAsia="宋体" w:cs="Times New Roman"/>
          <w:bCs/>
          <w:color w:val="auto"/>
          <w:kern w:val="0"/>
          <w:szCs w:val="24"/>
          <w:highlight w:val="none"/>
          <w:lang w:val="en-US" w:eastAsia="zh-CN" w:bidi="ar-SA"/>
        </w:rPr>
        <w:t xml:space="preserve"> </w:t>
      </w:r>
      <w:r>
        <w:rPr>
          <w:rFonts w:hint="default" w:ascii="Times New Roman" w:hAnsi="Times New Roman" w:eastAsia="宋体" w:cs="Times New Roman"/>
          <w:bCs/>
          <w:color w:val="auto"/>
          <w:kern w:val="0"/>
          <w:szCs w:val="24"/>
          <w:highlight w:val="none"/>
          <w:lang w:val="en-US" w:eastAsia="zh-CN" w:bidi="ar-SA"/>
        </w:rPr>
        <w:t>再生资源回收经营备案登记证明</w:t>
      </w:r>
      <w:r>
        <w:rPr>
          <w:color w:val="auto"/>
        </w:rPr>
        <w:tab/>
      </w:r>
      <w:r>
        <w:rPr>
          <w:color w:val="auto"/>
        </w:rPr>
        <w:fldChar w:fldCharType="begin"/>
      </w:r>
      <w:r>
        <w:rPr>
          <w:color w:val="auto"/>
        </w:rPr>
        <w:instrText xml:space="preserve"> PAGEREF _Toc26402 \h </w:instrText>
      </w:r>
      <w:r>
        <w:rPr>
          <w:color w:val="auto"/>
        </w:rPr>
        <w:fldChar w:fldCharType="separate"/>
      </w:r>
      <w:r>
        <w:rPr>
          <w:color w:val="auto"/>
        </w:rPr>
        <w:t>107</w:t>
      </w:r>
      <w:r>
        <w:rPr>
          <w:color w:val="auto"/>
        </w:rPr>
        <w:fldChar w:fldCharType="end"/>
      </w:r>
      <w:r>
        <w:rPr>
          <w:rFonts w:hint="default" w:ascii="Times New Roman" w:hAnsi="Times New Roman" w:cs="Times New Roman"/>
          <w:color w:val="auto"/>
          <w:highlight w:val="none"/>
        </w:rPr>
        <w:fldChar w:fldCharType="end"/>
      </w:r>
    </w:p>
    <w:p w14:paraId="01E6861A">
      <w:pPr>
        <w:pStyle w:val="34"/>
        <w:tabs>
          <w:tab w:val="right" w:leader="dot" w:pos="8312"/>
        </w:tabs>
        <w:rPr>
          <w:color w:val="auto"/>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_Toc12186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bCs/>
          <w:color w:val="auto"/>
          <w:kern w:val="0"/>
          <w:szCs w:val="24"/>
          <w:highlight w:val="none"/>
          <w:lang w:val="en-US" w:eastAsia="zh-CN" w:bidi="ar-SA"/>
        </w:rPr>
        <w:t>附件</w:t>
      </w:r>
      <w:r>
        <w:rPr>
          <w:rFonts w:hint="eastAsia" w:cs="Times New Roman"/>
          <w:bCs/>
          <w:color w:val="auto"/>
          <w:kern w:val="0"/>
          <w:szCs w:val="24"/>
          <w:highlight w:val="none"/>
          <w:lang w:val="en-US" w:eastAsia="zh-CN" w:bidi="ar-SA"/>
        </w:rPr>
        <w:t>5</w:t>
      </w:r>
      <w:r>
        <w:rPr>
          <w:rFonts w:hint="eastAsia" w:cs="Times New Roman"/>
          <w:bCs/>
          <w:color w:val="auto"/>
          <w:szCs w:val="24"/>
          <w:highlight w:val="none"/>
          <w:lang w:val="en-US" w:eastAsia="zh-CN"/>
        </w:rPr>
        <w:t>备案证</w:t>
      </w:r>
      <w:r>
        <w:rPr>
          <w:color w:val="auto"/>
        </w:rPr>
        <w:tab/>
      </w:r>
      <w:r>
        <w:rPr>
          <w:color w:val="auto"/>
        </w:rPr>
        <w:fldChar w:fldCharType="begin"/>
      </w:r>
      <w:r>
        <w:rPr>
          <w:color w:val="auto"/>
        </w:rPr>
        <w:instrText xml:space="preserve"> PAGEREF _Toc12186 \h </w:instrText>
      </w:r>
      <w:r>
        <w:rPr>
          <w:color w:val="auto"/>
        </w:rPr>
        <w:fldChar w:fldCharType="separate"/>
      </w:r>
      <w:r>
        <w:rPr>
          <w:color w:val="auto"/>
        </w:rPr>
        <w:t>109</w:t>
      </w:r>
      <w:r>
        <w:rPr>
          <w:color w:val="auto"/>
        </w:rPr>
        <w:fldChar w:fldCharType="end"/>
      </w:r>
      <w:r>
        <w:rPr>
          <w:rFonts w:hint="default" w:ascii="Times New Roman" w:hAnsi="Times New Roman" w:cs="Times New Roman"/>
          <w:color w:val="auto"/>
          <w:highlight w:val="none"/>
        </w:rPr>
        <w:fldChar w:fldCharType="end"/>
      </w:r>
    </w:p>
    <w:p w14:paraId="36EF7EF9">
      <w:pPr>
        <w:pStyle w:val="34"/>
        <w:tabs>
          <w:tab w:val="right" w:leader="dot" w:pos="8312"/>
        </w:tabs>
        <w:rPr>
          <w:color w:val="auto"/>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_Toc24107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bCs/>
          <w:color w:val="auto"/>
          <w:kern w:val="0"/>
          <w:szCs w:val="24"/>
          <w:highlight w:val="none"/>
          <w:lang w:val="en-US" w:eastAsia="zh-CN" w:bidi="ar-SA"/>
        </w:rPr>
        <w:t>附件</w:t>
      </w:r>
      <w:r>
        <w:rPr>
          <w:rFonts w:hint="eastAsia" w:cs="Times New Roman"/>
          <w:bCs/>
          <w:color w:val="auto"/>
          <w:kern w:val="0"/>
          <w:szCs w:val="24"/>
          <w:highlight w:val="none"/>
          <w:lang w:val="en-US" w:eastAsia="zh-CN" w:bidi="ar-SA"/>
        </w:rPr>
        <w:t>6</w:t>
      </w:r>
      <w:r>
        <w:rPr>
          <w:rFonts w:hint="default" w:ascii="Times New Roman" w:hAnsi="Times New Roman" w:cs="Times New Roman"/>
          <w:bCs/>
          <w:color w:val="auto"/>
          <w:szCs w:val="24"/>
          <w:highlight w:val="none"/>
          <w:lang w:val="en-US" w:eastAsia="zh-CN"/>
        </w:rPr>
        <w:t>环境质量现状监测报告（摘录部分）</w:t>
      </w:r>
      <w:r>
        <w:rPr>
          <w:color w:val="auto"/>
        </w:rPr>
        <w:tab/>
      </w:r>
      <w:r>
        <w:rPr>
          <w:color w:val="auto"/>
        </w:rPr>
        <w:fldChar w:fldCharType="begin"/>
      </w:r>
      <w:r>
        <w:rPr>
          <w:color w:val="auto"/>
        </w:rPr>
        <w:instrText xml:space="preserve"> PAGEREF _Toc24107 \h </w:instrText>
      </w:r>
      <w:r>
        <w:rPr>
          <w:color w:val="auto"/>
        </w:rPr>
        <w:fldChar w:fldCharType="separate"/>
      </w:r>
      <w:r>
        <w:rPr>
          <w:color w:val="auto"/>
        </w:rPr>
        <w:t>110</w:t>
      </w:r>
      <w:r>
        <w:rPr>
          <w:color w:val="auto"/>
        </w:rPr>
        <w:fldChar w:fldCharType="end"/>
      </w:r>
      <w:r>
        <w:rPr>
          <w:rFonts w:hint="default" w:ascii="Times New Roman" w:hAnsi="Times New Roman" w:cs="Times New Roman"/>
          <w:color w:val="auto"/>
          <w:highlight w:val="none"/>
        </w:rPr>
        <w:fldChar w:fldCharType="end"/>
      </w:r>
    </w:p>
    <w:p w14:paraId="46B8DE3F">
      <w:pPr>
        <w:pStyle w:val="2"/>
        <w:keepNext w:val="0"/>
        <w:keepLines w:val="0"/>
        <w:pageBreakBefore w:val="0"/>
        <w:widowControl w:val="0"/>
        <w:kinsoku/>
        <w:wordWrap/>
        <w:overflowPunct/>
        <w:topLinePunct w:val="0"/>
        <w:bidi w:val="0"/>
        <w:snapToGrid/>
        <w:spacing w:line="400" w:lineRule="exact"/>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fldChar w:fldCharType="end"/>
      </w:r>
      <w:bookmarkStart w:id="0" w:name="_Toc2620"/>
      <w:bookmarkStart w:id="1" w:name="_Toc18226"/>
    </w:p>
    <w:p w14:paraId="218A84A2">
      <w:pPr>
        <w:tabs>
          <w:tab w:val="left" w:pos="1341"/>
        </w:tabs>
        <w:bidi w:val="0"/>
        <w:spacing w:line="240" w:lineRule="auto"/>
        <w:jc w:val="both"/>
        <w:outlineLvl w:val="9"/>
        <w:rPr>
          <w:rFonts w:hint="default" w:ascii="Times New Roman" w:hAnsi="Times New Roman" w:cs="Times New Roman"/>
          <w:b/>
          <w:bCs/>
          <w:color w:val="auto"/>
          <w:sz w:val="30"/>
          <w:szCs w:val="30"/>
          <w:highlight w:val="none"/>
        </w:rPr>
        <w:sectPr>
          <w:footerReference r:id="rId5" w:type="default"/>
          <w:pgSz w:w="11906" w:h="16838"/>
          <w:pgMar w:top="1440" w:right="1797" w:bottom="1440" w:left="1797" w:header="851" w:footer="680" w:gutter="0"/>
          <w:pgBorders>
            <w:top w:val="none" w:sz="0" w:space="0"/>
            <w:left w:val="none" w:sz="0" w:space="0"/>
            <w:bottom w:val="none" w:sz="0" w:space="0"/>
            <w:right w:val="none" w:sz="0" w:space="0"/>
          </w:pgBorders>
          <w:pgNumType w:fmt="decimal" w:start="1"/>
          <w:cols w:space="720" w:num="1"/>
          <w:docGrid w:type="linesAndChars" w:linePitch="312" w:charSpace="0"/>
        </w:sectPr>
      </w:pPr>
    </w:p>
    <w:p w14:paraId="3FDBDAF1">
      <w:pPr>
        <w:tabs>
          <w:tab w:val="left" w:pos="1341"/>
        </w:tabs>
        <w:bidi w:val="0"/>
        <w:spacing w:line="240" w:lineRule="auto"/>
        <w:jc w:val="center"/>
        <w:outlineLvl w:val="0"/>
        <w:rPr>
          <w:rFonts w:hint="default" w:ascii="Times New Roman" w:hAnsi="Times New Roman" w:cs="Times New Roman"/>
          <w:b/>
          <w:bCs/>
          <w:color w:val="auto"/>
          <w:sz w:val="30"/>
          <w:szCs w:val="30"/>
          <w:highlight w:val="none"/>
        </w:rPr>
      </w:pPr>
      <w:bookmarkStart w:id="2" w:name="_Toc1176"/>
      <w:r>
        <w:rPr>
          <w:rFonts w:hint="default" w:ascii="Times New Roman" w:hAnsi="Times New Roman" w:cs="Times New Roman"/>
          <w:b/>
          <w:bCs/>
          <w:color w:val="auto"/>
          <w:sz w:val="30"/>
          <w:szCs w:val="30"/>
          <w:highlight w:val="none"/>
        </w:rPr>
        <w:t>一、建设项目基本情况</w:t>
      </w:r>
      <w:bookmarkEnd w:id="2"/>
    </w:p>
    <w:tbl>
      <w:tblPr>
        <w:tblStyle w:val="4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
        <w:gridCol w:w="1486"/>
        <w:gridCol w:w="1808"/>
        <w:gridCol w:w="502"/>
        <w:gridCol w:w="1146"/>
        <w:gridCol w:w="966"/>
        <w:gridCol w:w="2165"/>
      </w:tblGrid>
      <w:tr w14:paraId="7C83D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38" w:type="pct"/>
            <w:gridSpan w:val="2"/>
            <w:vAlign w:val="center"/>
          </w:tcPr>
          <w:p w14:paraId="758FC5CC">
            <w:pPr>
              <w:pStyle w:val="61"/>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建设项目名称</w:t>
            </w:r>
          </w:p>
        </w:tc>
        <w:tc>
          <w:tcPr>
            <w:tcW w:w="3861" w:type="pct"/>
            <w:gridSpan w:val="5"/>
            <w:vAlign w:val="center"/>
          </w:tcPr>
          <w:p w14:paraId="3FCAE42C">
            <w:pPr>
              <w:keepNext w:val="0"/>
              <w:keepLines w:val="0"/>
              <w:pageBreakBefore w:val="0"/>
              <w:kinsoku/>
              <w:overflowPunct/>
              <w:topLinePunct w:val="0"/>
              <w:bidi w:val="0"/>
              <w:adjustRightInd/>
              <w:snapToGrid/>
              <w:jc w:val="center"/>
              <w:outlineLvl w:val="9"/>
              <w:rPr>
                <w:rFonts w:hint="default" w:ascii="Times New Roman" w:hAnsi="Times New Roman" w:cs="Times New Roman"/>
                <w:color w:val="auto"/>
                <w:highlight w:val="none"/>
              </w:rPr>
            </w:pPr>
            <w:r>
              <w:rPr>
                <w:rFonts w:hint="eastAsia" w:cs="Times New Roman"/>
                <w:color w:val="auto"/>
                <w:highlight w:val="none"/>
                <w:u w:val="none"/>
              </w:rPr>
              <w:t>一般固废贮存收集分拣项目</w:t>
            </w:r>
          </w:p>
        </w:tc>
      </w:tr>
      <w:tr w14:paraId="1FC83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38" w:type="pct"/>
            <w:gridSpan w:val="2"/>
            <w:vAlign w:val="center"/>
          </w:tcPr>
          <w:p w14:paraId="4AC86A75">
            <w:pPr>
              <w:pStyle w:val="61"/>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项目代码</w:t>
            </w:r>
          </w:p>
        </w:tc>
        <w:tc>
          <w:tcPr>
            <w:tcW w:w="3861" w:type="pct"/>
            <w:gridSpan w:val="5"/>
            <w:vAlign w:val="center"/>
          </w:tcPr>
          <w:p w14:paraId="2F5077DE">
            <w:pPr>
              <w:pStyle w:val="61"/>
              <w:keepNext w:val="0"/>
              <w:keepLines w:val="0"/>
              <w:pageBreakBefore w:val="0"/>
              <w:kinsoku/>
              <w:overflowPunct/>
              <w:topLinePunct w:val="0"/>
              <w:bidi w:val="0"/>
              <w:adjustRightInd/>
              <w:snapToGrid/>
              <w:jc w:val="center"/>
              <w:outlineLvl w:val="9"/>
              <w:rPr>
                <w:rFonts w:hint="eastAsia" w:ascii="Times New Roman" w:hAnsi="Times New Roman" w:eastAsia="宋体" w:cs="Times New Roman"/>
                <w:color w:val="auto"/>
                <w:sz w:val="24"/>
                <w:szCs w:val="24"/>
                <w:highlight w:val="none"/>
                <w:lang w:val="en-US" w:eastAsia="zh-CN"/>
              </w:rPr>
            </w:pPr>
            <w:r>
              <w:rPr>
                <w:rFonts w:hint="eastAsia"/>
                <w:color w:val="auto"/>
              </w:rPr>
              <w:t>2607-440281-04-01-587657</w:t>
            </w:r>
          </w:p>
        </w:tc>
      </w:tr>
      <w:tr w14:paraId="5743C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38" w:type="pct"/>
            <w:gridSpan w:val="2"/>
            <w:vAlign w:val="center"/>
          </w:tcPr>
          <w:p w14:paraId="10423D29">
            <w:pPr>
              <w:pStyle w:val="61"/>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建设单位联系人</w:t>
            </w:r>
          </w:p>
        </w:tc>
        <w:tc>
          <w:tcPr>
            <w:tcW w:w="1354" w:type="pct"/>
            <w:gridSpan w:val="2"/>
            <w:vAlign w:val="center"/>
          </w:tcPr>
          <w:p w14:paraId="6A2CA95A">
            <w:pPr>
              <w:pStyle w:val="61"/>
              <w:keepNext w:val="0"/>
              <w:keepLines w:val="0"/>
              <w:pageBreakBefore w:val="0"/>
              <w:kinsoku/>
              <w:overflowPunct/>
              <w:topLinePunct w:val="0"/>
              <w:bidi w:val="0"/>
              <w:adjustRightInd/>
              <w:snapToGrid/>
              <w:jc w:val="center"/>
              <w:outlineLvl w:val="9"/>
              <w:rPr>
                <w:rFonts w:hint="default" w:ascii="Times New Roman" w:hAnsi="Times New Roman" w:cs="Times New Roman"/>
                <w:color w:val="auto"/>
                <w:sz w:val="24"/>
                <w:szCs w:val="24"/>
                <w:highlight w:val="none"/>
              </w:rPr>
            </w:pPr>
          </w:p>
        </w:tc>
        <w:tc>
          <w:tcPr>
            <w:tcW w:w="1238" w:type="pct"/>
            <w:gridSpan w:val="2"/>
            <w:vAlign w:val="center"/>
          </w:tcPr>
          <w:p w14:paraId="4728FE83">
            <w:pPr>
              <w:pStyle w:val="61"/>
              <w:keepNext w:val="0"/>
              <w:keepLines w:val="0"/>
              <w:pageBreakBefore w:val="0"/>
              <w:kinsoku/>
              <w:overflowPunct/>
              <w:topLinePunct w:val="0"/>
              <w:bidi w:val="0"/>
              <w:adjustRightInd/>
              <w:snapToGrid/>
              <w:jc w:val="center"/>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联系方式</w:t>
            </w:r>
          </w:p>
        </w:tc>
        <w:tc>
          <w:tcPr>
            <w:tcW w:w="1269" w:type="pct"/>
            <w:vAlign w:val="center"/>
          </w:tcPr>
          <w:p w14:paraId="0EF111D4">
            <w:pPr>
              <w:pStyle w:val="61"/>
              <w:keepNext w:val="0"/>
              <w:keepLines w:val="0"/>
              <w:pageBreakBefore w:val="0"/>
              <w:kinsoku/>
              <w:overflowPunct/>
              <w:topLinePunct w:val="0"/>
              <w:bidi w:val="0"/>
              <w:adjustRightInd/>
              <w:snapToGrid/>
              <w:jc w:val="center"/>
              <w:outlineLvl w:val="9"/>
              <w:rPr>
                <w:rFonts w:hint="default" w:ascii="Times New Roman" w:hAnsi="Times New Roman" w:eastAsia="宋体" w:cs="Times New Roman"/>
                <w:color w:val="auto"/>
                <w:sz w:val="24"/>
                <w:szCs w:val="24"/>
                <w:highlight w:val="none"/>
                <w:lang w:eastAsia="zh-CN"/>
              </w:rPr>
            </w:pPr>
          </w:p>
        </w:tc>
      </w:tr>
      <w:tr w14:paraId="61E0B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138" w:type="pct"/>
            <w:gridSpan w:val="2"/>
            <w:vAlign w:val="center"/>
          </w:tcPr>
          <w:p w14:paraId="08B47D97">
            <w:pPr>
              <w:pStyle w:val="61"/>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建设地点</w:t>
            </w:r>
          </w:p>
        </w:tc>
        <w:tc>
          <w:tcPr>
            <w:tcW w:w="3861" w:type="pct"/>
            <w:gridSpan w:val="5"/>
            <w:vAlign w:val="center"/>
          </w:tcPr>
          <w:p w14:paraId="4B8E98E6">
            <w:pPr>
              <w:keepNext w:val="0"/>
              <w:keepLines w:val="0"/>
              <w:pageBreakBefore w:val="0"/>
              <w:widowControl/>
              <w:kinsoku/>
              <w:overflowPunct/>
              <w:topLinePunct w:val="0"/>
              <w:bidi w:val="0"/>
              <w:adjustRightInd/>
              <w:snapToGrid/>
              <w:jc w:val="center"/>
              <w:outlineLvl w:val="9"/>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rPr>
              <w:t>广东省乐昌市乐廊路六公里乐昌市产业转移园鸿图工艺厂房A2</w:t>
            </w:r>
          </w:p>
        </w:tc>
      </w:tr>
      <w:tr w14:paraId="5DF3B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138" w:type="pct"/>
            <w:gridSpan w:val="2"/>
            <w:vAlign w:val="center"/>
          </w:tcPr>
          <w:p w14:paraId="550A53DF">
            <w:pPr>
              <w:pStyle w:val="61"/>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地理坐标</w:t>
            </w:r>
          </w:p>
        </w:tc>
        <w:tc>
          <w:tcPr>
            <w:tcW w:w="3861" w:type="pct"/>
            <w:gridSpan w:val="5"/>
            <w:vAlign w:val="center"/>
          </w:tcPr>
          <w:p w14:paraId="0A87063E">
            <w:pPr>
              <w:pStyle w:val="61"/>
              <w:keepNext w:val="0"/>
              <w:keepLines w:val="0"/>
              <w:pageBreakBefore w:val="0"/>
              <w:kinsoku/>
              <w:overflowPunct/>
              <w:topLinePunct w:val="0"/>
              <w:bidi w:val="0"/>
              <w:adjustRightInd/>
              <w:snapToGrid/>
              <w:jc w:val="center"/>
              <w:outlineLvl w:val="9"/>
              <w:rPr>
                <w:rFonts w:hint="default" w:ascii="Times New Roman" w:hAnsi="Times New Roman" w:cs="Times New Roman"/>
                <w:color w:val="auto"/>
                <w:sz w:val="24"/>
                <w:szCs w:val="24"/>
                <w:highlight w:val="none"/>
                <w:lang w:val="en-US"/>
              </w:rPr>
            </w:pPr>
            <w:r>
              <w:rPr>
                <w:rFonts w:hint="default" w:ascii="Times New Roman" w:hAnsi="Times New Roman" w:cs="Times New Roman"/>
                <w:color w:val="auto"/>
                <w:sz w:val="24"/>
                <w:szCs w:val="24"/>
                <w:highlight w:val="none"/>
                <w:lang w:val="en-US" w:eastAsia="zh-CN"/>
              </w:rPr>
              <w:t>E11</w:t>
            </w:r>
            <w:r>
              <w:rPr>
                <w:rFonts w:hint="eastAsia" w:cs="Times New Roman"/>
                <w:color w:val="auto"/>
                <w:sz w:val="24"/>
                <w:szCs w:val="24"/>
                <w:highlight w:val="none"/>
                <w:lang w:val="en-US" w:eastAsia="zh-CN"/>
              </w:rPr>
              <w:t>3</w:t>
            </w:r>
            <w:r>
              <w:rPr>
                <w:rFonts w:hint="default" w:ascii="Times New Roman" w:hAnsi="Times New Roman" w:cs="Times New Roman"/>
                <w:color w:val="auto"/>
                <w:sz w:val="24"/>
                <w:szCs w:val="24"/>
                <w:highlight w:val="none"/>
                <w:lang w:val="en-US" w:eastAsia="zh-CN"/>
              </w:rPr>
              <w:t>°2</w:t>
            </w:r>
            <w:r>
              <w:rPr>
                <w:rFonts w:hint="eastAsia" w:cs="Times New Roman"/>
                <w:color w:val="auto"/>
                <w:sz w:val="24"/>
                <w:szCs w:val="24"/>
                <w:highlight w:val="none"/>
                <w:lang w:val="en-US" w:eastAsia="zh-CN"/>
              </w:rPr>
              <w:t>4</w:t>
            </w: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1.8972</w:t>
            </w:r>
            <w:r>
              <w:rPr>
                <w:rFonts w:hint="default" w:ascii="Times New Roman" w:hAnsi="Times New Roman" w:cs="Times New Roman"/>
                <w:color w:val="auto"/>
                <w:sz w:val="24"/>
                <w:szCs w:val="24"/>
                <w:highlight w:val="none"/>
                <w:lang w:val="en-US" w:eastAsia="zh-CN"/>
              </w:rPr>
              <w:t>″，N25°8′</w:t>
            </w:r>
            <w:r>
              <w:rPr>
                <w:rFonts w:hint="eastAsia" w:cs="Times New Roman"/>
                <w:color w:val="auto"/>
                <w:sz w:val="24"/>
                <w:szCs w:val="24"/>
                <w:highlight w:val="none"/>
                <w:lang w:val="en-US" w:eastAsia="zh-CN"/>
              </w:rPr>
              <w:t>13.3656</w:t>
            </w:r>
            <w:r>
              <w:rPr>
                <w:rFonts w:hint="default" w:ascii="Times New Roman" w:hAnsi="Times New Roman" w:cs="Times New Roman"/>
                <w:color w:val="auto"/>
                <w:sz w:val="24"/>
                <w:szCs w:val="24"/>
                <w:highlight w:val="none"/>
                <w:lang w:val="en-US" w:eastAsia="zh-CN"/>
              </w:rPr>
              <w:t>″</w:t>
            </w:r>
          </w:p>
        </w:tc>
      </w:tr>
      <w:tr w14:paraId="3765B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3" w:hRule="atLeast"/>
          <w:jc w:val="center"/>
        </w:trPr>
        <w:tc>
          <w:tcPr>
            <w:tcW w:w="1138" w:type="pct"/>
            <w:gridSpan w:val="2"/>
            <w:vAlign w:val="center"/>
          </w:tcPr>
          <w:p w14:paraId="20CF9A68">
            <w:pPr>
              <w:pStyle w:val="61"/>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国民经济</w:t>
            </w:r>
          </w:p>
          <w:p w14:paraId="77CF8D83">
            <w:pPr>
              <w:pStyle w:val="61"/>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行业类别</w:t>
            </w:r>
          </w:p>
        </w:tc>
        <w:tc>
          <w:tcPr>
            <w:tcW w:w="1060" w:type="pct"/>
            <w:vAlign w:val="center"/>
          </w:tcPr>
          <w:p w14:paraId="67FDB98C">
            <w:pPr>
              <w:pStyle w:val="61"/>
              <w:keepNext w:val="0"/>
              <w:keepLines w:val="0"/>
              <w:pageBreakBefore w:val="0"/>
              <w:kinsoku/>
              <w:overflowPunct/>
              <w:topLinePunct w:val="0"/>
              <w:bidi w:val="0"/>
              <w:adjustRightInd/>
              <w:snapToGrid/>
              <w:outlineLvl w:val="9"/>
              <w:rPr>
                <w:rFonts w:hint="default" w:ascii="Times New Roman" w:hAnsi="Times New Roman" w:cs="Times New Roman"/>
                <w:color w:val="auto"/>
                <w:sz w:val="24"/>
                <w:szCs w:val="24"/>
                <w:highlight w:val="none"/>
                <w:lang w:val="en-US"/>
              </w:rPr>
            </w:pPr>
            <w:r>
              <w:rPr>
                <w:rFonts w:hint="eastAsia" w:cs="Times New Roman"/>
                <w:color w:val="auto"/>
                <w:sz w:val="24"/>
                <w:szCs w:val="24"/>
                <w:highlight w:val="none"/>
                <w:lang w:val="en-US" w:eastAsia="zh-CN"/>
              </w:rPr>
              <w:t>N7723 固体废物治理</w:t>
            </w:r>
          </w:p>
        </w:tc>
        <w:tc>
          <w:tcPr>
            <w:tcW w:w="966" w:type="pct"/>
            <w:gridSpan w:val="2"/>
            <w:vAlign w:val="center"/>
          </w:tcPr>
          <w:p w14:paraId="49A0A603">
            <w:pPr>
              <w:pStyle w:val="61"/>
              <w:keepNext w:val="0"/>
              <w:keepLines w:val="0"/>
              <w:pageBreakBefore w:val="0"/>
              <w:kinsoku/>
              <w:overflowPunct/>
              <w:topLinePunct w:val="0"/>
              <w:bidi w:val="0"/>
              <w:adjustRightInd/>
              <w:snapToGrid/>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建设项目</w:t>
            </w:r>
          </w:p>
          <w:p w14:paraId="6C0FDC7D">
            <w:pPr>
              <w:pStyle w:val="61"/>
              <w:keepNext w:val="0"/>
              <w:keepLines w:val="0"/>
              <w:pageBreakBefore w:val="0"/>
              <w:kinsoku/>
              <w:overflowPunct/>
              <w:topLinePunct w:val="0"/>
              <w:bidi w:val="0"/>
              <w:adjustRightInd/>
              <w:snapToGrid/>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行业类别</w:t>
            </w:r>
          </w:p>
        </w:tc>
        <w:tc>
          <w:tcPr>
            <w:tcW w:w="1835" w:type="pct"/>
            <w:gridSpan w:val="2"/>
            <w:vAlign w:val="center"/>
          </w:tcPr>
          <w:p w14:paraId="61979E73">
            <w:pPr>
              <w:pStyle w:val="61"/>
              <w:keepNext w:val="0"/>
              <w:keepLines w:val="0"/>
              <w:pageBreakBefore w:val="0"/>
              <w:kinsoku/>
              <w:overflowPunct/>
              <w:topLinePunct w:val="0"/>
              <w:bidi w:val="0"/>
              <w:adjustRightInd/>
              <w:snapToGrid/>
              <w:outlineLvl w:val="9"/>
              <w:rPr>
                <w:rFonts w:hint="default" w:ascii="Times New Roman" w:hAnsi="Times New Roman" w:eastAsia="宋体" w:cs="Times New Roman"/>
                <w:color w:val="auto"/>
                <w:sz w:val="24"/>
                <w:szCs w:val="24"/>
                <w:lang w:val="en-US" w:eastAsia="zh-CN"/>
              </w:rPr>
            </w:pPr>
            <w:r>
              <w:rPr>
                <w:rFonts w:hint="eastAsia" w:cs="Times New Roman"/>
                <w:color w:val="auto"/>
                <w:sz w:val="24"/>
                <w:szCs w:val="24"/>
                <w:highlight w:val="none"/>
                <w:lang w:val="en-US" w:eastAsia="zh-CN"/>
              </w:rPr>
              <w:t>四十七、生态保护和环境治理业-103一般工业固体废物（含污水处理污泥）、建筑施工废弃物处置及综合利用-其他</w:t>
            </w:r>
          </w:p>
        </w:tc>
      </w:tr>
      <w:tr w14:paraId="4FA54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atLeast"/>
          <w:jc w:val="center"/>
        </w:trPr>
        <w:tc>
          <w:tcPr>
            <w:tcW w:w="1138" w:type="pct"/>
            <w:gridSpan w:val="2"/>
            <w:vAlign w:val="center"/>
          </w:tcPr>
          <w:p w14:paraId="73C458E0">
            <w:pPr>
              <w:pStyle w:val="61"/>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建设性质</w:t>
            </w:r>
          </w:p>
        </w:tc>
        <w:tc>
          <w:tcPr>
            <w:tcW w:w="1060" w:type="pct"/>
            <w:vAlign w:val="center"/>
          </w:tcPr>
          <w:p w14:paraId="67B176E9">
            <w:pPr>
              <w:keepNext w:val="0"/>
              <w:keepLines w:val="0"/>
              <w:pageBreakBefore w:val="0"/>
              <w:kinsoku/>
              <w:overflowPunct/>
              <w:topLinePunct w:val="0"/>
              <w:bidi w:val="0"/>
              <w:adjustRightInd/>
              <w:snapToGrid/>
              <w:spacing w:line="240" w:lineRule="auto"/>
              <w:jc w:val="left"/>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sym w:font="Wingdings" w:char="00FE"/>
            </w:r>
            <w:r>
              <w:rPr>
                <w:rFonts w:hint="default" w:ascii="Times New Roman" w:hAnsi="Times New Roman" w:cs="Times New Roman"/>
                <w:color w:val="auto"/>
                <w:highlight w:val="none"/>
              </w:rPr>
              <w:t>新建（迁建）</w:t>
            </w:r>
          </w:p>
          <w:p w14:paraId="2F52201F">
            <w:pPr>
              <w:keepNext w:val="0"/>
              <w:keepLines w:val="0"/>
              <w:pageBreakBefore w:val="0"/>
              <w:kinsoku/>
              <w:overflowPunct/>
              <w:topLinePunct w:val="0"/>
              <w:bidi w:val="0"/>
              <w:adjustRightInd/>
              <w:snapToGrid/>
              <w:spacing w:line="240" w:lineRule="auto"/>
              <w:jc w:val="left"/>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sym w:font="Wingdings" w:char="00A8"/>
            </w:r>
            <w:r>
              <w:rPr>
                <w:rFonts w:hint="default" w:ascii="Times New Roman" w:hAnsi="Times New Roman" w:cs="Times New Roman"/>
                <w:color w:val="auto"/>
                <w:highlight w:val="none"/>
              </w:rPr>
              <w:t>改建</w:t>
            </w:r>
          </w:p>
          <w:p w14:paraId="39ECA47D">
            <w:pPr>
              <w:keepNext w:val="0"/>
              <w:keepLines w:val="0"/>
              <w:pageBreakBefore w:val="0"/>
              <w:kinsoku/>
              <w:overflowPunct/>
              <w:topLinePunct w:val="0"/>
              <w:bidi w:val="0"/>
              <w:adjustRightInd/>
              <w:snapToGrid/>
              <w:spacing w:line="240" w:lineRule="auto"/>
              <w:jc w:val="left"/>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sym w:font="Wingdings" w:char="00A8"/>
            </w:r>
            <w:r>
              <w:rPr>
                <w:rFonts w:hint="default" w:ascii="Times New Roman" w:hAnsi="Times New Roman" w:cs="Times New Roman"/>
                <w:color w:val="auto"/>
                <w:highlight w:val="none"/>
              </w:rPr>
              <w:t>扩建</w:t>
            </w:r>
          </w:p>
          <w:p w14:paraId="613443EA">
            <w:pPr>
              <w:keepNext w:val="0"/>
              <w:keepLines w:val="0"/>
              <w:pageBreakBefore w:val="0"/>
              <w:kinsoku/>
              <w:overflowPunct/>
              <w:topLinePunct w:val="0"/>
              <w:bidi w:val="0"/>
              <w:adjustRightInd/>
              <w:snapToGrid/>
              <w:spacing w:line="240" w:lineRule="auto"/>
              <w:jc w:val="left"/>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sym w:font="Wingdings" w:char="00A8"/>
            </w:r>
            <w:r>
              <w:rPr>
                <w:rFonts w:hint="default" w:ascii="Times New Roman" w:hAnsi="Times New Roman" w:cs="Times New Roman"/>
                <w:color w:val="auto"/>
                <w:highlight w:val="none"/>
              </w:rPr>
              <w:t>技术改造</w:t>
            </w:r>
          </w:p>
        </w:tc>
        <w:tc>
          <w:tcPr>
            <w:tcW w:w="966" w:type="pct"/>
            <w:gridSpan w:val="2"/>
            <w:vAlign w:val="center"/>
          </w:tcPr>
          <w:p w14:paraId="761C70D2">
            <w:pPr>
              <w:pStyle w:val="61"/>
              <w:keepNext w:val="0"/>
              <w:keepLines w:val="0"/>
              <w:pageBreakBefore w:val="0"/>
              <w:kinsoku/>
              <w:overflowPunct/>
              <w:topLinePunct w:val="0"/>
              <w:bidi w:val="0"/>
              <w:adjustRightInd/>
              <w:snapToGrid/>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建设项目</w:t>
            </w:r>
          </w:p>
          <w:p w14:paraId="368E87B0">
            <w:pPr>
              <w:pStyle w:val="61"/>
              <w:keepNext w:val="0"/>
              <w:keepLines w:val="0"/>
              <w:pageBreakBefore w:val="0"/>
              <w:kinsoku/>
              <w:overflowPunct/>
              <w:topLinePunct w:val="0"/>
              <w:bidi w:val="0"/>
              <w:adjustRightInd/>
              <w:snapToGrid/>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申报情形</w:t>
            </w:r>
          </w:p>
        </w:tc>
        <w:tc>
          <w:tcPr>
            <w:tcW w:w="1835" w:type="pct"/>
            <w:gridSpan w:val="2"/>
            <w:vAlign w:val="center"/>
          </w:tcPr>
          <w:p w14:paraId="48663949">
            <w:pPr>
              <w:keepNext w:val="0"/>
              <w:keepLines w:val="0"/>
              <w:pageBreakBefore w:val="0"/>
              <w:kinsoku/>
              <w:overflowPunct/>
              <w:topLinePunct w:val="0"/>
              <w:bidi w:val="0"/>
              <w:adjustRightInd/>
              <w:snapToGrid/>
              <w:spacing w:line="240" w:lineRule="auto"/>
              <w:jc w:val="left"/>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sym w:font="Wingdings" w:char="00FE"/>
            </w:r>
            <w:r>
              <w:rPr>
                <w:rFonts w:hint="default" w:ascii="Times New Roman" w:hAnsi="Times New Roman" w:cs="Times New Roman"/>
                <w:color w:val="auto"/>
                <w:highlight w:val="none"/>
              </w:rPr>
              <w:t>首次申报项目</w:t>
            </w:r>
          </w:p>
          <w:p w14:paraId="15F18BE2">
            <w:pPr>
              <w:keepNext w:val="0"/>
              <w:keepLines w:val="0"/>
              <w:pageBreakBefore w:val="0"/>
              <w:kinsoku/>
              <w:overflowPunct/>
              <w:topLinePunct w:val="0"/>
              <w:bidi w:val="0"/>
              <w:adjustRightInd/>
              <w:snapToGrid/>
              <w:spacing w:line="240" w:lineRule="auto"/>
              <w:jc w:val="left"/>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sym w:font="Wingdings" w:char="00A8"/>
            </w:r>
            <w:r>
              <w:rPr>
                <w:rFonts w:hint="default" w:ascii="Times New Roman" w:hAnsi="Times New Roman" w:cs="Times New Roman"/>
                <w:color w:val="auto"/>
                <w:highlight w:val="none"/>
              </w:rPr>
              <w:t>不予批准后再次申报项目</w:t>
            </w:r>
          </w:p>
          <w:p w14:paraId="1A531938">
            <w:pPr>
              <w:keepNext w:val="0"/>
              <w:keepLines w:val="0"/>
              <w:pageBreakBefore w:val="0"/>
              <w:kinsoku/>
              <w:overflowPunct/>
              <w:topLinePunct w:val="0"/>
              <w:bidi w:val="0"/>
              <w:adjustRightInd/>
              <w:snapToGrid/>
              <w:spacing w:line="240" w:lineRule="auto"/>
              <w:jc w:val="left"/>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sym w:font="Wingdings" w:char="00A8"/>
            </w:r>
            <w:r>
              <w:rPr>
                <w:rFonts w:hint="default" w:ascii="Times New Roman" w:hAnsi="Times New Roman" w:cs="Times New Roman"/>
                <w:color w:val="auto"/>
                <w:highlight w:val="none"/>
              </w:rPr>
              <w:t>超五年重新审核项目</w:t>
            </w:r>
          </w:p>
          <w:p w14:paraId="02E60134">
            <w:pPr>
              <w:keepNext w:val="0"/>
              <w:keepLines w:val="0"/>
              <w:pageBreakBefore w:val="0"/>
              <w:kinsoku/>
              <w:overflowPunct/>
              <w:topLinePunct w:val="0"/>
              <w:bidi w:val="0"/>
              <w:adjustRightInd/>
              <w:snapToGrid/>
              <w:spacing w:line="240" w:lineRule="auto"/>
              <w:jc w:val="left"/>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sym w:font="Wingdings" w:char="00A8"/>
            </w:r>
            <w:r>
              <w:rPr>
                <w:rFonts w:hint="default" w:ascii="Times New Roman" w:hAnsi="Times New Roman" w:cs="Times New Roman"/>
                <w:color w:val="auto"/>
                <w:highlight w:val="none"/>
              </w:rPr>
              <w:t>重大变动重新报批项目</w:t>
            </w:r>
          </w:p>
        </w:tc>
      </w:tr>
      <w:tr w14:paraId="3383E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1138" w:type="pct"/>
            <w:gridSpan w:val="2"/>
            <w:vAlign w:val="center"/>
          </w:tcPr>
          <w:p w14:paraId="14C18C72">
            <w:pPr>
              <w:pStyle w:val="61"/>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项目审批（核准/备案）部门（选填）</w:t>
            </w:r>
          </w:p>
        </w:tc>
        <w:tc>
          <w:tcPr>
            <w:tcW w:w="1060" w:type="pct"/>
            <w:vAlign w:val="center"/>
          </w:tcPr>
          <w:p w14:paraId="411E35B7">
            <w:pPr>
              <w:pStyle w:val="61"/>
              <w:keepNext w:val="0"/>
              <w:keepLines w:val="0"/>
              <w:pageBreakBefore w:val="0"/>
              <w:kinsoku/>
              <w:overflowPunct/>
              <w:topLinePunct w:val="0"/>
              <w:bidi w:val="0"/>
              <w:adjustRightInd/>
              <w:snapToGrid/>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p>
        </w:tc>
        <w:tc>
          <w:tcPr>
            <w:tcW w:w="966" w:type="pct"/>
            <w:gridSpan w:val="2"/>
            <w:vAlign w:val="center"/>
          </w:tcPr>
          <w:p w14:paraId="05952695">
            <w:pPr>
              <w:pStyle w:val="61"/>
              <w:keepNext w:val="0"/>
              <w:keepLines w:val="0"/>
              <w:pageBreakBefore w:val="0"/>
              <w:kinsoku/>
              <w:overflowPunct/>
              <w:topLinePunct w:val="0"/>
              <w:bidi w:val="0"/>
              <w:adjustRightInd/>
              <w:snapToGrid/>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项目审批（核准/备案）文号（选填）</w:t>
            </w:r>
          </w:p>
        </w:tc>
        <w:tc>
          <w:tcPr>
            <w:tcW w:w="1835" w:type="pct"/>
            <w:gridSpan w:val="2"/>
            <w:vAlign w:val="center"/>
          </w:tcPr>
          <w:p w14:paraId="5CA33AF6">
            <w:pPr>
              <w:pStyle w:val="61"/>
              <w:keepNext w:val="0"/>
              <w:keepLines w:val="0"/>
              <w:pageBreakBefore w:val="0"/>
              <w:kinsoku/>
              <w:overflowPunct/>
              <w:topLinePunct w:val="0"/>
              <w:bidi w:val="0"/>
              <w:adjustRightInd/>
              <w:snapToGrid/>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p>
        </w:tc>
      </w:tr>
      <w:tr w14:paraId="79627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138" w:type="pct"/>
            <w:gridSpan w:val="2"/>
            <w:vAlign w:val="center"/>
          </w:tcPr>
          <w:p w14:paraId="55295D96">
            <w:pPr>
              <w:pStyle w:val="61"/>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总投资（万元）</w:t>
            </w:r>
          </w:p>
        </w:tc>
        <w:tc>
          <w:tcPr>
            <w:tcW w:w="1060" w:type="pct"/>
            <w:shd w:val="clear" w:color="auto" w:fill="auto"/>
            <w:vAlign w:val="center"/>
          </w:tcPr>
          <w:p w14:paraId="798B3F4C">
            <w:pPr>
              <w:pStyle w:val="61"/>
              <w:keepNext w:val="0"/>
              <w:keepLines w:val="0"/>
              <w:pageBreakBefore w:val="0"/>
              <w:kinsoku/>
              <w:overflowPunct/>
              <w:topLinePunct w:val="0"/>
              <w:bidi w:val="0"/>
              <w:adjustRightInd/>
              <w:snapToGrid/>
              <w:outlineLvl w:val="9"/>
              <w:rPr>
                <w:rFonts w:hint="default" w:ascii="Times New Roman" w:hAnsi="Times New Roman" w:eastAsia="宋体" w:cs="Times New Roman"/>
                <w:color w:val="auto"/>
                <w:position w:val="-10"/>
                <w:sz w:val="24"/>
                <w:szCs w:val="24"/>
                <w:highlight w:val="none"/>
                <w:lang w:val="en-US" w:eastAsia="zh-CN" w:bidi="ar-SA"/>
              </w:rPr>
            </w:pPr>
            <w:r>
              <w:rPr>
                <w:rFonts w:hint="eastAsia" w:cs="Times New Roman"/>
                <w:color w:val="auto"/>
                <w:sz w:val="24"/>
                <w:szCs w:val="24"/>
                <w:highlight w:val="none"/>
                <w:lang w:val="en-US" w:eastAsia="zh-CN"/>
              </w:rPr>
              <w:t>100</w:t>
            </w:r>
          </w:p>
        </w:tc>
        <w:tc>
          <w:tcPr>
            <w:tcW w:w="966" w:type="pct"/>
            <w:gridSpan w:val="2"/>
            <w:vAlign w:val="center"/>
          </w:tcPr>
          <w:p w14:paraId="51C05153">
            <w:pPr>
              <w:pStyle w:val="61"/>
              <w:keepNext w:val="0"/>
              <w:keepLines w:val="0"/>
              <w:pageBreakBefore w:val="0"/>
              <w:kinsoku/>
              <w:overflowPunct/>
              <w:topLinePunct w:val="0"/>
              <w:bidi w:val="0"/>
              <w:adjustRightInd/>
              <w:snapToGrid/>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环保投资</w:t>
            </w:r>
          </w:p>
          <w:p w14:paraId="12336A61">
            <w:pPr>
              <w:pStyle w:val="61"/>
              <w:keepNext w:val="0"/>
              <w:keepLines w:val="0"/>
              <w:pageBreakBefore w:val="0"/>
              <w:kinsoku/>
              <w:overflowPunct/>
              <w:topLinePunct w:val="0"/>
              <w:bidi w:val="0"/>
              <w:adjustRightInd/>
              <w:snapToGrid/>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（万元）</w:t>
            </w:r>
          </w:p>
        </w:tc>
        <w:tc>
          <w:tcPr>
            <w:tcW w:w="1835" w:type="pct"/>
            <w:gridSpan w:val="2"/>
            <w:vAlign w:val="center"/>
          </w:tcPr>
          <w:p w14:paraId="7642A9E0">
            <w:pPr>
              <w:pStyle w:val="61"/>
              <w:keepNext w:val="0"/>
              <w:keepLines w:val="0"/>
              <w:pageBreakBefore w:val="0"/>
              <w:kinsoku/>
              <w:overflowPunct/>
              <w:topLinePunct w:val="0"/>
              <w:bidi w:val="0"/>
              <w:adjustRightInd/>
              <w:snapToGrid/>
              <w:outlineLvl w:val="9"/>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5</w:t>
            </w:r>
          </w:p>
        </w:tc>
      </w:tr>
      <w:tr w14:paraId="395C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138" w:type="pct"/>
            <w:gridSpan w:val="2"/>
            <w:vAlign w:val="center"/>
          </w:tcPr>
          <w:p w14:paraId="1C4C89ED">
            <w:pPr>
              <w:pStyle w:val="61"/>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环保投资占比（%）</w:t>
            </w:r>
          </w:p>
        </w:tc>
        <w:tc>
          <w:tcPr>
            <w:tcW w:w="1060" w:type="pct"/>
            <w:shd w:val="clear" w:color="auto" w:fill="auto"/>
            <w:vAlign w:val="center"/>
          </w:tcPr>
          <w:p w14:paraId="692ADBAE">
            <w:pPr>
              <w:pStyle w:val="61"/>
              <w:keepNext w:val="0"/>
              <w:keepLines w:val="0"/>
              <w:pageBreakBefore w:val="0"/>
              <w:kinsoku/>
              <w:overflowPunct/>
              <w:topLinePunct w:val="0"/>
              <w:bidi w:val="0"/>
              <w:adjustRightInd/>
              <w:snapToGrid/>
              <w:outlineLvl w:val="9"/>
              <w:rPr>
                <w:rFonts w:hint="default" w:ascii="Times New Roman" w:hAnsi="Times New Roman" w:eastAsia="宋体" w:cs="Times New Roman"/>
                <w:color w:val="auto"/>
                <w:position w:val="-10"/>
                <w:sz w:val="24"/>
                <w:szCs w:val="24"/>
                <w:highlight w:val="none"/>
                <w:lang w:val="en-US" w:eastAsia="zh-CN" w:bidi="ar-SA"/>
              </w:rPr>
            </w:pPr>
            <w:r>
              <w:rPr>
                <w:rFonts w:hint="eastAsia" w:cs="Times New Roman"/>
                <w:color w:val="auto"/>
                <w:sz w:val="24"/>
                <w:szCs w:val="24"/>
                <w:highlight w:val="none"/>
                <w:lang w:val="en-US" w:eastAsia="zh-CN"/>
              </w:rPr>
              <w:t>5</w:t>
            </w:r>
          </w:p>
        </w:tc>
        <w:tc>
          <w:tcPr>
            <w:tcW w:w="966" w:type="pct"/>
            <w:gridSpan w:val="2"/>
            <w:vAlign w:val="center"/>
          </w:tcPr>
          <w:p w14:paraId="1258962C">
            <w:pPr>
              <w:pStyle w:val="61"/>
              <w:keepNext w:val="0"/>
              <w:keepLines w:val="0"/>
              <w:pageBreakBefore w:val="0"/>
              <w:kinsoku/>
              <w:overflowPunct/>
              <w:topLinePunct w:val="0"/>
              <w:bidi w:val="0"/>
              <w:adjustRightInd/>
              <w:snapToGrid/>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施工工期</w:t>
            </w:r>
          </w:p>
        </w:tc>
        <w:tc>
          <w:tcPr>
            <w:tcW w:w="1835" w:type="pct"/>
            <w:gridSpan w:val="2"/>
            <w:vAlign w:val="center"/>
          </w:tcPr>
          <w:p w14:paraId="1D4392BC">
            <w:pPr>
              <w:pStyle w:val="61"/>
              <w:keepNext w:val="0"/>
              <w:keepLines w:val="0"/>
              <w:pageBreakBefore w:val="0"/>
              <w:kinsoku/>
              <w:overflowPunct/>
              <w:topLinePunct w:val="0"/>
              <w:bidi w:val="0"/>
              <w:adjustRightInd/>
              <w:snapToGrid/>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w:t>
            </w:r>
          </w:p>
        </w:tc>
      </w:tr>
      <w:tr w14:paraId="328C0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8" w:type="pct"/>
            <w:gridSpan w:val="2"/>
            <w:vAlign w:val="center"/>
          </w:tcPr>
          <w:p w14:paraId="03FD45D0">
            <w:pPr>
              <w:pStyle w:val="61"/>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是否开工建设</w:t>
            </w:r>
          </w:p>
        </w:tc>
        <w:tc>
          <w:tcPr>
            <w:tcW w:w="1060" w:type="pct"/>
            <w:vAlign w:val="center"/>
          </w:tcPr>
          <w:p w14:paraId="1F724CB8">
            <w:pPr>
              <w:keepNext w:val="0"/>
              <w:keepLines w:val="0"/>
              <w:pageBreakBefore w:val="0"/>
              <w:kinsoku/>
              <w:overflowPunct/>
              <w:topLinePunct w:val="0"/>
              <w:bidi w:val="0"/>
              <w:adjustRightInd/>
              <w:snapToGrid/>
              <w:spacing w:line="240" w:lineRule="auto"/>
              <w:jc w:val="left"/>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sym w:font="Wingdings" w:char="00FE"/>
            </w:r>
            <w:r>
              <w:rPr>
                <w:rFonts w:hint="default" w:ascii="Times New Roman" w:hAnsi="Times New Roman" w:cs="Times New Roman"/>
                <w:color w:val="auto"/>
                <w:highlight w:val="none"/>
              </w:rPr>
              <w:t>否</w:t>
            </w:r>
          </w:p>
          <w:p w14:paraId="0816CBD6">
            <w:pPr>
              <w:keepNext w:val="0"/>
              <w:keepLines w:val="0"/>
              <w:pageBreakBefore w:val="0"/>
              <w:kinsoku/>
              <w:overflowPunct/>
              <w:topLinePunct w:val="0"/>
              <w:bidi w:val="0"/>
              <w:adjustRightInd/>
              <w:snapToGrid/>
              <w:spacing w:line="240" w:lineRule="auto"/>
              <w:jc w:val="left"/>
              <w:outlineLvl w:val="9"/>
              <w:rPr>
                <w:rFonts w:hint="default" w:ascii="Times New Roman" w:hAnsi="Times New Roman" w:cs="Times New Roman"/>
                <w:color w:val="auto"/>
                <w:highlight w:val="none"/>
                <w:u w:val="single"/>
              </w:rPr>
            </w:pPr>
            <w:r>
              <w:rPr>
                <w:rFonts w:hint="default" w:ascii="Times New Roman" w:hAnsi="Times New Roman" w:cs="Times New Roman"/>
                <w:color w:val="auto"/>
                <w:highlight w:val="none"/>
              </w:rPr>
              <w:sym w:font="Wingdings" w:char="00A8"/>
            </w:r>
            <w:r>
              <w:rPr>
                <w:rFonts w:hint="default" w:ascii="Times New Roman" w:hAnsi="Times New Roman" w:cs="Times New Roman"/>
                <w:color w:val="auto"/>
                <w:highlight w:val="none"/>
              </w:rPr>
              <w:t>是：</w:t>
            </w:r>
          </w:p>
        </w:tc>
        <w:tc>
          <w:tcPr>
            <w:tcW w:w="966" w:type="pct"/>
            <w:gridSpan w:val="2"/>
            <w:vAlign w:val="center"/>
          </w:tcPr>
          <w:p w14:paraId="45764465">
            <w:pPr>
              <w:pStyle w:val="61"/>
              <w:keepNext w:val="0"/>
              <w:keepLines w:val="0"/>
              <w:pageBreakBefore w:val="0"/>
              <w:kinsoku/>
              <w:overflowPunct/>
              <w:topLinePunct w:val="0"/>
              <w:bidi w:val="0"/>
              <w:adjustRightInd/>
              <w:snapToGrid/>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用地（用海）面积（m</w:t>
            </w:r>
            <w:r>
              <w:rPr>
                <w:rFonts w:hint="default" w:ascii="Times New Roman" w:hAnsi="Times New Roman" w:cs="Times New Roman"/>
                <w:color w:val="auto"/>
                <w:sz w:val="24"/>
                <w:szCs w:val="24"/>
                <w:highlight w:val="none"/>
                <w:vertAlign w:val="superscript"/>
              </w:rPr>
              <w:t>2</w:t>
            </w:r>
            <w:r>
              <w:rPr>
                <w:rFonts w:hint="default" w:ascii="Times New Roman" w:hAnsi="Times New Roman" w:cs="Times New Roman"/>
                <w:color w:val="auto"/>
                <w:sz w:val="24"/>
                <w:szCs w:val="24"/>
                <w:highlight w:val="none"/>
              </w:rPr>
              <w:t>）</w:t>
            </w:r>
          </w:p>
        </w:tc>
        <w:tc>
          <w:tcPr>
            <w:tcW w:w="1835" w:type="pct"/>
            <w:gridSpan w:val="2"/>
            <w:vAlign w:val="center"/>
          </w:tcPr>
          <w:p w14:paraId="6FC1BEC8">
            <w:pPr>
              <w:pStyle w:val="61"/>
              <w:keepNext w:val="0"/>
              <w:keepLines w:val="0"/>
              <w:pageBreakBefore w:val="0"/>
              <w:kinsoku/>
              <w:overflowPunct/>
              <w:topLinePunct w:val="0"/>
              <w:bidi w:val="0"/>
              <w:adjustRightInd/>
              <w:snapToGrid/>
              <w:outlineLvl w:val="9"/>
              <w:rPr>
                <w:rFonts w:hint="default" w:ascii="Times New Roman" w:hAnsi="Times New Roman" w:eastAsia="宋体" w:cs="Times New Roman"/>
                <w:color w:val="auto"/>
                <w:sz w:val="24"/>
                <w:szCs w:val="24"/>
                <w:highlight w:val="none"/>
                <w:lang w:val="en-US" w:eastAsia="zh-CN"/>
              </w:rPr>
            </w:pPr>
            <w:r>
              <w:rPr>
                <w:rFonts w:hint="eastAsia" w:cs="Times New Roman"/>
                <w:color w:val="auto"/>
                <w:highlight w:val="none"/>
                <w:lang w:val="en-US" w:eastAsia="zh-CN"/>
              </w:rPr>
              <w:t>3420</w:t>
            </w:r>
          </w:p>
        </w:tc>
      </w:tr>
      <w:tr w14:paraId="5C7C6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138" w:type="pct"/>
            <w:gridSpan w:val="2"/>
            <w:vAlign w:val="center"/>
          </w:tcPr>
          <w:p w14:paraId="2452A3DE">
            <w:pPr>
              <w:pStyle w:val="61"/>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专项评价设置情况</w:t>
            </w:r>
          </w:p>
        </w:tc>
        <w:tc>
          <w:tcPr>
            <w:tcW w:w="3861" w:type="pct"/>
            <w:gridSpan w:val="5"/>
            <w:vAlign w:val="center"/>
          </w:tcPr>
          <w:p w14:paraId="0E4CA0BA">
            <w:pPr>
              <w:pStyle w:val="61"/>
              <w:keepNext w:val="0"/>
              <w:keepLines w:val="0"/>
              <w:pageBreakBefore w:val="0"/>
              <w:kinsoku/>
              <w:overflowPunct/>
              <w:topLinePunct w:val="0"/>
              <w:bidi w:val="0"/>
              <w:adjustRightInd/>
              <w:snapToGrid/>
              <w:outlineLvl w:val="9"/>
              <w:rPr>
                <w:rFonts w:hint="default" w:ascii="Times New Roman" w:hAnsi="Times New Roman" w:cs="Times New Roman"/>
                <w:color w:val="auto"/>
                <w:sz w:val="24"/>
                <w:szCs w:val="22"/>
                <w:highlight w:val="none"/>
                <w:lang w:val="en-US"/>
              </w:rPr>
            </w:pPr>
            <w:r>
              <w:rPr>
                <w:rFonts w:hint="default" w:ascii="Times New Roman" w:hAnsi="Times New Roman" w:cs="Times New Roman"/>
                <w:color w:val="auto"/>
                <w:sz w:val="24"/>
                <w:szCs w:val="24"/>
                <w:highlight w:val="none"/>
                <w:lang w:val="en-US" w:eastAsia="zh-CN"/>
              </w:rPr>
              <w:t>无</w:t>
            </w:r>
          </w:p>
        </w:tc>
      </w:tr>
      <w:tr w14:paraId="1B227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138" w:type="pct"/>
            <w:gridSpan w:val="2"/>
            <w:vAlign w:val="center"/>
          </w:tcPr>
          <w:p w14:paraId="4A5F6B5E">
            <w:pPr>
              <w:pStyle w:val="61"/>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规划情况</w:t>
            </w:r>
          </w:p>
        </w:tc>
        <w:tc>
          <w:tcPr>
            <w:tcW w:w="3861" w:type="pct"/>
            <w:gridSpan w:val="5"/>
            <w:vAlign w:val="center"/>
          </w:tcPr>
          <w:p w14:paraId="606F737D">
            <w:pPr>
              <w:pStyle w:val="61"/>
              <w:keepNext w:val="0"/>
              <w:keepLines w:val="0"/>
              <w:pageBreakBefore w:val="0"/>
              <w:kinsoku/>
              <w:overflowPunct/>
              <w:topLinePunct w:val="0"/>
              <w:bidi w:val="0"/>
              <w:adjustRightInd/>
              <w:snapToGrid/>
              <w:outlineLvl w:val="9"/>
              <w:rPr>
                <w:rFonts w:hint="default" w:ascii="Times New Roman" w:hAnsi="Times New Roman" w:cs="Times New Roman"/>
                <w:color w:val="auto"/>
                <w:sz w:val="24"/>
                <w:szCs w:val="22"/>
                <w:highlight w:val="none"/>
              </w:rPr>
            </w:pPr>
            <w:r>
              <w:rPr>
                <w:rFonts w:hint="default" w:ascii="Times New Roman" w:hAnsi="Times New Roman" w:cs="Times New Roman"/>
                <w:color w:val="auto"/>
                <w:spacing w:val="-1"/>
                <w:sz w:val="24"/>
                <w:szCs w:val="24"/>
                <w:highlight w:val="none"/>
              </w:rPr>
              <w:t>《乐昌产业转移工业园</w:t>
            </w:r>
            <w:r>
              <w:rPr>
                <w:rFonts w:hint="default" w:ascii="Times New Roman" w:hAnsi="Times New Roman" w:cs="Times New Roman"/>
                <w:color w:val="auto"/>
                <w:spacing w:val="-1"/>
                <w:sz w:val="24"/>
                <w:szCs w:val="24"/>
                <w:highlight w:val="none"/>
                <w:lang w:val="en-US" w:eastAsia="zh-CN"/>
              </w:rPr>
              <w:t>城东片区控制性详细规划修编</w:t>
            </w:r>
            <w:r>
              <w:rPr>
                <w:rFonts w:hint="default" w:ascii="Times New Roman" w:hAnsi="Times New Roman" w:cs="Times New Roman"/>
                <w:color w:val="auto"/>
                <w:spacing w:val="-1"/>
                <w:sz w:val="24"/>
                <w:szCs w:val="24"/>
                <w:highlight w:val="none"/>
              </w:rPr>
              <w:t>》</w:t>
            </w:r>
          </w:p>
        </w:tc>
      </w:tr>
      <w:tr w14:paraId="28933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38" w:type="pct"/>
            <w:gridSpan w:val="2"/>
            <w:vAlign w:val="center"/>
          </w:tcPr>
          <w:p w14:paraId="5E38C527">
            <w:pPr>
              <w:pStyle w:val="61"/>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规划环境影响评价情况</w:t>
            </w:r>
          </w:p>
        </w:tc>
        <w:tc>
          <w:tcPr>
            <w:tcW w:w="3861" w:type="pct"/>
            <w:gridSpan w:val="5"/>
            <w:vAlign w:val="center"/>
          </w:tcPr>
          <w:p w14:paraId="4E1E2DD1">
            <w:pPr>
              <w:pStyle w:val="61"/>
              <w:keepNext w:val="0"/>
              <w:keepLines w:val="0"/>
              <w:pageBreakBefore w:val="0"/>
              <w:kinsoku/>
              <w:overflowPunct/>
              <w:topLinePunct w:val="0"/>
              <w:bidi w:val="0"/>
              <w:adjustRightInd/>
              <w:snapToGrid/>
              <w:spacing w:line="360" w:lineRule="auto"/>
              <w:outlineLvl w:val="9"/>
              <w:rPr>
                <w:rFonts w:hint="eastAsia" w:ascii="Times New Roman" w:hAnsi="Times New Roman" w:eastAsia="宋体" w:cs="Times New Roman"/>
                <w:color w:val="auto"/>
                <w:spacing w:val="-1"/>
                <w:sz w:val="24"/>
                <w:szCs w:val="24"/>
                <w:highlight w:val="none"/>
                <w:lang w:eastAsia="zh-CN"/>
              </w:rPr>
            </w:pPr>
            <w:r>
              <w:rPr>
                <w:rFonts w:hint="default" w:ascii="Times New Roman" w:hAnsi="Times New Roman" w:cs="Times New Roman"/>
                <w:color w:val="auto"/>
                <w:spacing w:val="-1"/>
                <w:sz w:val="24"/>
                <w:szCs w:val="24"/>
                <w:highlight w:val="none"/>
              </w:rPr>
              <w:t>《韶关乐昌经济开发区规划环境影响报告书》，</w:t>
            </w:r>
            <w:r>
              <w:rPr>
                <w:rFonts w:hint="default" w:ascii="Times New Roman" w:hAnsi="Times New Roman" w:cs="Times New Roman"/>
                <w:color w:val="auto"/>
                <w:spacing w:val="-1"/>
                <w:sz w:val="24"/>
                <w:szCs w:val="24"/>
                <w:highlight w:val="none"/>
                <w:lang w:eastAsia="zh-CN"/>
              </w:rPr>
              <w:t>审查单位：</w:t>
            </w:r>
            <w:r>
              <w:rPr>
                <w:rFonts w:hint="default" w:ascii="Times New Roman" w:hAnsi="Times New Roman" w:cs="Times New Roman"/>
                <w:color w:val="auto"/>
                <w:spacing w:val="-1"/>
                <w:sz w:val="24"/>
                <w:szCs w:val="24"/>
                <w:highlight w:val="none"/>
              </w:rPr>
              <w:t>广东省</w:t>
            </w:r>
            <w:r>
              <w:rPr>
                <w:rFonts w:hint="eastAsia" w:cs="Times New Roman"/>
                <w:color w:val="auto"/>
                <w:spacing w:val="-1"/>
                <w:sz w:val="24"/>
                <w:szCs w:val="24"/>
                <w:highlight w:val="none"/>
                <w:lang w:val="en-US" w:eastAsia="zh-CN"/>
              </w:rPr>
              <w:t>生态环境</w:t>
            </w:r>
            <w:r>
              <w:rPr>
                <w:rFonts w:hint="default" w:ascii="Times New Roman" w:hAnsi="Times New Roman" w:cs="Times New Roman"/>
                <w:color w:val="auto"/>
                <w:spacing w:val="-1"/>
                <w:sz w:val="24"/>
                <w:szCs w:val="24"/>
                <w:highlight w:val="none"/>
              </w:rPr>
              <w:t>厅，广东省生态环境厅关于印发《韶关乐昌经济开发区规划环境影响报告书审查意见》的函</w:t>
            </w:r>
            <w:r>
              <w:rPr>
                <w:rFonts w:hint="eastAsia" w:cs="Times New Roman"/>
                <w:color w:val="auto"/>
                <w:spacing w:val="-1"/>
                <w:sz w:val="24"/>
                <w:szCs w:val="24"/>
                <w:highlight w:val="none"/>
                <w:lang w:eastAsia="zh-CN"/>
              </w:rPr>
              <w:t>（</w:t>
            </w:r>
            <w:r>
              <w:rPr>
                <w:rFonts w:hint="default" w:ascii="Times New Roman" w:hAnsi="Times New Roman" w:cs="Times New Roman"/>
                <w:color w:val="auto"/>
                <w:spacing w:val="-1"/>
                <w:sz w:val="24"/>
                <w:szCs w:val="24"/>
                <w:highlight w:val="none"/>
              </w:rPr>
              <w:t>粤环</w:t>
            </w:r>
            <w:r>
              <w:rPr>
                <w:rFonts w:hint="eastAsia" w:cs="Times New Roman"/>
                <w:color w:val="auto"/>
                <w:spacing w:val="-1"/>
                <w:sz w:val="24"/>
                <w:szCs w:val="24"/>
                <w:highlight w:val="none"/>
                <w:lang w:val="en-US" w:eastAsia="zh-CN"/>
              </w:rPr>
              <w:t>审</w:t>
            </w:r>
            <w:r>
              <w:rPr>
                <w:rFonts w:hint="default" w:ascii="Times New Roman" w:hAnsi="Times New Roman" w:cs="Times New Roman"/>
                <w:color w:val="auto"/>
                <w:spacing w:val="-1"/>
                <w:sz w:val="24"/>
                <w:szCs w:val="24"/>
                <w:highlight w:val="none"/>
                <w:lang w:eastAsia="zh-CN"/>
              </w:rPr>
              <w:t>〔</w:t>
            </w:r>
            <w:r>
              <w:rPr>
                <w:rFonts w:hint="default" w:ascii="Times New Roman" w:hAnsi="Times New Roman" w:cs="Times New Roman"/>
                <w:color w:val="auto"/>
                <w:spacing w:val="-1"/>
                <w:sz w:val="24"/>
                <w:szCs w:val="24"/>
                <w:highlight w:val="none"/>
              </w:rPr>
              <w:t>20</w:t>
            </w:r>
            <w:r>
              <w:rPr>
                <w:rFonts w:hint="eastAsia" w:cs="Times New Roman"/>
                <w:color w:val="auto"/>
                <w:spacing w:val="-1"/>
                <w:sz w:val="24"/>
                <w:szCs w:val="24"/>
                <w:highlight w:val="none"/>
                <w:lang w:val="en-US" w:eastAsia="zh-CN"/>
              </w:rPr>
              <w:t>2</w:t>
            </w:r>
            <w:r>
              <w:rPr>
                <w:rFonts w:hint="default" w:ascii="Times New Roman" w:hAnsi="Times New Roman" w:cs="Times New Roman"/>
                <w:color w:val="auto"/>
                <w:spacing w:val="-1"/>
                <w:sz w:val="24"/>
                <w:szCs w:val="24"/>
                <w:highlight w:val="none"/>
              </w:rPr>
              <w:t>6</w:t>
            </w:r>
            <w:r>
              <w:rPr>
                <w:rFonts w:hint="default" w:ascii="Times New Roman" w:hAnsi="Times New Roman" w:cs="Times New Roman"/>
                <w:color w:val="auto"/>
                <w:spacing w:val="-1"/>
                <w:sz w:val="24"/>
                <w:szCs w:val="24"/>
                <w:highlight w:val="none"/>
                <w:lang w:eastAsia="zh-CN"/>
              </w:rPr>
              <w:t>〕</w:t>
            </w:r>
            <w:r>
              <w:rPr>
                <w:rFonts w:hint="eastAsia" w:cs="Times New Roman"/>
                <w:color w:val="auto"/>
                <w:spacing w:val="-1"/>
                <w:sz w:val="24"/>
                <w:szCs w:val="24"/>
                <w:highlight w:val="none"/>
                <w:lang w:val="en-US" w:eastAsia="zh-CN"/>
              </w:rPr>
              <w:t>80</w:t>
            </w:r>
            <w:r>
              <w:rPr>
                <w:rFonts w:hint="default" w:ascii="Times New Roman" w:hAnsi="Times New Roman" w:cs="Times New Roman"/>
                <w:color w:val="auto"/>
                <w:spacing w:val="-1"/>
                <w:sz w:val="24"/>
                <w:szCs w:val="24"/>
                <w:highlight w:val="none"/>
              </w:rPr>
              <w:t>号</w:t>
            </w:r>
            <w:r>
              <w:rPr>
                <w:rFonts w:hint="eastAsia" w:cs="Times New Roman"/>
                <w:color w:val="auto"/>
                <w:spacing w:val="-1"/>
                <w:sz w:val="24"/>
                <w:szCs w:val="24"/>
                <w:highlight w:val="none"/>
                <w:lang w:eastAsia="zh-CN"/>
              </w:rPr>
              <w:t>）</w:t>
            </w:r>
          </w:p>
        </w:tc>
      </w:tr>
      <w:tr w14:paraId="3E4FB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266" w:type="pct"/>
            <w:vAlign w:val="center"/>
          </w:tcPr>
          <w:p w14:paraId="1C81C4D8">
            <w:pPr>
              <w:pStyle w:val="61"/>
              <w:keepNext/>
              <w:pageBreakBefore w:val="0"/>
              <w:autoSpaceDE/>
              <w:autoSpaceDN/>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规划及规划环境影响评价符合性分析</w:t>
            </w:r>
          </w:p>
        </w:tc>
        <w:tc>
          <w:tcPr>
            <w:tcW w:w="4733" w:type="pct"/>
            <w:gridSpan w:val="6"/>
            <w:vAlign w:val="center"/>
          </w:tcPr>
          <w:tbl>
            <w:tblPr>
              <w:tblStyle w:val="4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
              <w:gridCol w:w="699"/>
              <w:gridCol w:w="3895"/>
              <w:gridCol w:w="2388"/>
              <w:gridCol w:w="403"/>
            </w:tblGrid>
            <w:tr w14:paraId="26B70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5000" w:type="pct"/>
                  <w:gridSpan w:val="5"/>
                </w:tcPr>
                <w:p w14:paraId="1A7DA722">
                  <w:pPr>
                    <w:pStyle w:val="19"/>
                    <w:keepNext/>
                    <w:pageBreakBefore w:val="0"/>
                    <w:ind w:firstLine="480"/>
                    <w:jc w:val="center"/>
                    <w:rPr>
                      <w:rFonts w:hint="eastAsia"/>
                      <w:color w:val="auto"/>
                      <w:sz w:val="21"/>
                      <w:szCs w:val="21"/>
                      <w:vertAlign w:val="baseline"/>
                      <w:lang w:val="en-US" w:eastAsia="zh-CN"/>
                    </w:rPr>
                  </w:pPr>
                  <w:r>
                    <w:rPr>
                      <w:rFonts w:hint="default" w:ascii="Times New Roman" w:hAnsi="Times New Roman" w:cs="Times New Roman"/>
                      <w:b w:val="0"/>
                      <w:bCs w:val="0"/>
                      <w:color w:val="auto"/>
                      <w:highlight w:val="none"/>
                    </w:rPr>
                    <w:t>表1-</w:t>
                  </w:r>
                  <w:r>
                    <w:rPr>
                      <w:rFonts w:hint="default" w:ascii="Times New Roman" w:hAnsi="Times New Roman" w:cs="Times New Roman"/>
                      <w:b w:val="0"/>
                      <w:bCs w:val="0"/>
                      <w:color w:val="auto"/>
                      <w:highlight w:val="none"/>
                      <w:lang w:val="en-US" w:eastAsia="zh-CN"/>
                    </w:rPr>
                    <w:t>1</w:t>
                  </w:r>
                  <w:r>
                    <w:rPr>
                      <w:rFonts w:hint="eastAsia"/>
                      <w:b w:val="0"/>
                      <w:bCs w:val="0"/>
                      <w:color w:val="auto"/>
                    </w:rPr>
                    <w:t>规划及规划环境影响评价符合性分</w:t>
                  </w:r>
                  <w:r>
                    <w:rPr>
                      <w:rFonts w:hint="default" w:ascii="Times New Roman" w:hAnsi="Times New Roman" w:cs="Times New Roman"/>
                      <w:b w:val="0"/>
                      <w:bCs w:val="0"/>
                      <w:color w:val="auto"/>
                      <w:highlight w:val="none"/>
                    </w:rPr>
                    <w:t>析一览表</w:t>
                  </w:r>
                </w:p>
              </w:tc>
            </w:tr>
            <w:tr w14:paraId="0F7FF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 w:type="pct"/>
                </w:tcPr>
                <w:p w14:paraId="51D79BC1">
                  <w:pPr>
                    <w:keepNext/>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序号</w:t>
                  </w:r>
                </w:p>
              </w:tc>
              <w:tc>
                <w:tcPr>
                  <w:tcW w:w="445" w:type="pct"/>
                </w:tcPr>
                <w:p w14:paraId="02265759">
                  <w:pPr>
                    <w:keepNext/>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管控要求</w:t>
                  </w:r>
                </w:p>
              </w:tc>
              <w:tc>
                <w:tcPr>
                  <w:tcW w:w="2481" w:type="pct"/>
                </w:tcPr>
                <w:p w14:paraId="0B9C5F9B">
                  <w:pPr>
                    <w:keepNext/>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 w:val="21"/>
                      <w:szCs w:val="21"/>
                      <w:vertAlign w:val="baseline"/>
                      <w:lang w:val="en-US" w:eastAsia="zh-CN"/>
                    </w:rPr>
                  </w:pPr>
                </w:p>
                <w:p w14:paraId="034E8FDF">
                  <w:pPr>
                    <w:keepNext/>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总体准入要求</w:t>
                  </w:r>
                </w:p>
              </w:tc>
              <w:tc>
                <w:tcPr>
                  <w:tcW w:w="1521" w:type="pct"/>
                </w:tcPr>
                <w:p w14:paraId="4E99915E">
                  <w:pPr>
                    <w:keepNext/>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 w:val="21"/>
                      <w:szCs w:val="21"/>
                      <w:vertAlign w:val="baseline"/>
                      <w:lang w:val="en-US" w:eastAsia="zh-CN"/>
                    </w:rPr>
                  </w:pPr>
                </w:p>
                <w:p w14:paraId="55B94685">
                  <w:pPr>
                    <w:keepNext/>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项目情况</w:t>
                  </w:r>
                </w:p>
              </w:tc>
              <w:tc>
                <w:tcPr>
                  <w:tcW w:w="256" w:type="pct"/>
                </w:tcPr>
                <w:p w14:paraId="7CA629BE">
                  <w:pPr>
                    <w:keepNext/>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相符性</w:t>
                  </w:r>
                </w:p>
              </w:tc>
            </w:tr>
            <w:tr w14:paraId="790B5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 w:type="pct"/>
                </w:tcPr>
                <w:p w14:paraId="74FCB74B">
                  <w:pPr>
                    <w:keepNext/>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w:t>
                  </w:r>
                </w:p>
              </w:tc>
              <w:tc>
                <w:tcPr>
                  <w:tcW w:w="445" w:type="pct"/>
                  <w:vMerge w:val="restart"/>
                </w:tcPr>
                <w:p w14:paraId="10999423">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空间布局约束</w:t>
                  </w:r>
                </w:p>
              </w:tc>
              <w:tc>
                <w:tcPr>
                  <w:tcW w:w="2481" w:type="pct"/>
                </w:tcPr>
                <w:p w14:paraId="256B593B">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r>
                    <w:rPr>
                      <w:rFonts w:hint="eastAsia"/>
                      <w:color w:val="auto"/>
                      <w:sz w:val="21"/>
                      <w:szCs w:val="21"/>
                      <w:vertAlign w:val="baseline"/>
                    </w:rPr>
                    <w:t>引入产业应符合现行有效的《产业结构调整指导目录》、《市场准入负面清单》、《广东省国家重点生态功能区产业准入负面清单(试行</w:t>
                  </w:r>
                  <w:r>
                    <w:rPr>
                      <w:rFonts w:hint="eastAsia"/>
                      <w:color w:val="auto"/>
                      <w:sz w:val="21"/>
                      <w:szCs w:val="21"/>
                      <w:vertAlign w:val="baseline"/>
                      <w:lang w:eastAsia="zh-CN"/>
                    </w:rPr>
                    <w:t>）</w:t>
                  </w:r>
                  <w:r>
                    <w:rPr>
                      <w:rFonts w:hint="eastAsia"/>
                      <w:color w:val="auto"/>
                      <w:sz w:val="21"/>
                      <w:szCs w:val="21"/>
                      <w:vertAlign w:val="baseline"/>
                    </w:rPr>
                    <w:t>》等相关产业政策要求。</w:t>
                  </w:r>
                </w:p>
              </w:tc>
              <w:tc>
                <w:tcPr>
                  <w:tcW w:w="1521" w:type="pct"/>
                </w:tcPr>
                <w:p w14:paraId="72148161">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项目属于一般工业固体废物分拣、压实，符合</w:t>
                  </w:r>
                  <w:r>
                    <w:rPr>
                      <w:rFonts w:hint="eastAsia"/>
                      <w:color w:val="auto"/>
                      <w:sz w:val="21"/>
                      <w:szCs w:val="21"/>
                      <w:vertAlign w:val="baseline"/>
                    </w:rPr>
                    <w:t>相关产业政策要求</w:t>
                  </w:r>
                  <w:r>
                    <w:rPr>
                      <w:rFonts w:hint="eastAsia"/>
                      <w:color w:val="auto"/>
                      <w:sz w:val="21"/>
                      <w:szCs w:val="21"/>
                      <w:vertAlign w:val="baseline"/>
                      <w:lang w:eastAsia="zh-CN"/>
                    </w:rPr>
                    <w:t>。</w:t>
                  </w:r>
                </w:p>
              </w:tc>
              <w:tc>
                <w:tcPr>
                  <w:tcW w:w="256" w:type="pct"/>
                </w:tcPr>
                <w:p w14:paraId="0999741C">
                  <w:pPr>
                    <w:keepNext/>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符合</w:t>
                  </w:r>
                </w:p>
              </w:tc>
            </w:tr>
            <w:tr w14:paraId="189EF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 w:type="pct"/>
                </w:tcPr>
                <w:p w14:paraId="7976FB53">
                  <w:pPr>
                    <w:keepNext/>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p>
              </w:tc>
              <w:tc>
                <w:tcPr>
                  <w:tcW w:w="445" w:type="pct"/>
                  <w:vMerge w:val="continue"/>
                </w:tcPr>
                <w:p w14:paraId="43623131">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p>
              </w:tc>
              <w:tc>
                <w:tcPr>
                  <w:tcW w:w="2481" w:type="pct"/>
                </w:tcPr>
                <w:p w14:paraId="2662B1BD">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r>
                    <w:rPr>
                      <w:rFonts w:hint="eastAsia"/>
                      <w:color w:val="auto"/>
                      <w:sz w:val="21"/>
                      <w:szCs w:val="21"/>
                    </w:rPr>
                    <w:t>严格控制高污染高能耗项目建设。</w:t>
                  </w:r>
                  <w:r>
                    <w:rPr>
                      <w:rFonts w:hint="eastAsia"/>
                      <w:color w:val="auto"/>
                      <w:sz w:val="21"/>
                      <w:szCs w:val="21"/>
                      <w:vertAlign w:val="baseline"/>
                    </w:rPr>
                    <w:t>新、改、扩建项目要达到国内清洁生产先进水平。</w:t>
                  </w:r>
                </w:p>
              </w:tc>
              <w:tc>
                <w:tcPr>
                  <w:tcW w:w="1521" w:type="pct"/>
                </w:tcPr>
                <w:p w14:paraId="7230CFD4">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项目不属于</w:t>
                  </w:r>
                  <w:r>
                    <w:rPr>
                      <w:rFonts w:hint="eastAsia"/>
                      <w:color w:val="auto"/>
                      <w:sz w:val="21"/>
                      <w:szCs w:val="21"/>
                    </w:rPr>
                    <w:t>高污染高能耗项目</w:t>
                  </w:r>
                  <w:r>
                    <w:rPr>
                      <w:rFonts w:hint="eastAsia"/>
                      <w:color w:val="auto"/>
                      <w:sz w:val="21"/>
                      <w:szCs w:val="21"/>
                      <w:lang w:eastAsia="zh-CN"/>
                    </w:rPr>
                    <w:t>。</w:t>
                  </w:r>
                </w:p>
              </w:tc>
              <w:tc>
                <w:tcPr>
                  <w:tcW w:w="256" w:type="pct"/>
                </w:tcPr>
                <w:p w14:paraId="7E129DE8">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符合</w:t>
                  </w:r>
                </w:p>
              </w:tc>
            </w:tr>
            <w:tr w14:paraId="5E866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 w:type="pct"/>
                </w:tcPr>
                <w:p w14:paraId="1CB5C851">
                  <w:pPr>
                    <w:keepNext/>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3</w:t>
                  </w:r>
                </w:p>
              </w:tc>
              <w:tc>
                <w:tcPr>
                  <w:tcW w:w="445" w:type="pct"/>
                  <w:vMerge w:val="continue"/>
                </w:tcPr>
                <w:p w14:paraId="260BE0C8">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p>
              </w:tc>
              <w:tc>
                <w:tcPr>
                  <w:tcW w:w="2481" w:type="pct"/>
                </w:tcPr>
                <w:p w14:paraId="2E7E5059">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r>
                    <w:rPr>
                      <w:rFonts w:hint="eastAsia"/>
                      <w:color w:val="auto"/>
                      <w:sz w:val="21"/>
                      <w:szCs w:val="21"/>
                      <w:vertAlign w:val="baseline"/>
                    </w:rPr>
                    <w:t>禁止销售、燃用高污染燃料</w:t>
                  </w:r>
                  <w:r>
                    <w:rPr>
                      <w:rFonts w:hint="eastAsia"/>
                      <w:color w:val="auto"/>
                      <w:sz w:val="21"/>
                      <w:szCs w:val="21"/>
                      <w:vertAlign w:val="baseline"/>
                      <w:lang w:eastAsia="zh-CN"/>
                    </w:rPr>
                    <w:t>；</w:t>
                  </w:r>
                  <w:r>
                    <w:rPr>
                      <w:rFonts w:hint="eastAsia"/>
                      <w:color w:val="auto"/>
                      <w:sz w:val="21"/>
                      <w:szCs w:val="21"/>
                      <w:vertAlign w:val="baseline"/>
                    </w:rPr>
                    <w:t>禁止新建、扩建燃用高污染燃料的设施</w:t>
                  </w:r>
                  <w:r>
                    <w:rPr>
                      <w:rFonts w:hint="eastAsia"/>
                      <w:color w:val="auto"/>
                      <w:sz w:val="21"/>
                      <w:szCs w:val="21"/>
                      <w:vertAlign w:val="baseline"/>
                      <w:lang w:eastAsia="zh-CN"/>
                    </w:rPr>
                    <w:t>；</w:t>
                  </w:r>
                  <w:r>
                    <w:rPr>
                      <w:rFonts w:hint="eastAsia"/>
                      <w:color w:val="auto"/>
                      <w:sz w:val="21"/>
                      <w:szCs w:val="21"/>
                    </w:rPr>
                    <w:t>禁止建设生产和使用高VOCs含量的溶剂型涂料、油墨、胶粘剂等项目。</w:t>
                  </w:r>
                </w:p>
              </w:tc>
              <w:tc>
                <w:tcPr>
                  <w:tcW w:w="1521" w:type="pct"/>
                </w:tcPr>
                <w:p w14:paraId="7F58D473">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项目不</w:t>
                  </w:r>
                  <w:r>
                    <w:rPr>
                      <w:rFonts w:hint="eastAsia"/>
                      <w:color w:val="auto"/>
                      <w:sz w:val="21"/>
                      <w:szCs w:val="21"/>
                      <w:vertAlign w:val="baseline"/>
                    </w:rPr>
                    <w:t>销售、燃用高污染燃料</w:t>
                  </w:r>
                  <w:r>
                    <w:rPr>
                      <w:rFonts w:hint="eastAsia"/>
                      <w:color w:val="auto"/>
                      <w:sz w:val="21"/>
                      <w:szCs w:val="21"/>
                      <w:vertAlign w:val="baseline"/>
                      <w:lang w:eastAsia="zh-CN"/>
                    </w:rPr>
                    <w:t>。</w:t>
                  </w:r>
                  <w:r>
                    <w:rPr>
                      <w:rFonts w:hint="eastAsia"/>
                      <w:color w:val="auto"/>
                      <w:sz w:val="21"/>
                      <w:szCs w:val="21"/>
                      <w:vertAlign w:val="baseline"/>
                      <w:lang w:val="en-US" w:eastAsia="zh-CN"/>
                    </w:rPr>
                    <w:t>不</w:t>
                  </w:r>
                  <w:r>
                    <w:rPr>
                      <w:rFonts w:hint="eastAsia"/>
                      <w:color w:val="auto"/>
                      <w:sz w:val="21"/>
                      <w:szCs w:val="21"/>
                    </w:rPr>
                    <w:t>生产和使用高VOCs含量的溶剂型涂料、油墨、胶粘剂</w:t>
                  </w:r>
                  <w:r>
                    <w:rPr>
                      <w:rFonts w:hint="eastAsia"/>
                      <w:color w:val="auto"/>
                      <w:sz w:val="21"/>
                      <w:szCs w:val="21"/>
                      <w:lang w:eastAsia="zh-CN"/>
                    </w:rPr>
                    <w:t>。</w:t>
                  </w:r>
                </w:p>
              </w:tc>
              <w:tc>
                <w:tcPr>
                  <w:tcW w:w="256" w:type="pct"/>
                </w:tcPr>
                <w:p w14:paraId="46733AE7">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符合</w:t>
                  </w:r>
                </w:p>
              </w:tc>
            </w:tr>
            <w:tr w14:paraId="7A27D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 w:type="pct"/>
                </w:tcPr>
                <w:p w14:paraId="1A340CDF">
                  <w:pPr>
                    <w:keepNext/>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4</w:t>
                  </w:r>
                </w:p>
              </w:tc>
              <w:tc>
                <w:tcPr>
                  <w:tcW w:w="445" w:type="pct"/>
                  <w:vMerge w:val="continue"/>
                </w:tcPr>
                <w:p w14:paraId="088AC247">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p>
              </w:tc>
              <w:tc>
                <w:tcPr>
                  <w:tcW w:w="2481" w:type="pct"/>
                </w:tcPr>
                <w:p w14:paraId="255B2F3A">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r>
                    <w:rPr>
                      <w:rFonts w:hint="eastAsia"/>
                      <w:color w:val="auto"/>
                      <w:sz w:val="21"/>
                      <w:szCs w:val="21"/>
                      <w:vertAlign w:val="baseline"/>
                    </w:rPr>
                    <w:t>禁止新建、扩建专业电镀、鞣革、印染、化学制浆等水污染物排放量大或排放一类污染物、持久性有机污染物的项目。</w:t>
                  </w:r>
                </w:p>
              </w:tc>
              <w:tc>
                <w:tcPr>
                  <w:tcW w:w="1521" w:type="pct"/>
                </w:tcPr>
                <w:p w14:paraId="1908D8C8">
                  <w:pPr>
                    <w:keepNext/>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项目不属于</w:t>
                  </w:r>
                  <w:r>
                    <w:rPr>
                      <w:rFonts w:hint="eastAsia"/>
                      <w:color w:val="auto"/>
                      <w:sz w:val="21"/>
                      <w:szCs w:val="21"/>
                      <w:vertAlign w:val="baseline"/>
                    </w:rPr>
                    <w:t>专业电镀、鞣革、印染、化学制浆等水污染物排放量大或排放一类污染物、持久性有机污染物的项目</w:t>
                  </w:r>
                </w:p>
              </w:tc>
              <w:tc>
                <w:tcPr>
                  <w:tcW w:w="256" w:type="pct"/>
                </w:tcPr>
                <w:p w14:paraId="3209B8AD">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符合</w:t>
                  </w:r>
                </w:p>
              </w:tc>
            </w:tr>
            <w:tr w14:paraId="5F0BB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 w:type="pct"/>
                </w:tcPr>
                <w:p w14:paraId="083EB109">
                  <w:pPr>
                    <w:keepNext/>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w:t>
                  </w:r>
                </w:p>
              </w:tc>
              <w:tc>
                <w:tcPr>
                  <w:tcW w:w="445" w:type="pct"/>
                  <w:vMerge w:val="continue"/>
                </w:tcPr>
                <w:p w14:paraId="11DB6BB1">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p>
              </w:tc>
              <w:tc>
                <w:tcPr>
                  <w:tcW w:w="2481" w:type="pct"/>
                </w:tcPr>
                <w:p w14:paraId="7093527E">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r>
                    <w:rPr>
                      <w:rFonts w:hint="eastAsia"/>
                      <w:color w:val="auto"/>
                      <w:sz w:val="21"/>
                      <w:szCs w:val="21"/>
                      <w:vertAlign w:val="baseline"/>
                    </w:rPr>
                    <w:t>与中部规划居住用地、行政办公用地、教育用地等敏感区域临近的区域优先引进无污染的生产性服务业，布置废气排放量小、工业噪声影响小及没有恶臭气体产生的产业。学校周围直线延伸二百米范围内禁止设立易燃易爆、剧毒、放射性、腐蚀性等危险物品的生产、经营、储存、使用场所或者设施。临近南岸村、饮用水源准保护区等敏感用地优先引进无污染的生产性服务业，布置废气排放量小、工业噪声影响小及没有恶臭气体产生的产业。相关项目环评阶段应充分论证、优化项目布局以及按照相关要求确定大气环境防护距离。</w:t>
                  </w:r>
                </w:p>
              </w:tc>
              <w:tc>
                <w:tcPr>
                  <w:tcW w:w="1521" w:type="pct"/>
                </w:tcPr>
                <w:p w14:paraId="59D52C99">
                  <w:pPr>
                    <w:keepNext/>
                    <w:keepLines w:val="0"/>
                    <w:pageBreakBefore w:val="0"/>
                    <w:widowControl w:val="0"/>
                    <w:kinsoku/>
                    <w:wordWrap/>
                    <w:overflowPunct/>
                    <w:topLinePunct w:val="0"/>
                    <w:autoSpaceDE/>
                    <w:autoSpaceDN/>
                    <w:bidi w:val="0"/>
                    <w:adjustRightInd/>
                    <w:snapToGrid/>
                    <w:spacing w:line="240" w:lineRule="auto"/>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项目区域不属于</w:t>
                  </w:r>
                  <w:r>
                    <w:rPr>
                      <w:rFonts w:hint="eastAsia"/>
                      <w:color w:val="auto"/>
                      <w:sz w:val="21"/>
                      <w:szCs w:val="21"/>
                      <w:vertAlign w:val="baseline"/>
                    </w:rPr>
                    <w:t>部规划居住用地、行政办公用地、教育用地等敏感区域临近的区域</w:t>
                  </w:r>
                  <w:r>
                    <w:rPr>
                      <w:rFonts w:hint="eastAsia"/>
                      <w:color w:val="auto"/>
                      <w:sz w:val="21"/>
                      <w:szCs w:val="21"/>
                      <w:vertAlign w:val="baseline"/>
                      <w:lang w:eastAsia="zh-CN"/>
                    </w:rPr>
                    <w:t>，</w:t>
                  </w:r>
                  <w:r>
                    <w:rPr>
                      <w:rFonts w:hint="eastAsia"/>
                      <w:color w:val="auto"/>
                      <w:sz w:val="21"/>
                      <w:szCs w:val="21"/>
                      <w:vertAlign w:val="baseline"/>
                      <w:lang w:val="en-US" w:eastAsia="zh-CN"/>
                    </w:rPr>
                    <w:t>不在</w:t>
                  </w:r>
                  <w:r>
                    <w:rPr>
                      <w:rFonts w:hint="eastAsia"/>
                      <w:color w:val="auto"/>
                      <w:sz w:val="21"/>
                      <w:szCs w:val="21"/>
                      <w:vertAlign w:val="baseline"/>
                    </w:rPr>
                    <w:t>学校周围直线延伸二百米范围内</w:t>
                  </w:r>
                  <w:r>
                    <w:rPr>
                      <w:rFonts w:hint="eastAsia"/>
                      <w:color w:val="auto"/>
                      <w:sz w:val="21"/>
                      <w:szCs w:val="21"/>
                      <w:vertAlign w:val="baseline"/>
                      <w:lang w:eastAsia="zh-CN"/>
                    </w:rPr>
                    <w:t>，</w:t>
                  </w:r>
                  <w:r>
                    <w:rPr>
                      <w:rFonts w:hint="eastAsia"/>
                      <w:color w:val="auto"/>
                      <w:sz w:val="21"/>
                      <w:szCs w:val="21"/>
                      <w:vertAlign w:val="baseline"/>
                      <w:lang w:val="en-US" w:eastAsia="zh-CN"/>
                    </w:rPr>
                    <w:t>不</w:t>
                  </w:r>
                  <w:r>
                    <w:rPr>
                      <w:rFonts w:hint="eastAsia"/>
                      <w:color w:val="auto"/>
                      <w:sz w:val="21"/>
                      <w:szCs w:val="21"/>
                      <w:vertAlign w:val="baseline"/>
                    </w:rPr>
                    <w:t>临近南岸村、饮用水源准保护区等敏感用地</w:t>
                  </w:r>
                  <w:r>
                    <w:rPr>
                      <w:rFonts w:hint="eastAsia"/>
                      <w:color w:val="auto"/>
                      <w:sz w:val="21"/>
                      <w:szCs w:val="21"/>
                      <w:vertAlign w:val="baseline"/>
                      <w:lang w:eastAsia="zh-CN"/>
                    </w:rPr>
                    <w:t>。</w:t>
                  </w:r>
                  <w:r>
                    <w:rPr>
                      <w:rFonts w:hint="eastAsia"/>
                      <w:color w:val="auto"/>
                      <w:sz w:val="21"/>
                      <w:szCs w:val="21"/>
                      <w:lang w:val="en-US" w:eastAsia="zh-CN"/>
                    </w:rPr>
                    <w:t>项目距离最近敏感点尚都新城（含乐昌湘华医院）253m。</w:t>
                  </w:r>
                </w:p>
              </w:tc>
              <w:tc>
                <w:tcPr>
                  <w:tcW w:w="256" w:type="pct"/>
                </w:tcPr>
                <w:p w14:paraId="7EEF02B4">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符合</w:t>
                  </w:r>
                </w:p>
              </w:tc>
            </w:tr>
            <w:tr w14:paraId="68224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 w:type="pct"/>
                </w:tcPr>
                <w:p w14:paraId="6E4B2C72">
                  <w:pPr>
                    <w:keepNext/>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6</w:t>
                  </w:r>
                </w:p>
              </w:tc>
              <w:tc>
                <w:tcPr>
                  <w:tcW w:w="445" w:type="pct"/>
                  <w:vMerge w:val="continue"/>
                </w:tcPr>
                <w:p w14:paraId="69FEE31B">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p>
              </w:tc>
              <w:tc>
                <w:tcPr>
                  <w:tcW w:w="2481" w:type="pct"/>
                </w:tcPr>
                <w:p w14:paraId="62DD0648">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rPr>
                  </w:pPr>
                  <w:r>
                    <w:rPr>
                      <w:rFonts w:hint="eastAsia"/>
                      <w:color w:val="auto"/>
                      <w:sz w:val="21"/>
                      <w:szCs w:val="21"/>
                      <w:vertAlign w:val="baseline"/>
                    </w:rPr>
                    <w:t>与饮用水源准保护区重叠区域划定为优先保护单元，不进行工业开发利用，禁止新建、扩建对水体污染严重的建设项目，改建项目不得增加排污量。</w:t>
                  </w:r>
                </w:p>
              </w:tc>
              <w:tc>
                <w:tcPr>
                  <w:tcW w:w="1521" w:type="pct"/>
                </w:tcPr>
                <w:p w14:paraId="1E4091BE">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项目不在</w:t>
                  </w:r>
                  <w:r>
                    <w:rPr>
                      <w:rFonts w:hint="eastAsia"/>
                      <w:color w:val="auto"/>
                      <w:sz w:val="21"/>
                      <w:szCs w:val="21"/>
                      <w:vertAlign w:val="baseline"/>
                    </w:rPr>
                    <w:t>与饮用水源准保护区重叠区域</w:t>
                  </w:r>
                  <w:r>
                    <w:rPr>
                      <w:rFonts w:hint="eastAsia"/>
                      <w:color w:val="auto"/>
                      <w:sz w:val="21"/>
                      <w:szCs w:val="21"/>
                      <w:vertAlign w:val="baseline"/>
                      <w:lang w:eastAsia="zh-CN"/>
                    </w:rPr>
                    <w:t>。</w:t>
                  </w:r>
                </w:p>
              </w:tc>
              <w:tc>
                <w:tcPr>
                  <w:tcW w:w="256" w:type="pct"/>
                </w:tcPr>
                <w:p w14:paraId="7FA7B2E3">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符合</w:t>
                  </w:r>
                </w:p>
              </w:tc>
            </w:tr>
            <w:tr w14:paraId="6BCA8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 w:type="pct"/>
                </w:tcPr>
                <w:p w14:paraId="39F1DA7B">
                  <w:pPr>
                    <w:keepNext/>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7</w:t>
                  </w:r>
                </w:p>
              </w:tc>
              <w:tc>
                <w:tcPr>
                  <w:tcW w:w="445" w:type="pct"/>
                  <w:vMerge w:val="continue"/>
                  <w:shd w:val="clear" w:color="auto" w:fill="auto"/>
                </w:tcPr>
                <w:p w14:paraId="64280DB2">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kern w:val="2"/>
                      <w:sz w:val="21"/>
                      <w:szCs w:val="21"/>
                      <w:vertAlign w:val="baseline"/>
                      <w:lang w:val="en-US" w:eastAsia="zh-CN" w:bidi="ar-SA"/>
                    </w:rPr>
                  </w:pPr>
                </w:p>
              </w:tc>
              <w:tc>
                <w:tcPr>
                  <w:tcW w:w="2481" w:type="pct"/>
                </w:tcPr>
                <w:p w14:paraId="0EBF178B">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r>
                    <w:rPr>
                      <w:rFonts w:hint="eastAsia"/>
                      <w:color w:val="auto"/>
                      <w:sz w:val="21"/>
                      <w:szCs w:val="21"/>
                      <w:vertAlign w:val="baseline"/>
                    </w:rPr>
                    <w:t>在永久基本农田以及居民区、学校、医疗和养老机构等单位周边，避免新建涉重金属、多环芳烃类等持久性有机污染物企业。永久基本农田集中区域内，禁止建设工业固体废物、危险废物集中贮存、利用、处置的设施、场所。</w:t>
                  </w:r>
                </w:p>
              </w:tc>
              <w:tc>
                <w:tcPr>
                  <w:tcW w:w="1521" w:type="pct"/>
                </w:tcPr>
                <w:p w14:paraId="5C271283">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项目为一般工业固体废物分拣、压实，不属于</w:t>
                  </w:r>
                  <w:r>
                    <w:rPr>
                      <w:rFonts w:hint="eastAsia"/>
                      <w:color w:val="auto"/>
                      <w:sz w:val="21"/>
                      <w:szCs w:val="21"/>
                      <w:vertAlign w:val="baseline"/>
                    </w:rPr>
                    <w:t>涉重金属、多环芳烃类等持久性有机污染物企业</w:t>
                  </w:r>
                  <w:r>
                    <w:rPr>
                      <w:rFonts w:hint="eastAsia"/>
                      <w:color w:val="auto"/>
                      <w:sz w:val="21"/>
                      <w:szCs w:val="21"/>
                      <w:vertAlign w:val="baseline"/>
                      <w:lang w:eastAsia="zh-CN"/>
                    </w:rPr>
                    <w:t>。</w:t>
                  </w:r>
                  <w:r>
                    <w:rPr>
                      <w:rFonts w:hint="eastAsia"/>
                      <w:color w:val="auto"/>
                      <w:sz w:val="21"/>
                      <w:szCs w:val="21"/>
                      <w:vertAlign w:val="baseline"/>
                      <w:lang w:val="en-US" w:eastAsia="zh-CN"/>
                    </w:rPr>
                    <w:t>项目不</w:t>
                  </w:r>
                  <w:r>
                    <w:rPr>
                      <w:rFonts w:hint="eastAsia"/>
                      <w:color w:val="auto"/>
                      <w:sz w:val="21"/>
                      <w:szCs w:val="21"/>
                      <w:vertAlign w:val="baseline"/>
                    </w:rPr>
                    <w:t>在永久基本农田</w:t>
                  </w:r>
                  <w:r>
                    <w:rPr>
                      <w:rFonts w:hint="eastAsia"/>
                      <w:color w:val="auto"/>
                      <w:sz w:val="21"/>
                      <w:szCs w:val="21"/>
                      <w:vertAlign w:val="baseline"/>
                      <w:lang w:val="en-US" w:eastAsia="zh-CN"/>
                    </w:rPr>
                    <w:t>集中区域内</w:t>
                  </w:r>
                  <w:r>
                    <w:rPr>
                      <w:rFonts w:hint="eastAsia"/>
                      <w:color w:val="auto"/>
                      <w:sz w:val="21"/>
                      <w:szCs w:val="21"/>
                      <w:vertAlign w:val="baseline"/>
                      <w:lang w:eastAsia="zh-CN"/>
                    </w:rPr>
                    <w:t>。</w:t>
                  </w:r>
                </w:p>
              </w:tc>
              <w:tc>
                <w:tcPr>
                  <w:tcW w:w="256" w:type="pct"/>
                </w:tcPr>
                <w:p w14:paraId="243BB1A9">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符合</w:t>
                  </w:r>
                </w:p>
              </w:tc>
            </w:tr>
            <w:tr w14:paraId="75548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 w:type="pct"/>
                </w:tcPr>
                <w:p w14:paraId="48012D64">
                  <w:pPr>
                    <w:keepNext/>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8</w:t>
                  </w:r>
                </w:p>
              </w:tc>
              <w:tc>
                <w:tcPr>
                  <w:tcW w:w="445" w:type="pct"/>
                  <w:vMerge w:val="restart"/>
                </w:tcPr>
                <w:p w14:paraId="39E2C3EC">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r>
                    <w:rPr>
                      <w:rFonts w:hint="eastAsia"/>
                      <w:color w:val="auto"/>
                      <w:vertAlign w:val="baseline"/>
                      <w:lang w:val="en-US" w:eastAsia="zh-CN"/>
                    </w:rPr>
                    <w:t>污染物排放管控</w:t>
                  </w:r>
                </w:p>
              </w:tc>
              <w:tc>
                <w:tcPr>
                  <w:tcW w:w="2481" w:type="pct"/>
                </w:tcPr>
                <w:p w14:paraId="5F890EA0">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r>
                    <w:rPr>
                      <w:rFonts w:hint="eastAsia"/>
                      <w:color w:val="auto"/>
                      <w:sz w:val="21"/>
                      <w:szCs w:val="21"/>
                      <w:vertAlign w:val="baseline"/>
                    </w:rPr>
                    <w:t>根据《广东省生态环境厅关于在重点区域执行污染物特别排放限值的公告》(粤环发(2023)1号)要求，执行相应特别排放限值要求。</w:t>
                  </w:r>
                </w:p>
              </w:tc>
              <w:tc>
                <w:tcPr>
                  <w:tcW w:w="1521" w:type="pct"/>
                </w:tcPr>
                <w:p w14:paraId="381F003A">
                  <w:pPr>
                    <w:keepNext/>
                    <w:keepLines w:val="0"/>
                    <w:pageBreakBefore w:val="0"/>
                    <w:widowControl w:val="0"/>
                    <w:kinsoku/>
                    <w:wordWrap/>
                    <w:overflowPunct/>
                    <w:topLinePunct w:val="0"/>
                    <w:autoSpaceDE/>
                    <w:autoSpaceDN/>
                    <w:bidi w:val="0"/>
                    <w:adjustRightInd/>
                    <w:snapToGrid/>
                    <w:spacing w:line="240" w:lineRule="auto"/>
                    <w:textAlignment w:val="auto"/>
                    <w:rPr>
                      <w:rFonts w:hint="default" w:eastAsia="宋体"/>
                      <w:color w:val="auto"/>
                      <w:sz w:val="21"/>
                      <w:szCs w:val="21"/>
                      <w:vertAlign w:val="baseline"/>
                      <w:lang w:val="en-US" w:eastAsia="zh-CN"/>
                    </w:rPr>
                  </w:pPr>
                  <w:r>
                    <w:rPr>
                      <w:rFonts w:hint="eastAsia" w:ascii="Times New Roman" w:hAnsi="Times New Roman" w:cs="Times New Roman"/>
                      <w:color w:val="auto"/>
                      <w:sz w:val="21"/>
                      <w:szCs w:val="21"/>
                      <w:highlight w:val="none"/>
                      <w:lang w:val="en-US" w:eastAsia="zh-CN"/>
                    </w:rPr>
                    <w:t>本项目</w:t>
                  </w:r>
                  <w:r>
                    <w:rPr>
                      <w:rFonts w:hint="default" w:ascii="Times New Roman" w:hAnsi="Times New Roman" w:cs="Times New Roman"/>
                      <w:color w:val="auto"/>
                      <w:sz w:val="21"/>
                      <w:szCs w:val="21"/>
                      <w:highlight w:val="none"/>
                    </w:rPr>
                    <w:t>主要</w:t>
                  </w:r>
                  <w:r>
                    <w:rPr>
                      <w:rFonts w:hint="default" w:ascii="Times New Roman" w:hAnsi="Times New Roman" w:cs="Times New Roman"/>
                      <w:color w:val="auto"/>
                      <w:sz w:val="21"/>
                      <w:szCs w:val="21"/>
                      <w:highlight w:val="none"/>
                      <w:lang w:eastAsia="zh-CN"/>
                    </w:rPr>
                    <w:t>是</w:t>
                  </w:r>
                  <w:r>
                    <w:rPr>
                      <w:rFonts w:hint="default" w:ascii="Times New Roman" w:hAnsi="Times New Roman" w:cs="Times New Roman"/>
                      <w:color w:val="auto"/>
                      <w:sz w:val="21"/>
                      <w:szCs w:val="21"/>
                      <w:highlight w:val="none"/>
                      <w:lang w:val="en-US" w:eastAsia="zh-CN"/>
                    </w:rPr>
                    <w:t>一般工业固体废物分拣、压实</w:t>
                  </w:r>
                  <w:r>
                    <w:rPr>
                      <w:rFonts w:hint="default" w:ascii="Times New Roman" w:hAnsi="Times New Roman" w:cs="Times New Roman"/>
                      <w:color w:val="auto"/>
                      <w:sz w:val="21"/>
                      <w:szCs w:val="21"/>
                      <w:highlight w:val="none"/>
                    </w:rPr>
                    <w:t>，</w:t>
                  </w:r>
                  <w:r>
                    <w:rPr>
                      <w:rFonts w:hint="eastAsia" w:ascii="Times New Roman" w:hAnsi="Times New Roman" w:cs="Times New Roman"/>
                      <w:color w:val="auto"/>
                      <w:sz w:val="21"/>
                      <w:szCs w:val="21"/>
                      <w:highlight w:val="none"/>
                      <w:lang w:val="en-US" w:eastAsia="zh-CN"/>
                    </w:rPr>
                    <w:t>不涉及该公告中的“执行行业及内容”。</w:t>
                  </w:r>
                </w:p>
              </w:tc>
              <w:tc>
                <w:tcPr>
                  <w:tcW w:w="256" w:type="pct"/>
                </w:tcPr>
                <w:p w14:paraId="51F92484">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符合</w:t>
                  </w:r>
                </w:p>
              </w:tc>
            </w:tr>
            <w:tr w14:paraId="60935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 w:type="pct"/>
                </w:tcPr>
                <w:p w14:paraId="07C5C18E">
                  <w:pPr>
                    <w:keepNext/>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9</w:t>
                  </w:r>
                </w:p>
              </w:tc>
              <w:tc>
                <w:tcPr>
                  <w:tcW w:w="445" w:type="pct"/>
                  <w:vMerge w:val="continue"/>
                </w:tcPr>
                <w:p w14:paraId="5D56E894">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p>
              </w:tc>
              <w:tc>
                <w:tcPr>
                  <w:tcW w:w="2481" w:type="pct"/>
                </w:tcPr>
                <w:p w14:paraId="67DF0E85">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r>
                    <w:rPr>
                      <w:rFonts w:hint="eastAsia"/>
                      <w:color w:val="auto"/>
                      <w:sz w:val="21"/>
                      <w:szCs w:val="21"/>
                      <w:vertAlign w:val="baseline"/>
                    </w:rPr>
                    <w:t>开发区内各企业污废水原则上应接入园区污水处理厂进行集中处理、达标排放。各企业生产废水需经预处理达到广东省《水污染物排放限值》(DB44</w:t>
                  </w:r>
                  <w:r>
                    <w:rPr>
                      <w:rFonts w:hint="eastAsia"/>
                      <w:color w:val="auto"/>
                      <w:sz w:val="21"/>
                      <w:szCs w:val="21"/>
                      <w:vertAlign w:val="baseline"/>
                      <w:lang w:val="en-US" w:eastAsia="zh-CN"/>
                    </w:rPr>
                    <w:t>/</w:t>
                  </w:r>
                  <w:r>
                    <w:rPr>
                      <w:rFonts w:hint="eastAsia"/>
                      <w:color w:val="auto"/>
                      <w:sz w:val="21"/>
                      <w:szCs w:val="21"/>
                      <w:vertAlign w:val="baseline"/>
                    </w:rPr>
                    <w:t>26-2001)第二时段三级标准、所属行业排放标准(间接排放)，以及污水处理厂接管标准后，方可与规划区生活污水通过污水管线一并进入园区污水处理厂处理。</w:t>
                  </w:r>
                </w:p>
              </w:tc>
              <w:tc>
                <w:tcPr>
                  <w:tcW w:w="1521" w:type="pct"/>
                </w:tcPr>
                <w:p w14:paraId="39AEE605">
                  <w:pPr>
                    <w:keepNext/>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本项目无生产废水和生活废水产生。</w:t>
                  </w:r>
                </w:p>
              </w:tc>
              <w:tc>
                <w:tcPr>
                  <w:tcW w:w="256" w:type="pct"/>
                </w:tcPr>
                <w:p w14:paraId="5DCA16D6">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符合</w:t>
                  </w:r>
                </w:p>
              </w:tc>
            </w:tr>
            <w:tr w14:paraId="5F538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 w:type="pct"/>
                </w:tcPr>
                <w:p w14:paraId="211D0134">
                  <w:pPr>
                    <w:keepNext/>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10</w:t>
                  </w:r>
                </w:p>
              </w:tc>
              <w:tc>
                <w:tcPr>
                  <w:tcW w:w="445" w:type="pct"/>
                  <w:vMerge w:val="continue"/>
                </w:tcPr>
                <w:p w14:paraId="5F300B41">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p>
              </w:tc>
              <w:tc>
                <w:tcPr>
                  <w:tcW w:w="2481" w:type="pct"/>
                </w:tcPr>
                <w:p w14:paraId="586E5130">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r>
                    <w:rPr>
                      <w:rFonts w:hint="eastAsia"/>
                      <w:color w:val="auto"/>
                      <w:sz w:val="21"/>
                      <w:szCs w:val="21"/>
                      <w:vertAlign w:val="baseline"/>
                    </w:rPr>
                    <w:t>新建燃气锅炉废气执行《锅炉大气污染物排放标准》(DB44/765-2019)表3大气污染物特别排放限值:现有单台出力1蒸吨/小时(0.7兆瓦)以上，65蒸吨/小时及以下燃气锅炉执行《锅炉大气污染物排放标准》(DB44/765-2019)表3大气污染物特别排放限值;其它行业工艺废气有行业标准的执行行业标准，无行业标准的排放执行广东省地方标准《大气污染物排放限值》DB44/27-2001)第二时段二级标准。</w:t>
                  </w:r>
                </w:p>
              </w:tc>
              <w:tc>
                <w:tcPr>
                  <w:tcW w:w="1521" w:type="pct"/>
                </w:tcPr>
                <w:p w14:paraId="0B3CAAD7">
                  <w:pPr>
                    <w:keepNext/>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本项目不涉及燃气锅炉。</w:t>
                  </w:r>
                </w:p>
              </w:tc>
              <w:tc>
                <w:tcPr>
                  <w:tcW w:w="256" w:type="pct"/>
                </w:tcPr>
                <w:p w14:paraId="354D9D2F">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符合</w:t>
                  </w:r>
                </w:p>
              </w:tc>
            </w:tr>
            <w:tr w14:paraId="79C8E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 w:type="pct"/>
                </w:tcPr>
                <w:p w14:paraId="47CDC6F7">
                  <w:pPr>
                    <w:keepNext/>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11</w:t>
                  </w:r>
                </w:p>
              </w:tc>
              <w:tc>
                <w:tcPr>
                  <w:tcW w:w="445" w:type="pct"/>
                  <w:vMerge w:val="continue"/>
                </w:tcPr>
                <w:p w14:paraId="58A230D0">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p>
              </w:tc>
              <w:tc>
                <w:tcPr>
                  <w:tcW w:w="2481" w:type="pct"/>
                </w:tcPr>
                <w:p w14:paraId="5B0DF396">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r>
                    <w:rPr>
                      <w:rFonts w:hint="eastAsia"/>
                      <w:color w:val="auto"/>
                      <w:sz w:val="21"/>
                      <w:szCs w:val="21"/>
                      <w:vertAlign w:val="baseline"/>
                    </w:rPr>
                    <w:t>产生固体废物(含危险废物)的企业须配套建设符合规范且满足需求的贮存场所，固体废物(含危险废物)贮存、转移过程中应配套防扬散、防流失、防渗漏及其它防止污染环境的措施。</w:t>
                  </w:r>
                </w:p>
              </w:tc>
              <w:tc>
                <w:tcPr>
                  <w:tcW w:w="1521" w:type="pct"/>
                </w:tcPr>
                <w:p w14:paraId="6330E55F">
                  <w:pPr>
                    <w:keepNext/>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本项目要求建设危废暂存间。</w:t>
                  </w:r>
                </w:p>
              </w:tc>
              <w:tc>
                <w:tcPr>
                  <w:tcW w:w="256" w:type="pct"/>
                </w:tcPr>
                <w:p w14:paraId="40506525">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符合</w:t>
                  </w:r>
                </w:p>
              </w:tc>
            </w:tr>
            <w:tr w14:paraId="72E3A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 w:type="pct"/>
                </w:tcPr>
                <w:p w14:paraId="544937F4">
                  <w:pPr>
                    <w:keepNext/>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12</w:t>
                  </w:r>
                </w:p>
              </w:tc>
              <w:tc>
                <w:tcPr>
                  <w:tcW w:w="445" w:type="pct"/>
                  <w:vMerge w:val="continue"/>
                </w:tcPr>
                <w:p w14:paraId="6D3C144F">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p>
              </w:tc>
              <w:tc>
                <w:tcPr>
                  <w:tcW w:w="2481" w:type="pct"/>
                </w:tcPr>
                <w:p w14:paraId="6B4D1775">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r>
                    <w:rPr>
                      <w:rFonts w:hint="eastAsia"/>
                      <w:color w:val="auto"/>
                      <w:sz w:val="21"/>
                      <w:szCs w:val="21"/>
                      <w:vertAlign w:val="baseline"/>
                    </w:rPr>
                    <w:t>重点重金属按照韶关市生态环境分区管控要求执行。</w:t>
                  </w:r>
                </w:p>
              </w:tc>
              <w:tc>
                <w:tcPr>
                  <w:tcW w:w="1521" w:type="pct"/>
                </w:tcPr>
                <w:p w14:paraId="2139DCF3">
                  <w:pPr>
                    <w:keepNext/>
                    <w:keepLines w:val="0"/>
                    <w:pageBreakBefore w:val="0"/>
                    <w:widowControl w:val="0"/>
                    <w:kinsoku/>
                    <w:wordWrap/>
                    <w:overflowPunct/>
                    <w:topLinePunct w:val="0"/>
                    <w:autoSpaceDE/>
                    <w:autoSpaceDN/>
                    <w:bidi w:val="0"/>
                    <w:adjustRightInd/>
                    <w:snapToGrid/>
                    <w:spacing w:line="240" w:lineRule="auto"/>
                    <w:textAlignment w:val="auto"/>
                    <w:rPr>
                      <w:rFonts w:hint="default" w:eastAsia="宋体"/>
                      <w:color w:val="auto"/>
                      <w:sz w:val="21"/>
                      <w:szCs w:val="21"/>
                      <w:vertAlign w:val="baseline"/>
                      <w:lang w:val="en-US" w:eastAsia="zh-CN"/>
                    </w:rPr>
                  </w:pPr>
                  <w:r>
                    <w:rPr>
                      <w:rFonts w:hint="eastAsia" w:ascii="Times New Roman" w:hAnsi="Times New Roman" w:cs="Times New Roman"/>
                      <w:color w:val="auto"/>
                      <w:sz w:val="21"/>
                      <w:szCs w:val="21"/>
                      <w:highlight w:val="none"/>
                      <w:lang w:val="en-US" w:eastAsia="zh-CN"/>
                    </w:rPr>
                    <w:t>本项目</w:t>
                  </w:r>
                  <w:r>
                    <w:rPr>
                      <w:rFonts w:hint="default" w:ascii="Times New Roman" w:hAnsi="Times New Roman" w:cs="Times New Roman"/>
                      <w:color w:val="auto"/>
                      <w:sz w:val="21"/>
                      <w:szCs w:val="21"/>
                      <w:highlight w:val="none"/>
                    </w:rPr>
                    <w:t>主要</w:t>
                  </w:r>
                  <w:r>
                    <w:rPr>
                      <w:rFonts w:hint="default" w:ascii="Times New Roman" w:hAnsi="Times New Roman" w:cs="Times New Roman"/>
                      <w:color w:val="auto"/>
                      <w:sz w:val="21"/>
                      <w:szCs w:val="21"/>
                      <w:highlight w:val="none"/>
                      <w:lang w:eastAsia="zh-CN"/>
                    </w:rPr>
                    <w:t>是</w:t>
                  </w:r>
                  <w:r>
                    <w:rPr>
                      <w:rFonts w:hint="default" w:ascii="Times New Roman" w:hAnsi="Times New Roman" w:cs="Times New Roman"/>
                      <w:color w:val="auto"/>
                      <w:sz w:val="21"/>
                      <w:szCs w:val="21"/>
                      <w:highlight w:val="none"/>
                      <w:lang w:val="en-US" w:eastAsia="zh-CN"/>
                    </w:rPr>
                    <w:t>一般工业固体废物分拣、压实</w:t>
                  </w:r>
                  <w:r>
                    <w:rPr>
                      <w:rFonts w:hint="default" w:ascii="Times New Roman" w:hAnsi="Times New Roman" w:cs="Times New Roman"/>
                      <w:color w:val="auto"/>
                      <w:sz w:val="21"/>
                      <w:szCs w:val="21"/>
                      <w:highlight w:val="none"/>
                    </w:rPr>
                    <w:t>，</w:t>
                  </w:r>
                  <w:r>
                    <w:rPr>
                      <w:rFonts w:hint="eastAsia" w:ascii="Times New Roman" w:hAnsi="Times New Roman" w:cs="Times New Roman"/>
                      <w:color w:val="auto"/>
                      <w:sz w:val="21"/>
                      <w:szCs w:val="21"/>
                      <w:highlight w:val="none"/>
                      <w:lang w:val="en-US" w:eastAsia="zh-CN"/>
                    </w:rPr>
                    <w:t>不涉及重点重金属。</w:t>
                  </w:r>
                </w:p>
              </w:tc>
              <w:tc>
                <w:tcPr>
                  <w:tcW w:w="256" w:type="pct"/>
                </w:tcPr>
                <w:p w14:paraId="67E720BF">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符合</w:t>
                  </w:r>
                </w:p>
              </w:tc>
            </w:tr>
            <w:tr w14:paraId="0D91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 w:type="pct"/>
                </w:tcPr>
                <w:p w14:paraId="636BA1AB">
                  <w:pPr>
                    <w:keepNext/>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13</w:t>
                  </w:r>
                </w:p>
              </w:tc>
              <w:tc>
                <w:tcPr>
                  <w:tcW w:w="445" w:type="pct"/>
                  <w:vMerge w:val="restart"/>
                </w:tcPr>
                <w:p w14:paraId="455C11EF">
                  <w:pPr>
                    <w:keepNext/>
                    <w:keepLines w:val="0"/>
                    <w:pageBreakBefore w:val="0"/>
                    <w:widowControl w:val="0"/>
                    <w:kinsoku/>
                    <w:wordWrap/>
                    <w:overflowPunct/>
                    <w:topLinePunct w:val="0"/>
                    <w:autoSpaceDE/>
                    <w:autoSpaceDN/>
                    <w:bidi w:val="0"/>
                    <w:adjustRightInd/>
                    <w:snapToGrid/>
                    <w:spacing w:line="240" w:lineRule="auto"/>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环境风险管控</w:t>
                  </w:r>
                </w:p>
              </w:tc>
              <w:tc>
                <w:tcPr>
                  <w:tcW w:w="2481" w:type="pct"/>
                </w:tcPr>
                <w:p w14:paraId="25F061C1">
                  <w:pPr>
                    <w:keepNext/>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color w:val="auto"/>
                      <w:sz w:val="21"/>
                      <w:szCs w:val="21"/>
                      <w:vertAlign w:val="baseline"/>
                      <w:lang w:val="en-US" w:eastAsia="zh-CN"/>
                    </w:rPr>
                  </w:pPr>
                  <w:r>
                    <w:rPr>
                      <w:rFonts w:hint="eastAsia"/>
                      <w:color w:val="auto"/>
                      <w:sz w:val="21"/>
                      <w:szCs w:val="21"/>
                      <w:vertAlign w:val="baseline"/>
                    </w:rPr>
                    <w:t>生产、使用、储存危险化学品或其他存在环境风险的入区项目应配套有效的风险防范措施，并根据国家及广东省环境应急预案管理的要求编制环境风险应急预案，防止因渗漏污染地下水、土壤，以及因事故废水直排污染地表水体。</w:t>
                  </w:r>
                </w:p>
              </w:tc>
              <w:tc>
                <w:tcPr>
                  <w:tcW w:w="1521" w:type="pct"/>
                </w:tcPr>
                <w:p w14:paraId="43DB271E">
                  <w:pPr>
                    <w:keepNext/>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本项目要求</w:t>
                  </w:r>
                  <w:r>
                    <w:rPr>
                      <w:rFonts w:hint="eastAsia"/>
                      <w:color w:val="auto"/>
                      <w:sz w:val="21"/>
                      <w:szCs w:val="21"/>
                      <w:vertAlign w:val="baseline"/>
                    </w:rPr>
                    <w:t>根据国家及广东省环境应急预案管理的要求编制环境风险应急预案</w:t>
                  </w:r>
                  <w:r>
                    <w:rPr>
                      <w:rFonts w:hint="eastAsia"/>
                      <w:color w:val="auto"/>
                      <w:sz w:val="21"/>
                      <w:szCs w:val="21"/>
                      <w:vertAlign w:val="baseline"/>
                      <w:lang w:eastAsia="zh-CN"/>
                    </w:rPr>
                    <w:t>。</w:t>
                  </w:r>
                </w:p>
              </w:tc>
              <w:tc>
                <w:tcPr>
                  <w:tcW w:w="256" w:type="pct"/>
                </w:tcPr>
                <w:p w14:paraId="270D4C84">
                  <w:pPr>
                    <w:keepNext/>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符合</w:t>
                  </w:r>
                </w:p>
              </w:tc>
            </w:tr>
            <w:tr w14:paraId="3262F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 w:type="pct"/>
                </w:tcPr>
                <w:p w14:paraId="369880CE">
                  <w:pPr>
                    <w:keepNext/>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14</w:t>
                  </w:r>
                </w:p>
              </w:tc>
              <w:tc>
                <w:tcPr>
                  <w:tcW w:w="445" w:type="pct"/>
                  <w:vMerge w:val="continue"/>
                </w:tcPr>
                <w:p w14:paraId="5749EC69">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lang w:val="en-US" w:eastAsia="zh-CN"/>
                    </w:rPr>
                  </w:pPr>
                </w:p>
              </w:tc>
              <w:tc>
                <w:tcPr>
                  <w:tcW w:w="2481" w:type="pct"/>
                </w:tcPr>
                <w:p w14:paraId="56C3A927">
                  <w:pPr>
                    <w:keepNext/>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color w:val="auto"/>
                      <w:sz w:val="21"/>
                      <w:szCs w:val="21"/>
                      <w:vertAlign w:val="baseline"/>
                      <w:lang w:val="en-US" w:eastAsia="zh-CN"/>
                    </w:rPr>
                  </w:pPr>
                  <w:r>
                    <w:rPr>
                      <w:rFonts w:hint="eastAsia"/>
                      <w:color w:val="auto"/>
                      <w:sz w:val="21"/>
                      <w:szCs w:val="21"/>
                      <w:vertAlign w:val="baseline"/>
                    </w:rPr>
                    <w:t>涉及生产废水排放企业需配套有效措施，防止事故废水直排污染地表水体，防止因渗漏污染地下水。</w:t>
                  </w:r>
                </w:p>
              </w:tc>
              <w:tc>
                <w:tcPr>
                  <w:tcW w:w="1521" w:type="pct"/>
                </w:tcPr>
                <w:p w14:paraId="6B433BBF">
                  <w:pPr>
                    <w:keepNext/>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本项目废水主要为生活污水，不会污染地下水。</w:t>
                  </w:r>
                </w:p>
              </w:tc>
              <w:tc>
                <w:tcPr>
                  <w:tcW w:w="256" w:type="pct"/>
                </w:tcPr>
                <w:p w14:paraId="1C6A05E3">
                  <w:pPr>
                    <w:keepNext/>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符合</w:t>
                  </w:r>
                </w:p>
              </w:tc>
            </w:tr>
            <w:tr w14:paraId="7CDB0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 w:type="pct"/>
                </w:tcPr>
                <w:p w14:paraId="43A8A282">
                  <w:pPr>
                    <w:keepNext/>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15</w:t>
                  </w:r>
                </w:p>
              </w:tc>
              <w:tc>
                <w:tcPr>
                  <w:tcW w:w="445" w:type="pct"/>
                </w:tcPr>
                <w:p w14:paraId="03DC78EE">
                  <w:pPr>
                    <w:keepNext/>
                    <w:keepLines w:val="0"/>
                    <w:pageBreakBefore w:val="0"/>
                    <w:widowControl w:val="0"/>
                    <w:kinsoku/>
                    <w:wordWrap/>
                    <w:overflowPunct/>
                    <w:topLinePunct w:val="0"/>
                    <w:autoSpaceDE/>
                    <w:autoSpaceDN/>
                    <w:bidi w:val="0"/>
                    <w:adjustRightInd/>
                    <w:snapToGrid/>
                    <w:spacing w:line="240" w:lineRule="auto"/>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资源开发利用管理</w:t>
                  </w:r>
                </w:p>
              </w:tc>
              <w:tc>
                <w:tcPr>
                  <w:tcW w:w="2481" w:type="pct"/>
                </w:tcPr>
                <w:p w14:paraId="621A37A3">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rPr>
                  </w:pPr>
                  <w:r>
                    <w:rPr>
                      <w:rFonts w:hint="eastAsia"/>
                      <w:color w:val="auto"/>
                      <w:sz w:val="21"/>
                      <w:szCs w:val="21"/>
                      <w:vertAlign w:val="baseline"/>
                    </w:rPr>
                    <w:t>禁止使用高污染燃料，建议使用电能、天然气等清洁能源。</w:t>
                  </w:r>
                </w:p>
              </w:tc>
              <w:tc>
                <w:tcPr>
                  <w:tcW w:w="1521" w:type="pct"/>
                </w:tcPr>
                <w:p w14:paraId="7765BF25">
                  <w:pPr>
                    <w:keepNext/>
                    <w:keepLines w:val="0"/>
                    <w:pageBreakBefore w:val="0"/>
                    <w:widowControl w:val="0"/>
                    <w:kinsoku/>
                    <w:wordWrap/>
                    <w:overflowPunct/>
                    <w:topLinePunct w:val="0"/>
                    <w:autoSpaceDE/>
                    <w:autoSpaceDN/>
                    <w:bidi w:val="0"/>
                    <w:adjustRightInd/>
                    <w:snapToGrid/>
                    <w:spacing w:line="240" w:lineRule="auto"/>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本项目使用电能作为主要能源，不使用高污染燃料。</w:t>
                  </w:r>
                </w:p>
              </w:tc>
              <w:tc>
                <w:tcPr>
                  <w:tcW w:w="256" w:type="pct"/>
                </w:tcPr>
                <w:p w14:paraId="74C71E57">
                  <w:pPr>
                    <w:keepNext/>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vertAlign w:val="baseline"/>
                    </w:rPr>
                  </w:pPr>
                  <w:r>
                    <w:rPr>
                      <w:rFonts w:hint="eastAsia"/>
                      <w:color w:val="auto"/>
                      <w:sz w:val="21"/>
                      <w:szCs w:val="21"/>
                      <w:vertAlign w:val="baseline"/>
                      <w:lang w:val="en-US" w:eastAsia="zh-CN"/>
                    </w:rPr>
                    <w:t>符合</w:t>
                  </w:r>
                </w:p>
              </w:tc>
            </w:tr>
          </w:tbl>
          <w:p w14:paraId="4A9FFEAB">
            <w:pPr>
              <w:pStyle w:val="61"/>
              <w:keepNext/>
              <w:keepLines w:val="0"/>
              <w:pageBreakBefore w:val="0"/>
              <w:kinsoku/>
              <w:overflowPunct/>
              <w:topLinePunct w:val="0"/>
              <w:autoSpaceDE/>
              <w:autoSpaceDN/>
              <w:bidi w:val="0"/>
              <w:adjustRightInd/>
              <w:snapToGrid/>
              <w:spacing w:line="360" w:lineRule="auto"/>
              <w:ind w:firstLine="476" w:firstLineChars="200"/>
              <w:jc w:val="left"/>
              <w:outlineLvl w:val="9"/>
              <w:rPr>
                <w:rFonts w:hint="default" w:ascii="Times New Roman" w:hAnsi="Times New Roman" w:cs="Times New Roman"/>
                <w:color w:val="auto"/>
                <w:spacing w:val="-1"/>
                <w:sz w:val="24"/>
                <w:szCs w:val="24"/>
                <w:highlight w:val="none"/>
              </w:rPr>
            </w:pPr>
          </w:p>
        </w:tc>
      </w:tr>
      <w:tr w14:paraId="15494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3" w:hRule="atLeast"/>
          <w:jc w:val="center"/>
        </w:trPr>
        <w:tc>
          <w:tcPr>
            <w:tcW w:w="266" w:type="pct"/>
            <w:vAlign w:val="center"/>
          </w:tcPr>
          <w:p w14:paraId="745F5759">
            <w:pPr>
              <w:keepNext/>
              <w:keepLines w:val="0"/>
              <w:pageBreakBefore w:val="0"/>
              <w:widowControl/>
              <w:numPr>
                <w:ilvl w:val="1"/>
                <w:numId w:val="0"/>
              </w:numPr>
              <w:tabs>
                <w:tab w:val="left" w:pos="420"/>
              </w:tabs>
              <w:kinsoku/>
              <w:wordWrap/>
              <w:overflowPunct/>
              <w:topLinePunct w:val="0"/>
              <w:autoSpaceDE/>
              <w:autoSpaceDN/>
              <w:bidi w:val="0"/>
              <w:adjustRightInd/>
              <w:snapToGrid/>
              <w:textAlignment w:val="auto"/>
              <w:outlineLvl w:val="9"/>
              <w:rPr>
                <w:rFonts w:hint="default" w:ascii="Times New Roman" w:hAnsi="Times New Roman" w:cs="Times New Roman"/>
                <w:color w:val="auto"/>
                <w:highlight w:val="none"/>
              </w:rPr>
            </w:pPr>
            <w:bookmarkStart w:id="3" w:name="_Toc2999"/>
            <w:bookmarkStart w:id="4" w:name="_Toc28749"/>
            <w:bookmarkStart w:id="5" w:name="_Toc22642"/>
            <w:bookmarkStart w:id="6" w:name="_Toc27052"/>
            <w:bookmarkStart w:id="7" w:name="_Toc11884"/>
            <w:r>
              <w:rPr>
                <w:rFonts w:hint="default" w:ascii="Times New Roman" w:hAnsi="Times New Roman" w:cs="Times New Roman"/>
                <w:color w:val="auto"/>
                <w:highlight w:val="none"/>
              </w:rPr>
              <w:t>其他符合性分析</w:t>
            </w:r>
            <w:bookmarkEnd w:id="3"/>
            <w:bookmarkEnd w:id="4"/>
            <w:bookmarkEnd w:id="5"/>
            <w:bookmarkEnd w:id="6"/>
            <w:bookmarkEnd w:id="7"/>
          </w:p>
        </w:tc>
        <w:tc>
          <w:tcPr>
            <w:tcW w:w="4733" w:type="pct"/>
            <w:gridSpan w:val="6"/>
            <w:vAlign w:val="center"/>
          </w:tcPr>
          <w:p w14:paraId="51BC1430">
            <w:pPr>
              <w:pStyle w:val="19"/>
              <w:keepNext/>
              <w:keepLines w:val="0"/>
              <w:pageBreakBefore w:val="0"/>
              <w:ind w:left="-2" w:firstLineChars="200"/>
              <w:outlineLvl w:val="2"/>
              <w:rPr>
                <w:rFonts w:hint="default" w:ascii="Times New Roman" w:hAnsi="Times New Roman" w:eastAsia="宋体" w:cs="Times New Roman"/>
                <w:b/>
                <w:bCs/>
                <w:color w:val="auto"/>
                <w:sz w:val="24"/>
                <w:highlight w:val="none"/>
                <w:lang w:eastAsia="zh-CN"/>
              </w:rPr>
            </w:pPr>
            <w:r>
              <w:rPr>
                <w:rFonts w:hint="default" w:ascii="Times New Roman" w:hAnsi="Times New Roman" w:cs="Times New Roman"/>
                <w:b/>
                <w:bCs/>
                <w:color w:val="auto"/>
                <w:sz w:val="24"/>
                <w:highlight w:val="none"/>
              </w:rPr>
              <w:t>一、产业政策相符性分析</w:t>
            </w:r>
          </w:p>
          <w:p w14:paraId="4D398552">
            <w:pPr>
              <w:pStyle w:val="19"/>
              <w:keepNext/>
              <w:keepLines w:val="0"/>
              <w:pageBreakBefore w:val="0"/>
              <w:ind w:firstLineChars="200"/>
              <w:outlineLvl w:val="2"/>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本项目所属行业类别为</w:t>
            </w:r>
            <w:r>
              <w:rPr>
                <w:rFonts w:hint="eastAsia" w:cs="Times New Roman"/>
                <w:color w:val="auto"/>
                <w:sz w:val="24"/>
                <w:szCs w:val="24"/>
                <w:highlight w:val="none"/>
                <w:lang w:val="en-US" w:eastAsia="zh-CN"/>
              </w:rPr>
              <w:t>N7723 固体废物治理</w:t>
            </w:r>
            <w:r>
              <w:rPr>
                <w:rFonts w:hint="default" w:ascii="Times New Roman" w:hAnsi="Times New Roman" w:cs="Times New Roman"/>
                <w:color w:val="auto"/>
                <w:sz w:val="24"/>
                <w:highlight w:val="none"/>
              </w:rPr>
              <w:t>，根据《产业结构调整指导目录（2024年本）》（国家发展和改革委员会令第7号），本项目不属于指导目录中的鼓励类、限制类和淘汰类产业，符合国家有关法律、法规和政策规定，属于允许类。</w:t>
            </w:r>
          </w:p>
          <w:p w14:paraId="55B81990">
            <w:pPr>
              <w:pStyle w:val="19"/>
              <w:keepNext/>
              <w:pageBreakBefore w:val="0"/>
              <w:ind w:firstLineChars="200"/>
              <w:rPr>
                <w:rFonts w:hint="default" w:ascii="Times New Roman" w:hAnsi="Times New Roman" w:cs="Times New Roman"/>
                <w:color w:val="auto"/>
                <w:sz w:val="24"/>
                <w:highlight w:val="none"/>
              </w:rPr>
            </w:pPr>
            <w:r>
              <w:rPr>
                <w:rFonts w:hint="default" w:ascii="Times New Roman" w:hAnsi="Times New Roman" w:cs="Times New Roman"/>
                <w:color w:val="auto"/>
                <w:kern w:val="0"/>
                <w:sz w:val="24"/>
                <w:highlight w:val="none"/>
              </w:rPr>
              <w:t>根据《市场准入负面清单（202</w:t>
            </w:r>
            <w:r>
              <w:rPr>
                <w:rFonts w:hint="default" w:ascii="Times New Roman" w:hAnsi="Times New Roman" w:cs="Times New Roman"/>
                <w:color w:val="auto"/>
                <w:kern w:val="0"/>
                <w:sz w:val="24"/>
                <w:highlight w:val="none"/>
                <w:lang w:val="en-US" w:eastAsia="zh-CN"/>
              </w:rPr>
              <w:t>5</w:t>
            </w:r>
            <w:r>
              <w:rPr>
                <w:rFonts w:hint="default" w:ascii="Times New Roman" w:hAnsi="Times New Roman" w:cs="Times New Roman"/>
                <w:color w:val="auto"/>
                <w:kern w:val="0"/>
                <w:sz w:val="24"/>
                <w:highlight w:val="none"/>
              </w:rPr>
              <w:t>年版）》（发改体改规〔202</w:t>
            </w:r>
            <w:r>
              <w:rPr>
                <w:rFonts w:hint="default" w:ascii="Times New Roman" w:hAnsi="Times New Roman" w:cs="Times New Roman"/>
                <w:color w:val="auto"/>
                <w:kern w:val="0"/>
                <w:sz w:val="24"/>
                <w:highlight w:val="none"/>
                <w:lang w:val="en-US" w:eastAsia="zh-CN"/>
              </w:rPr>
              <w:t>5</w:t>
            </w:r>
            <w:r>
              <w:rPr>
                <w:rFonts w:hint="default" w:ascii="Times New Roman" w:hAnsi="Times New Roman" w:cs="Times New Roman"/>
                <w:color w:val="auto"/>
                <w:kern w:val="0"/>
                <w:sz w:val="24"/>
                <w:highlight w:val="none"/>
              </w:rPr>
              <w:t>〕</w:t>
            </w:r>
            <w:r>
              <w:rPr>
                <w:rFonts w:hint="default" w:ascii="Times New Roman" w:hAnsi="Times New Roman" w:cs="Times New Roman"/>
                <w:color w:val="auto"/>
                <w:kern w:val="0"/>
                <w:sz w:val="24"/>
                <w:highlight w:val="none"/>
                <w:lang w:val="en-US" w:eastAsia="zh-CN"/>
              </w:rPr>
              <w:t>466</w:t>
            </w:r>
            <w:r>
              <w:rPr>
                <w:rFonts w:hint="default" w:ascii="Times New Roman" w:hAnsi="Times New Roman" w:cs="Times New Roman"/>
                <w:color w:val="auto"/>
                <w:kern w:val="0"/>
                <w:sz w:val="24"/>
                <w:highlight w:val="none"/>
              </w:rPr>
              <w:t>号）</w:t>
            </w: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rPr>
              <w:t>《广东省国家重点生态功能区产业准入负面清单（试行）》（粤发改规划</w:t>
            </w:r>
            <w:r>
              <w:rPr>
                <w:rFonts w:hint="default" w:ascii="Times New Roman" w:hAnsi="Times New Roman" w:cs="Times New Roman"/>
                <w:color w:val="auto"/>
                <w:kern w:val="0"/>
                <w:sz w:val="24"/>
                <w:highlight w:val="none"/>
                <w:lang w:eastAsia="zh-CN"/>
              </w:rPr>
              <w:t>〔2017〕331号</w:t>
            </w:r>
            <w:r>
              <w:rPr>
                <w:rFonts w:hint="default" w:ascii="Times New Roman" w:hAnsi="Times New Roman" w:cs="Times New Roman"/>
                <w:color w:val="auto"/>
                <w:kern w:val="0"/>
                <w:sz w:val="24"/>
                <w:highlight w:val="none"/>
              </w:rPr>
              <w:t>），</w:t>
            </w:r>
            <w:r>
              <w:rPr>
                <w:rFonts w:hint="default" w:ascii="Times New Roman" w:hAnsi="Times New Roman" w:cs="Times New Roman"/>
                <w:color w:val="auto"/>
                <w:kern w:val="0"/>
                <w:sz w:val="24"/>
                <w:highlight w:val="none"/>
                <w:lang w:eastAsia="zh-CN"/>
              </w:rPr>
              <w:t>项目</w:t>
            </w:r>
            <w:r>
              <w:rPr>
                <w:rFonts w:hint="default" w:ascii="Times New Roman" w:hAnsi="Times New Roman" w:cs="Times New Roman"/>
                <w:color w:val="auto"/>
                <w:kern w:val="0"/>
                <w:sz w:val="24"/>
                <w:highlight w:val="none"/>
              </w:rPr>
              <w:t>不属于</w:t>
            </w:r>
            <w:r>
              <w:rPr>
                <w:rFonts w:hint="default" w:ascii="Times New Roman" w:hAnsi="Times New Roman" w:cs="Times New Roman"/>
                <w:color w:val="auto"/>
                <w:sz w:val="24"/>
                <w:highlight w:val="none"/>
                <w:lang w:val="en-US" w:eastAsia="zh-CN"/>
              </w:rPr>
              <w:t>负面清单所列行业，也不属于许可准入事项</w:t>
            </w:r>
            <w:r>
              <w:rPr>
                <w:rFonts w:hint="default" w:ascii="Times New Roman" w:hAnsi="Times New Roman" w:cs="Times New Roman"/>
                <w:color w:val="auto"/>
                <w:kern w:val="0"/>
                <w:sz w:val="24"/>
                <w:highlight w:val="none"/>
              </w:rPr>
              <w:t>。因此，本项目可依法进行建设和投产。</w:t>
            </w:r>
          </w:p>
          <w:p w14:paraId="0B7BC188">
            <w:pPr>
              <w:pStyle w:val="19"/>
              <w:keepNext/>
              <w:pageBreakBefore w:val="0"/>
              <w:adjustRightInd/>
              <w:snapToGrid/>
              <w:ind w:firstLineChars="200"/>
              <w:jc w:val="left"/>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rPr>
              <w:t>二、与环境功能区划相符性分析</w:t>
            </w:r>
          </w:p>
          <w:p w14:paraId="38DC85CD">
            <w:pPr>
              <w:pStyle w:val="19"/>
              <w:keepNext/>
              <w:keepLines w:val="0"/>
              <w:pageBreakBefore w:val="0"/>
              <w:widowControl w:val="0"/>
              <w:kinsoku/>
              <w:wordWrap/>
              <w:overflowPunct/>
              <w:topLinePunct w:val="0"/>
              <w:autoSpaceDE/>
              <w:autoSpaceDN/>
              <w:bidi w:val="0"/>
              <w:adjustRightInd/>
              <w:snapToGrid/>
              <w:ind w:firstLineChars="200"/>
              <w:textAlignment w:val="auto"/>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（1）根据《广东省人民政府关于印发</w:t>
            </w:r>
            <w:r>
              <w:rPr>
                <w:rFonts w:hint="default" w:ascii="Times New Roman" w:hAnsi="Times New Roman" w:cs="Times New Roman"/>
                <w:color w:val="auto"/>
                <w:kern w:val="0"/>
                <w:sz w:val="24"/>
                <w:highlight w:val="none"/>
                <w:lang w:val="en-US" w:eastAsia="zh-CN"/>
              </w:rPr>
              <w:t>&lt;</w:t>
            </w:r>
            <w:r>
              <w:rPr>
                <w:rFonts w:hint="default" w:ascii="Times New Roman" w:hAnsi="Times New Roman" w:cs="Times New Roman"/>
                <w:color w:val="auto"/>
                <w:kern w:val="0"/>
                <w:sz w:val="24"/>
                <w:highlight w:val="none"/>
              </w:rPr>
              <w:t>部分市乡镇集中式饮用水源保护区划分方案</w:t>
            </w:r>
            <w:r>
              <w:rPr>
                <w:rFonts w:hint="default" w:ascii="Times New Roman" w:hAnsi="Times New Roman" w:cs="Times New Roman"/>
                <w:color w:val="auto"/>
                <w:kern w:val="0"/>
                <w:sz w:val="24"/>
                <w:highlight w:val="none"/>
                <w:lang w:val="en-US" w:eastAsia="zh-CN"/>
              </w:rPr>
              <w:t>&gt;</w:t>
            </w:r>
            <w:r>
              <w:rPr>
                <w:rFonts w:hint="default" w:ascii="Times New Roman" w:hAnsi="Times New Roman" w:cs="Times New Roman"/>
                <w:color w:val="auto"/>
                <w:kern w:val="0"/>
                <w:sz w:val="24"/>
                <w:highlight w:val="none"/>
              </w:rPr>
              <w:t>的通知》（粤府函〔2015〕17号）及《广东省人民政府关于调整韶关市部分饮用水水源保护区的批复》（粤府函〔2018〕427号），项目所在地不属于韶关市一、二级水源保护区，符合</w:t>
            </w:r>
            <w:r>
              <w:rPr>
                <w:rFonts w:hint="default" w:ascii="Times New Roman" w:hAnsi="Times New Roman" w:cs="Times New Roman"/>
                <w:color w:val="auto"/>
                <w:sz w:val="24"/>
                <w:highlight w:val="none"/>
              </w:rPr>
              <w:t>水污染防治条例</w:t>
            </w:r>
            <w:r>
              <w:rPr>
                <w:rFonts w:hint="default" w:ascii="Times New Roman" w:hAnsi="Times New Roman" w:cs="Times New Roman"/>
                <w:color w:val="auto"/>
                <w:kern w:val="0"/>
                <w:sz w:val="24"/>
                <w:highlight w:val="none"/>
              </w:rPr>
              <w:t>的有关要求。</w:t>
            </w:r>
          </w:p>
          <w:p w14:paraId="3F1438F3">
            <w:pPr>
              <w:pStyle w:val="19"/>
              <w:keepNext/>
              <w:keepLines w:val="0"/>
              <w:pageBreakBefore w:val="0"/>
              <w:widowControl w:val="0"/>
              <w:kinsoku/>
              <w:wordWrap/>
              <w:overflowPunct/>
              <w:topLinePunct w:val="0"/>
              <w:autoSpaceDE/>
              <w:autoSpaceDN/>
              <w:bidi w:val="0"/>
              <w:adjustRightInd/>
              <w:snapToGrid/>
              <w:ind w:firstLineChars="200"/>
              <w:textAlignment w:val="auto"/>
              <w:rPr>
                <w:rFonts w:hint="default" w:ascii="Times New Roman" w:hAnsi="Times New Roman" w:eastAsia="宋体"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同时根据《广东省水利厅关于印发&lt;韶关市部分饮用水水源保护区调整方案&gt;的通知》（粤环函〔2024〕146号）可知，本项目选址未处于各级饮用水水源保护区范围内，本项目与最近饮用水水源保护区：韶关市区武江饮用水水源地准保护区距离约为</w:t>
            </w:r>
            <w:r>
              <w:rPr>
                <w:rFonts w:hint="eastAsia" w:cs="Times New Roman"/>
                <w:color w:val="auto"/>
                <w:kern w:val="0"/>
                <w:sz w:val="24"/>
                <w:highlight w:val="none"/>
                <w:lang w:val="en-US" w:eastAsia="zh-CN"/>
              </w:rPr>
              <w:t>4409</w:t>
            </w:r>
            <w:r>
              <w:rPr>
                <w:rFonts w:hint="default" w:ascii="Times New Roman" w:hAnsi="Times New Roman" w:cs="Times New Roman"/>
                <w:color w:val="auto"/>
                <w:kern w:val="0"/>
                <w:sz w:val="24"/>
                <w:highlight w:val="none"/>
                <w:lang w:val="en-US" w:eastAsia="zh-CN"/>
              </w:rPr>
              <w:t>m，项目与韶关市区武江饮用水水源地准保护区位置关系图详见附图17。</w:t>
            </w:r>
          </w:p>
          <w:p w14:paraId="53BDA6BC">
            <w:pPr>
              <w:pStyle w:val="19"/>
              <w:keepNext/>
              <w:pageBreakBefore w:val="0"/>
              <w:widowControl/>
              <w:ind w:firstLineChars="200"/>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（2）根据《乐昌市人民政府办公室关于印发</w:t>
            </w:r>
            <w:r>
              <w:rPr>
                <w:rFonts w:hint="default" w:ascii="Times New Roman" w:hAnsi="Times New Roman" w:cs="Times New Roman"/>
                <w:color w:val="auto"/>
                <w:kern w:val="0"/>
                <w:sz w:val="24"/>
                <w:highlight w:val="none"/>
                <w:lang w:val="en-US" w:eastAsia="zh-CN"/>
              </w:rPr>
              <w:t>&lt;</w:t>
            </w:r>
            <w:r>
              <w:rPr>
                <w:rFonts w:hint="default" w:ascii="Times New Roman" w:hAnsi="Times New Roman" w:cs="Times New Roman"/>
                <w:color w:val="auto"/>
                <w:kern w:val="0"/>
                <w:sz w:val="24"/>
                <w:highlight w:val="none"/>
              </w:rPr>
              <w:t>乐昌市生态环境保护“十四五”规划</w:t>
            </w:r>
            <w:r>
              <w:rPr>
                <w:rFonts w:hint="default" w:ascii="Times New Roman" w:hAnsi="Times New Roman" w:cs="Times New Roman"/>
                <w:color w:val="auto"/>
                <w:kern w:val="0"/>
                <w:sz w:val="24"/>
                <w:highlight w:val="none"/>
                <w:lang w:val="en-US" w:eastAsia="zh-CN"/>
              </w:rPr>
              <w:t>&gt;</w:t>
            </w:r>
            <w:r>
              <w:rPr>
                <w:rFonts w:hint="default" w:ascii="Times New Roman" w:hAnsi="Times New Roman" w:cs="Times New Roman"/>
                <w:color w:val="auto"/>
                <w:kern w:val="0"/>
                <w:sz w:val="24"/>
                <w:highlight w:val="none"/>
              </w:rPr>
              <w:t>的通知》（乐府办〔2022〕16号）中《乐昌市“十四五”生态环境保护规划大气环境功能区划图》，项目所在区域为环境空气质量二类功能区（详见附图</w:t>
            </w:r>
            <w:r>
              <w:rPr>
                <w:rFonts w:hint="default" w:ascii="Times New Roman" w:hAnsi="Times New Roman" w:cs="Times New Roman"/>
                <w:color w:val="auto"/>
                <w:kern w:val="0"/>
                <w:sz w:val="24"/>
                <w:highlight w:val="none"/>
                <w:lang w:val="en-US" w:eastAsia="zh-CN"/>
              </w:rPr>
              <w:t>7</w:t>
            </w:r>
            <w:r>
              <w:rPr>
                <w:rFonts w:hint="default" w:ascii="Times New Roman" w:hAnsi="Times New Roman" w:cs="Times New Roman"/>
                <w:color w:val="auto"/>
                <w:kern w:val="0"/>
                <w:sz w:val="24"/>
                <w:highlight w:val="none"/>
              </w:rPr>
              <w:t>），不属于环境空气质量一类功能区中的自然保护区风景名胜区和</w:t>
            </w:r>
            <w:r>
              <w:rPr>
                <w:rFonts w:hint="default" w:ascii="Times New Roman" w:hAnsi="Times New Roman" w:cs="Times New Roman"/>
                <w:color w:val="auto"/>
                <w:kern w:val="0"/>
                <w:sz w:val="24"/>
                <w:highlight w:val="none"/>
                <w:lang w:eastAsia="zh-CN"/>
              </w:rPr>
              <w:t>其他需要</w:t>
            </w:r>
            <w:r>
              <w:rPr>
                <w:rFonts w:hint="default" w:ascii="Times New Roman" w:hAnsi="Times New Roman" w:cs="Times New Roman"/>
                <w:color w:val="auto"/>
                <w:kern w:val="0"/>
                <w:sz w:val="24"/>
                <w:highlight w:val="none"/>
              </w:rPr>
              <w:t>特殊保护的区域。</w:t>
            </w:r>
          </w:p>
          <w:p w14:paraId="3828DB99">
            <w:pPr>
              <w:pStyle w:val="19"/>
              <w:keepNext/>
              <w:pageBreakBefore w:val="0"/>
              <w:adjustRightInd/>
              <w:snapToGrid/>
              <w:ind w:firstLineChars="200"/>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（3）根据《乐昌产业转移工业园控制性详细规划-城东地块论证报告调整后》及不动产权证</w:t>
            </w: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rPr>
              <w:t>详见</w:t>
            </w:r>
            <w:r>
              <w:rPr>
                <w:rFonts w:hint="default" w:ascii="Times New Roman" w:hAnsi="Times New Roman" w:cs="Times New Roman"/>
                <w:color w:val="auto"/>
                <w:kern w:val="0"/>
                <w:sz w:val="24"/>
                <w:highlight w:val="none"/>
                <w:lang w:eastAsia="zh-CN"/>
              </w:rPr>
              <w:t>附图</w:t>
            </w:r>
            <w:r>
              <w:rPr>
                <w:rFonts w:hint="default" w:ascii="Times New Roman" w:hAnsi="Times New Roman" w:cs="Times New Roman"/>
                <w:color w:val="auto"/>
                <w:kern w:val="0"/>
                <w:sz w:val="24"/>
                <w:highlight w:val="none"/>
                <w:lang w:val="en-US" w:eastAsia="zh-CN"/>
              </w:rPr>
              <w:t>5及附件3</w:t>
            </w: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rPr>
              <w:t>，项目所在地位为工业用地</w:t>
            </w: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rPr>
              <w:t>项目所在区域为声环境3类区</w:t>
            </w: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rPr>
              <w:t>详见</w:t>
            </w:r>
            <w:r>
              <w:rPr>
                <w:rFonts w:hint="eastAsia" w:cs="Times New Roman"/>
                <w:color w:val="auto"/>
                <w:kern w:val="0"/>
                <w:sz w:val="24"/>
                <w:highlight w:val="none"/>
                <w:lang w:val="en-US" w:eastAsia="zh-CN"/>
              </w:rPr>
              <w:t>附图8</w:t>
            </w:r>
            <w:r>
              <w:rPr>
                <w:rFonts w:hint="default" w:ascii="Times New Roman" w:hAnsi="Times New Roman" w:cs="Times New Roman"/>
                <w:color w:val="auto"/>
                <w:kern w:val="0"/>
                <w:sz w:val="24"/>
                <w:highlight w:val="none"/>
                <w:lang w:eastAsia="zh-CN"/>
              </w:rPr>
              <w:t>）</w:t>
            </w:r>
            <w:r>
              <w:rPr>
                <w:rFonts w:hint="eastAsia" w:cs="Times New Roman"/>
                <w:color w:val="auto"/>
                <w:kern w:val="0"/>
                <w:sz w:val="24"/>
                <w:highlight w:val="none"/>
                <w:lang w:val="en-US" w:eastAsia="zh-CN"/>
              </w:rPr>
              <w:t>。</w:t>
            </w:r>
          </w:p>
          <w:p w14:paraId="6E80E2C3">
            <w:pPr>
              <w:pStyle w:val="19"/>
              <w:keepNext/>
              <w:pageBreakBefore w:val="0"/>
              <w:adjustRightInd/>
              <w:snapToGrid/>
              <w:ind w:firstLineChars="200"/>
              <w:jc w:val="left"/>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rPr>
              <w:t>三、与城市规划相符性分析</w:t>
            </w:r>
          </w:p>
          <w:p w14:paraId="6CF2C25B">
            <w:pPr>
              <w:pStyle w:val="19"/>
              <w:keepNext/>
              <w:pageBreakBefore w:val="0"/>
              <w:adjustRightInd/>
              <w:snapToGrid/>
              <w:ind w:firstLineChars="200"/>
              <w:rPr>
                <w:rFonts w:hint="default" w:ascii="Times New Roman" w:hAnsi="Times New Roman" w:cs="Times New Roman"/>
                <w:color w:val="auto"/>
                <w:highlight w:val="none"/>
              </w:rPr>
            </w:pPr>
            <w:r>
              <w:rPr>
                <w:rFonts w:hint="default" w:ascii="Times New Roman" w:hAnsi="Times New Roman" w:cs="Times New Roman"/>
                <w:color w:val="auto"/>
                <w:kern w:val="0"/>
                <w:sz w:val="24"/>
                <w:highlight w:val="none"/>
              </w:rPr>
              <w:t>项目位于</w:t>
            </w:r>
            <w:r>
              <w:rPr>
                <w:rFonts w:hint="default" w:ascii="Times New Roman" w:hAnsi="Times New Roman" w:cs="Times New Roman"/>
                <w:color w:val="auto"/>
                <w:kern w:val="0"/>
                <w:sz w:val="24"/>
                <w:highlight w:val="none"/>
                <w:lang w:val="en-US" w:eastAsia="zh-CN"/>
              </w:rPr>
              <w:t>广东省乐昌市乐廊路六公里乐昌市产业转移园鸿图工艺厂房A2</w:t>
            </w:r>
            <w:r>
              <w:rPr>
                <w:rFonts w:hint="default" w:ascii="Times New Roman" w:hAnsi="Times New Roman" w:cs="Times New Roman"/>
                <w:color w:val="auto"/>
                <w:kern w:val="0"/>
                <w:sz w:val="24"/>
                <w:highlight w:val="none"/>
              </w:rPr>
              <w:t>，根据《乐昌产业转移工业园控制性详细规划-城东地块论证报告调整后》，项目所在地为工业用地，项目所在地没有占用基本农业用地和林地，符合韶关市城市建设和环境功能区规划的要求，且具有水、电等供应保障，交通便利等条件。项目周围没有风景名胜区、生态脆弱带等。故项目选址是合理的。</w:t>
            </w:r>
            <w:bookmarkStart w:id="8" w:name="_Toc459880767"/>
          </w:p>
          <w:bookmarkEnd w:id="8"/>
          <w:p w14:paraId="7CBA2829">
            <w:pPr>
              <w:pStyle w:val="19"/>
              <w:keepNext/>
              <w:keepLines w:val="0"/>
              <w:pageBreakBefore w:val="0"/>
              <w:ind w:left="-2" w:firstLineChars="200"/>
              <w:outlineLvl w:val="2"/>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四、与《</w:t>
            </w:r>
            <w:r>
              <w:rPr>
                <w:rFonts w:hint="default" w:ascii="Times New Roman" w:hAnsi="Times New Roman" w:cs="Times New Roman"/>
                <w:b/>
                <w:bCs/>
                <w:color w:val="auto"/>
                <w:sz w:val="24"/>
                <w:szCs w:val="24"/>
                <w:highlight w:val="none"/>
              </w:rPr>
              <w:t>工业和信息化部发布&lt;限期淘汰产生严重污染环境的工业固体废物的落后生产工艺设备名录&gt;公告》（中华人民共和国工业和信息化部公告2021年第25号）相符性分析</w:t>
            </w:r>
          </w:p>
          <w:p w14:paraId="4629AB08">
            <w:pPr>
              <w:pStyle w:val="19"/>
              <w:keepNext/>
              <w:pageBreakBefore w:val="0"/>
              <w:ind w:firstLineChars="200"/>
              <w:rPr>
                <w:rFonts w:hint="default" w:ascii="Times New Roman" w:hAnsi="Times New Roman" w:cs="Times New Roman"/>
                <w:color w:val="auto"/>
                <w:highlight w:val="none"/>
              </w:rPr>
            </w:pPr>
            <w:r>
              <w:rPr>
                <w:rFonts w:hint="default" w:ascii="Times New Roman" w:hAnsi="Times New Roman" w:cs="Times New Roman"/>
                <w:color w:val="auto"/>
                <w:sz w:val="24"/>
                <w:szCs w:val="24"/>
                <w:highlight w:val="none"/>
              </w:rPr>
              <w:t>本项目所用生产工艺及设备不属于《限期淘汰产生严重污染环境的工业固体废物的落后生产工艺设备名录》中限期淘汰的落后生产工艺设备，故与《工业和信息化部发布&lt;限期淘汰产生严重污染环境的工业固体废物的落后生产工艺设备名录&gt;公告》（中华人民共和国工业和信息化部公告2021年第25号）相符。</w:t>
            </w:r>
          </w:p>
          <w:p w14:paraId="2C9E5906">
            <w:pPr>
              <w:pStyle w:val="19"/>
              <w:keepNext/>
              <w:keepLines w:val="0"/>
              <w:pageBreakBefore w:val="0"/>
              <w:ind w:left="-2" w:firstLineChars="200"/>
              <w:outlineLvl w:val="2"/>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五、生态环境分区管控相符性分析</w:t>
            </w:r>
          </w:p>
          <w:p w14:paraId="4B22E679">
            <w:pPr>
              <w:pStyle w:val="19"/>
              <w:keepNext/>
              <w:pageBreakBefore w:val="0"/>
              <w:ind w:firstLineChars="200"/>
              <w:rPr>
                <w:rFonts w:hint="default" w:ascii="Times New Roman" w:hAnsi="Times New Roman" w:cs="Times New Roman"/>
                <w:color w:val="auto"/>
                <w:sz w:val="24"/>
                <w:highlight w:val="none"/>
                <w:lang w:val="en-US"/>
              </w:rPr>
            </w:pPr>
            <w:r>
              <w:rPr>
                <w:rFonts w:hint="default" w:ascii="Times New Roman" w:hAnsi="Times New Roman" w:cs="Times New Roman"/>
                <w:color w:val="auto"/>
                <w:sz w:val="24"/>
                <w:highlight w:val="none"/>
              </w:rPr>
              <w:t>1、</w:t>
            </w:r>
            <w:r>
              <w:rPr>
                <w:rFonts w:hint="default" w:ascii="Times New Roman" w:hAnsi="Times New Roman" w:cs="Times New Roman"/>
                <w:b/>
                <w:bCs/>
                <w:color w:val="auto"/>
                <w:sz w:val="24"/>
                <w:highlight w:val="none"/>
              </w:rPr>
              <w:t>《关于印发广东省“三线一单”生态环境分区管控方案的通知》（粤府〔2020〕71号）</w:t>
            </w:r>
            <w:r>
              <w:rPr>
                <w:rFonts w:hint="default" w:ascii="Times New Roman" w:hAnsi="Times New Roman" w:eastAsia="宋体" w:cs="Times New Roman"/>
                <w:b/>
                <w:bCs/>
                <w:color w:val="auto"/>
                <w:sz w:val="24"/>
                <w:highlight w:val="none"/>
                <w:lang w:eastAsia="zh-CN"/>
              </w:rPr>
              <w:t>《广东省2023年度生态环境分区管控动态更新成果公告》</w:t>
            </w:r>
            <w:r>
              <w:rPr>
                <w:rFonts w:hint="eastAsia" w:cs="Times New Roman"/>
                <w:b/>
                <w:bCs/>
                <w:color w:val="auto"/>
                <w:sz w:val="24"/>
                <w:highlight w:val="none"/>
                <w:lang w:val="en-US" w:eastAsia="zh-CN"/>
              </w:rPr>
              <w:t>相符性分析</w:t>
            </w:r>
          </w:p>
          <w:p w14:paraId="673EC289">
            <w:pPr>
              <w:pStyle w:val="19"/>
              <w:keepNext/>
              <w:keepLines w:val="0"/>
              <w:pageBreakBefore w:val="0"/>
              <w:widowControl w:val="0"/>
              <w:kinsoku/>
              <w:wordWrap/>
              <w:overflowPunct/>
              <w:topLinePunct w:val="0"/>
              <w:autoSpaceDE/>
              <w:autoSpaceDN/>
              <w:bidi w:val="0"/>
              <w:adjustRightInd/>
              <w:snapToGrid/>
              <w:spacing w:line="240" w:lineRule="auto"/>
              <w:ind w:firstLine="480"/>
              <w:jc w:val="center"/>
              <w:textAlignment w:val="auto"/>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表1-</w:t>
            </w:r>
            <w:r>
              <w:rPr>
                <w:rFonts w:hint="eastAsia" w:cs="Times New Roman"/>
                <w:b/>
                <w:bCs/>
                <w:color w:val="auto"/>
                <w:highlight w:val="none"/>
                <w:lang w:val="en-US" w:eastAsia="zh-CN"/>
              </w:rPr>
              <w:t>2</w:t>
            </w:r>
            <w:r>
              <w:rPr>
                <w:rFonts w:hint="eastAsia"/>
                <w:color w:val="auto"/>
                <w:sz w:val="21"/>
                <w:szCs w:val="21"/>
                <w:highlight w:val="none"/>
                <w:lang w:val="en-US" w:eastAsia="zh-CN"/>
              </w:rPr>
              <w:t>与《广东省“三线一单”生态环境分区管控方案》《广东省</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2023年度生态环境分区管控动态更新成果公告》</w:t>
            </w:r>
            <w:r>
              <w:rPr>
                <w:rFonts w:hint="eastAsia"/>
                <w:color w:val="auto"/>
                <w:sz w:val="21"/>
                <w:szCs w:val="21"/>
                <w:highlight w:val="none"/>
              </w:rPr>
              <w:t>相符性分析一览表</w:t>
            </w:r>
          </w:p>
          <w:tbl>
            <w:tblPr>
              <w:tblStyle w:val="4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2"/>
              <w:gridCol w:w="832"/>
              <w:gridCol w:w="3364"/>
              <w:gridCol w:w="2592"/>
              <w:gridCol w:w="551"/>
            </w:tblGrid>
            <w:tr w14:paraId="45676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0" w:type="pct"/>
                  <w:tcBorders>
                    <w:top w:val="single" w:color="auto" w:sz="4" w:space="0"/>
                    <w:left w:val="single" w:color="auto" w:sz="4" w:space="0"/>
                    <w:bottom w:val="single" w:color="auto" w:sz="4" w:space="0"/>
                    <w:right w:val="single" w:color="auto" w:sz="4" w:space="0"/>
                  </w:tcBorders>
                  <w:vAlign w:val="center"/>
                </w:tcPr>
                <w:p w14:paraId="74E3C6D0">
                  <w:pPr>
                    <w:widowControl w:val="0"/>
                    <w:kinsoku/>
                    <w:autoSpaceDE/>
                    <w:autoSpaceDN/>
                    <w:adjustRightInd/>
                    <w:snapToGrid/>
                    <w:spacing w:line="240" w:lineRule="auto"/>
                    <w:jc w:val="center"/>
                    <w:textAlignment w:val="auto"/>
                    <w:rPr>
                      <w:rFonts w:hint="default" w:ascii="Times New Roman" w:hAnsi="Times New Roman" w:cs="Times New Roman"/>
                      <w:b/>
                      <w:bCs/>
                      <w:color w:val="auto"/>
                      <w:sz w:val="21"/>
                      <w:szCs w:val="21"/>
                      <w:highlight w:val="none"/>
                      <w:lang w:val="en-US"/>
                    </w:rPr>
                  </w:pPr>
                  <w:r>
                    <w:rPr>
                      <w:rFonts w:hint="default" w:ascii="Times New Roman" w:hAnsi="Times New Roman" w:cs="Times New Roman"/>
                      <w:b/>
                      <w:bCs/>
                      <w:color w:val="auto"/>
                      <w:sz w:val="21"/>
                      <w:szCs w:val="21"/>
                      <w:highlight w:val="none"/>
                      <w:lang w:val="en-US" w:eastAsia="zh-CN"/>
                    </w:rPr>
                    <w:t>序号</w:t>
                  </w:r>
                </w:p>
              </w:tc>
              <w:tc>
                <w:tcPr>
                  <w:tcW w:w="530" w:type="pct"/>
                  <w:tcBorders>
                    <w:top w:val="single" w:color="auto" w:sz="4" w:space="0"/>
                    <w:left w:val="single" w:color="auto" w:sz="4" w:space="0"/>
                    <w:bottom w:val="single" w:color="auto" w:sz="4" w:space="0"/>
                    <w:right w:val="single" w:color="auto" w:sz="4" w:space="0"/>
                  </w:tcBorders>
                  <w:vAlign w:val="center"/>
                </w:tcPr>
                <w:p w14:paraId="47390F80">
                  <w:pPr>
                    <w:widowControl w:val="0"/>
                    <w:kinsoku/>
                    <w:autoSpaceDE/>
                    <w:autoSpaceDN/>
                    <w:adjustRightInd/>
                    <w:snapToGrid/>
                    <w:spacing w:line="240" w:lineRule="auto"/>
                    <w:jc w:val="center"/>
                    <w:textAlignment w:val="auto"/>
                    <w:rPr>
                      <w:rFonts w:hint="default" w:ascii="Times New Roman" w:hAnsi="Times New Roman" w:cs="Times New Roman"/>
                      <w:b/>
                      <w:bCs/>
                      <w:color w:val="auto"/>
                      <w:sz w:val="21"/>
                      <w:szCs w:val="21"/>
                      <w:highlight w:val="none"/>
                      <w:lang w:val="en-US"/>
                    </w:rPr>
                  </w:pPr>
                  <w:r>
                    <w:rPr>
                      <w:rFonts w:hint="default" w:ascii="Times New Roman" w:hAnsi="Times New Roman" w:cs="Times New Roman"/>
                      <w:b/>
                      <w:bCs/>
                      <w:color w:val="auto"/>
                      <w:sz w:val="21"/>
                      <w:szCs w:val="21"/>
                      <w:highlight w:val="none"/>
                      <w:lang w:val="en-US" w:eastAsia="zh-CN"/>
                    </w:rPr>
                    <w:t>管控要求</w:t>
                  </w:r>
                </w:p>
              </w:tc>
              <w:tc>
                <w:tcPr>
                  <w:tcW w:w="2144" w:type="pct"/>
                  <w:tcBorders>
                    <w:top w:val="single" w:color="auto" w:sz="4" w:space="0"/>
                    <w:left w:val="single" w:color="auto" w:sz="4" w:space="0"/>
                    <w:bottom w:val="single" w:color="auto" w:sz="4" w:space="0"/>
                    <w:right w:val="single" w:color="auto" w:sz="4" w:space="0"/>
                  </w:tcBorders>
                  <w:vAlign w:val="center"/>
                </w:tcPr>
                <w:p w14:paraId="2B1E65E1">
                  <w:pPr>
                    <w:widowControl w:val="0"/>
                    <w:kinsoku/>
                    <w:autoSpaceDE/>
                    <w:autoSpaceDN/>
                    <w:adjustRightInd/>
                    <w:snapToGrid/>
                    <w:spacing w:line="240" w:lineRule="auto"/>
                    <w:jc w:val="center"/>
                    <w:textAlignment w:val="auto"/>
                    <w:rPr>
                      <w:rFonts w:hint="default" w:ascii="Times New Roman" w:hAnsi="Times New Roman" w:cs="Times New Roman"/>
                      <w:b/>
                      <w:bCs/>
                      <w:color w:val="auto"/>
                      <w:sz w:val="21"/>
                      <w:szCs w:val="21"/>
                      <w:highlight w:val="none"/>
                      <w:lang w:val="en-US"/>
                    </w:rPr>
                  </w:pPr>
                  <w:r>
                    <w:rPr>
                      <w:rFonts w:hint="default" w:ascii="Times New Roman" w:hAnsi="Times New Roman" w:cs="Times New Roman"/>
                      <w:b/>
                      <w:bCs/>
                      <w:color w:val="auto"/>
                      <w:sz w:val="21"/>
                      <w:szCs w:val="21"/>
                      <w:highlight w:val="none"/>
                      <w:lang w:val="en-US" w:eastAsia="zh-CN"/>
                    </w:rPr>
                    <w:t>具体内容</w:t>
                  </w:r>
                </w:p>
              </w:tc>
              <w:tc>
                <w:tcPr>
                  <w:tcW w:w="1652" w:type="pct"/>
                  <w:tcBorders>
                    <w:top w:val="single" w:color="auto" w:sz="4" w:space="0"/>
                    <w:left w:val="single" w:color="auto" w:sz="4" w:space="0"/>
                    <w:bottom w:val="single" w:color="auto" w:sz="4" w:space="0"/>
                    <w:right w:val="single" w:color="auto" w:sz="4" w:space="0"/>
                  </w:tcBorders>
                  <w:vAlign w:val="center"/>
                </w:tcPr>
                <w:p w14:paraId="00B7927D">
                  <w:pPr>
                    <w:widowControl w:val="0"/>
                    <w:kinsoku/>
                    <w:autoSpaceDE/>
                    <w:autoSpaceDN/>
                    <w:adjustRightInd/>
                    <w:snapToGrid/>
                    <w:spacing w:line="240" w:lineRule="auto"/>
                    <w:jc w:val="center"/>
                    <w:textAlignment w:val="auto"/>
                    <w:rPr>
                      <w:rFonts w:hint="default" w:ascii="Times New Roman" w:hAnsi="Times New Roman" w:cs="Times New Roman"/>
                      <w:b/>
                      <w:bCs/>
                      <w:color w:val="auto"/>
                      <w:sz w:val="21"/>
                      <w:szCs w:val="21"/>
                      <w:highlight w:val="none"/>
                      <w:lang w:val="en-US"/>
                    </w:rPr>
                  </w:pPr>
                  <w:r>
                    <w:rPr>
                      <w:rFonts w:hint="default" w:ascii="Times New Roman" w:hAnsi="Times New Roman" w:cs="Times New Roman"/>
                      <w:b/>
                      <w:bCs/>
                      <w:color w:val="auto"/>
                      <w:sz w:val="21"/>
                      <w:szCs w:val="21"/>
                      <w:highlight w:val="none"/>
                      <w:lang w:val="en-US" w:eastAsia="zh-CN"/>
                    </w:rPr>
                    <w:t>本项目情况</w:t>
                  </w:r>
                </w:p>
              </w:tc>
              <w:tc>
                <w:tcPr>
                  <w:tcW w:w="351" w:type="pct"/>
                  <w:tcBorders>
                    <w:top w:val="single" w:color="auto" w:sz="4" w:space="0"/>
                    <w:left w:val="single" w:color="auto" w:sz="4" w:space="0"/>
                    <w:bottom w:val="single" w:color="auto" w:sz="4" w:space="0"/>
                    <w:right w:val="single" w:color="auto" w:sz="4" w:space="0"/>
                  </w:tcBorders>
                  <w:vAlign w:val="center"/>
                </w:tcPr>
                <w:p w14:paraId="2056B750">
                  <w:pPr>
                    <w:widowControl w:val="0"/>
                    <w:kinsoku/>
                    <w:autoSpaceDE/>
                    <w:autoSpaceDN/>
                    <w:adjustRightInd/>
                    <w:snapToGrid/>
                    <w:spacing w:line="240" w:lineRule="auto"/>
                    <w:jc w:val="center"/>
                    <w:textAlignment w:val="auto"/>
                    <w:rPr>
                      <w:rFonts w:hint="default" w:ascii="Times New Roman" w:hAnsi="Times New Roman" w:cs="Times New Roman"/>
                      <w:b/>
                      <w:bCs/>
                      <w:color w:val="auto"/>
                      <w:sz w:val="21"/>
                      <w:szCs w:val="21"/>
                      <w:highlight w:val="none"/>
                      <w:lang w:val="en-US"/>
                    </w:rPr>
                  </w:pPr>
                  <w:r>
                    <w:rPr>
                      <w:rFonts w:hint="default" w:ascii="Times New Roman" w:hAnsi="Times New Roman" w:cs="Times New Roman"/>
                      <w:b/>
                      <w:bCs/>
                      <w:color w:val="auto"/>
                      <w:sz w:val="21"/>
                      <w:szCs w:val="21"/>
                      <w:highlight w:val="none"/>
                      <w:lang w:val="en-US" w:eastAsia="zh-CN"/>
                    </w:rPr>
                    <w:t>符合性</w:t>
                  </w:r>
                </w:p>
              </w:tc>
            </w:tr>
            <w:tr w14:paraId="0BE10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0" w:type="pct"/>
                  <w:tcBorders>
                    <w:top w:val="single" w:color="auto" w:sz="4" w:space="0"/>
                    <w:left w:val="single" w:color="auto" w:sz="4" w:space="0"/>
                    <w:bottom w:val="single" w:color="auto" w:sz="4" w:space="0"/>
                    <w:right w:val="single" w:color="auto" w:sz="4" w:space="0"/>
                  </w:tcBorders>
                  <w:vAlign w:val="center"/>
                </w:tcPr>
                <w:p w14:paraId="4834B7AB">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lang w:val="en-US" w:eastAsia="zh-CN"/>
                    </w:rPr>
                    <w:t>1</w:t>
                  </w:r>
                </w:p>
              </w:tc>
              <w:tc>
                <w:tcPr>
                  <w:tcW w:w="530" w:type="pct"/>
                  <w:tcBorders>
                    <w:top w:val="single" w:color="auto" w:sz="4" w:space="0"/>
                    <w:left w:val="single" w:color="auto" w:sz="4" w:space="0"/>
                    <w:bottom w:val="single" w:color="auto" w:sz="4" w:space="0"/>
                    <w:right w:val="single" w:color="auto" w:sz="4" w:space="0"/>
                  </w:tcBorders>
                  <w:vAlign w:val="center"/>
                </w:tcPr>
                <w:p w14:paraId="6CA529E6">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生态保护红线</w:t>
                  </w:r>
                  <w:r>
                    <w:rPr>
                      <w:rFonts w:hint="eastAsia" w:ascii="Times New Roman" w:hAnsi="Times New Roman" w:cs="Times New Roman"/>
                      <w:color w:val="auto"/>
                      <w:sz w:val="21"/>
                      <w:szCs w:val="21"/>
                      <w:highlight w:val="none"/>
                      <w:lang w:val="en-US" w:eastAsia="zh-CN"/>
                    </w:rPr>
                    <w:t>及一般生态空间</w:t>
                  </w:r>
                </w:p>
              </w:tc>
              <w:tc>
                <w:tcPr>
                  <w:tcW w:w="2144" w:type="pct"/>
                  <w:tcBorders>
                    <w:top w:val="single" w:color="auto" w:sz="4" w:space="0"/>
                    <w:left w:val="single" w:color="auto" w:sz="4" w:space="0"/>
                    <w:bottom w:val="single" w:color="auto" w:sz="4" w:space="0"/>
                    <w:right w:val="single" w:color="auto" w:sz="4" w:space="0"/>
                  </w:tcBorders>
                  <w:vAlign w:val="center"/>
                </w:tcPr>
                <w:p w14:paraId="7E255E25">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动态更新后，全省陆域生态保护红线面积34202.57平方公里，占陆域国土面积19.03%；一般生态空间面积29200.30平方公里，占陆域国土面积16.25%。全省海洋生态保护红线面积1.66万平方公里，占全省管辖海域面积的25.66%。</w:t>
                  </w:r>
                </w:p>
              </w:tc>
              <w:tc>
                <w:tcPr>
                  <w:tcW w:w="1652" w:type="pct"/>
                  <w:tcBorders>
                    <w:top w:val="single" w:color="auto" w:sz="4" w:space="0"/>
                    <w:left w:val="single" w:color="auto" w:sz="4" w:space="0"/>
                    <w:bottom w:val="single" w:color="auto" w:sz="4" w:space="0"/>
                    <w:right w:val="single" w:color="auto" w:sz="4" w:space="0"/>
                  </w:tcBorders>
                  <w:vAlign w:val="center"/>
                </w:tcPr>
                <w:p w14:paraId="72DADB13">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lang w:val="en-US"/>
                    </w:rPr>
                    <w:t>项目位于</w:t>
                  </w:r>
                  <w:r>
                    <w:rPr>
                      <w:rFonts w:hint="eastAsia" w:ascii="Times New Roman" w:hAnsi="Times New Roman" w:cs="Times New Roman"/>
                      <w:color w:val="auto"/>
                      <w:sz w:val="21"/>
                      <w:szCs w:val="21"/>
                      <w:highlight w:val="none"/>
                      <w:lang w:val="en-US" w:eastAsia="zh-CN"/>
                    </w:rPr>
                    <w:t>广东省乐昌市乐廊路六公里乐昌市产业转移园鸿图工艺厂房A2</w:t>
                  </w:r>
                  <w:r>
                    <w:rPr>
                      <w:rFonts w:hint="default" w:ascii="Times New Roman" w:hAnsi="Times New Roman" w:cs="Times New Roman"/>
                      <w:color w:val="auto"/>
                      <w:sz w:val="21"/>
                      <w:szCs w:val="21"/>
                      <w:highlight w:val="none"/>
                      <w:lang w:val="en-US"/>
                    </w:rPr>
                    <w:t>，根据广东省生态环境分区管控信息平台（见附图1</w:t>
                  </w:r>
                  <w:r>
                    <w:rPr>
                      <w:rFonts w:hint="eastAsia" w:asci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lang w:val="en-US"/>
                    </w:rPr>
                    <w:t>），项目不在生态红线和一般生态空间范围内，符合生态红线及一般生态空间要求。</w:t>
                  </w:r>
                </w:p>
              </w:tc>
              <w:tc>
                <w:tcPr>
                  <w:tcW w:w="351" w:type="pct"/>
                  <w:tcBorders>
                    <w:top w:val="single" w:color="auto" w:sz="4" w:space="0"/>
                    <w:left w:val="single" w:color="auto" w:sz="4" w:space="0"/>
                    <w:bottom w:val="single" w:color="auto" w:sz="4" w:space="0"/>
                    <w:right w:val="single" w:color="auto" w:sz="4" w:space="0"/>
                  </w:tcBorders>
                  <w:vAlign w:val="center"/>
                </w:tcPr>
                <w:p w14:paraId="050ECA10">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lang w:val="en-US" w:eastAsia="zh-CN"/>
                    </w:rPr>
                    <w:t>符合</w:t>
                  </w:r>
                </w:p>
              </w:tc>
            </w:tr>
            <w:tr w14:paraId="3C496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0" w:type="pct"/>
                  <w:tcBorders>
                    <w:top w:val="single" w:color="auto" w:sz="4" w:space="0"/>
                    <w:left w:val="single" w:color="auto" w:sz="4" w:space="0"/>
                    <w:bottom w:val="single" w:color="auto" w:sz="4" w:space="0"/>
                    <w:right w:val="single" w:color="auto" w:sz="4" w:space="0"/>
                  </w:tcBorders>
                  <w:vAlign w:val="center"/>
                </w:tcPr>
                <w:p w14:paraId="6D3AD612">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lang w:val="en-US" w:eastAsia="zh-CN"/>
                    </w:rPr>
                    <w:t>2</w:t>
                  </w:r>
                </w:p>
              </w:tc>
              <w:tc>
                <w:tcPr>
                  <w:tcW w:w="530" w:type="pct"/>
                  <w:tcBorders>
                    <w:top w:val="single" w:color="auto" w:sz="4" w:space="0"/>
                    <w:left w:val="single" w:color="auto" w:sz="4" w:space="0"/>
                    <w:bottom w:val="single" w:color="auto" w:sz="4" w:space="0"/>
                    <w:right w:val="single" w:color="auto" w:sz="4" w:space="0"/>
                  </w:tcBorders>
                  <w:vAlign w:val="center"/>
                </w:tcPr>
                <w:p w14:paraId="2201397C">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lang w:val="en-US" w:eastAsia="zh-CN"/>
                    </w:rPr>
                    <w:t>环境质量底线</w:t>
                  </w:r>
                </w:p>
              </w:tc>
              <w:tc>
                <w:tcPr>
                  <w:tcW w:w="2144" w:type="pct"/>
                  <w:tcBorders>
                    <w:top w:val="single" w:color="auto" w:sz="4" w:space="0"/>
                    <w:left w:val="single" w:color="auto" w:sz="4" w:space="0"/>
                    <w:bottom w:val="single" w:color="auto" w:sz="4" w:space="0"/>
                    <w:right w:val="single" w:color="auto" w:sz="4" w:space="0"/>
                  </w:tcBorders>
                  <w:vAlign w:val="center"/>
                </w:tcPr>
                <w:p w14:paraId="2CB8E8F0">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rPr>
                  </w:pPr>
                  <w:r>
                    <w:rPr>
                      <w:rFonts w:hint="default" w:ascii="Times New Roman" w:hAnsi="Times New Roman" w:eastAsia="宋体" w:cs="Times New Roman"/>
                      <w:b w:val="0"/>
                      <w:bCs w:val="0"/>
                      <w:snapToGrid/>
                      <w:color w:val="auto"/>
                      <w:kern w:val="2"/>
                      <w:szCs w:val="21"/>
                      <w:highlight w:val="none"/>
                      <w:lang w:val="en-US" w:eastAsia="zh-CN"/>
                    </w:rPr>
                    <w:t>全省</w:t>
                  </w:r>
                  <w:r>
                    <w:rPr>
                      <w:rFonts w:hint="default" w:ascii="Times New Roman" w:hAnsi="Times New Roman" w:cs="Times New Roman"/>
                      <w:color w:val="auto"/>
                      <w:sz w:val="21"/>
                      <w:szCs w:val="21"/>
                      <w:highlight w:val="none"/>
                      <w:lang w:val="en-US" w:eastAsia="zh-CN"/>
                    </w:rPr>
                    <w:t>水环境质量持续改善，国考、省考断面优良水质比例稳步提升，全面消除劣Ⅳ类水体。大气环境质量继续领跑先行，PM</w:t>
                  </w:r>
                  <w:r>
                    <w:rPr>
                      <w:rFonts w:hint="default" w:ascii="Times New Roman" w:hAnsi="Times New Roman" w:cs="Times New Roman"/>
                      <w:color w:val="auto"/>
                      <w:sz w:val="21"/>
                      <w:szCs w:val="21"/>
                      <w:highlight w:val="none"/>
                      <w:vertAlign w:val="subscript"/>
                      <w:lang w:val="en-US" w:eastAsia="zh-CN"/>
                    </w:rPr>
                    <w:t>2.5</w:t>
                  </w:r>
                  <w:r>
                    <w:rPr>
                      <w:rFonts w:hint="default" w:ascii="Times New Roman" w:hAnsi="Times New Roman" w:cs="Times New Roman"/>
                      <w:color w:val="auto"/>
                      <w:sz w:val="21"/>
                      <w:szCs w:val="21"/>
                      <w:highlight w:val="none"/>
                      <w:lang w:val="en-US" w:eastAsia="zh-CN"/>
                    </w:rPr>
                    <w:t>年均浓度率先达到世界卫生组织过渡期二阶段目标值（25微克/立方米），臭氧污染得到有效遏制。土壤环境质量稳中向好，土壤环境风险得到管控。近岸海域水体质量稳步提升。</w:t>
                  </w:r>
                </w:p>
              </w:tc>
              <w:tc>
                <w:tcPr>
                  <w:tcW w:w="1652" w:type="pct"/>
                  <w:tcBorders>
                    <w:top w:val="single" w:color="auto" w:sz="4" w:space="0"/>
                    <w:left w:val="single" w:color="auto" w:sz="4" w:space="0"/>
                    <w:bottom w:val="single" w:color="auto" w:sz="4" w:space="0"/>
                    <w:right w:val="single" w:color="auto" w:sz="4" w:space="0"/>
                  </w:tcBorders>
                  <w:vAlign w:val="center"/>
                </w:tcPr>
                <w:p w14:paraId="4FA8C567">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lang w:val="en-US"/>
                    </w:rPr>
                    <w:t>根据《202</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lang w:val="en-US"/>
                    </w:rPr>
                    <w:t>年韶关市生态环境状况公报》，可知项目所在地大气环境质量属于达标区，地表水环境质量现状良好。</w:t>
                  </w:r>
                  <w:r>
                    <w:rPr>
                      <w:rFonts w:hint="eastAsia" w:ascii="Times New Roman" w:cs="Times New Roman"/>
                      <w:color w:val="auto"/>
                      <w:sz w:val="21"/>
                      <w:szCs w:val="21"/>
                      <w:highlight w:val="none"/>
                      <w:lang w:val="en-US" w:eastAsia="zh-CN"/>
                    </w:rPr>
                    <w:t>项目</w:t>
                  </w:r>
                  <w:r>
                    <w:rPr>
                      <w:rFonts w:hint="eastAsia" w:cs="Times New Roman"/>
                      <w:color w:val="auto"/>
                      <w:sz w:val="21"/>
                      <w:szCs w:val="21"/>
                      <w:highlight w:val="none"/>
                      <w:lang w:val="en-US" w:eastAsia="zh-CN"/>
                    </w:rPr>
                    <w:t>不产生生产废水，员工如厕依托</w:t>
                  </w:r>
                  <w:r>
                    <w:rPr>
                      <w:rFonts w:hint="default" w:ascii="Times New Roman" w:hAnsi="Times New Roman" w:cs="Times New Roman"/>
                      <w:color w:val="auto"/>
                      <w:sz w:val="21"/>
                      <w:szCs w:val="21"/>
                      <w:highlight w:val="none"/>
                      <w:lang w:val="en-US"/>
                    </w:rPr>
                    <w:t>生活污水乐昌市华轩针织制衣有限公司</w:t>
                  </w:r>
                  <w:r>
                    <w:rPr>
                      <w:rFonts w:hint="eastAsia" w:cs="Times New Roman"/>
                      <w:color w:val="auto"/>
                      <w:sz w:val="21"/>
                      <w:szCs w:val="21"/>
                      <w:highlight w:val="none"/>
                      <w:lang w:val="en-US" w:eastAsia="zh-CN"/>
                    </w:rPr>
                    <w:t>，依托乐昌市华轩针织制衣有限公司化粪池进行</w:t>
                  </w:r>
                  <w:r>
                    <w:rPr>
                      <w:rFonts w:hint="default" w:ascii="Times New Roman" w:hAnsi="Times New Roman" w:cs="Times New Roman"/>
                      <w:color w:val="auto"/>
                      <w:sz w:val="21"/>
                      <w:szCs w:val="21"/>
                      <w:highlight w:val="none"/>
                      <w:lang w:val="en-US"/>
                    </w:rPr>
                    <w:t>预处理后引入园区污水处理厂处理，不直接排入水体</w:t>
                  </w:r>
                  <w:r>
                    <w:rPr>
                      <w:rFonts w:hint="eastAsia" w:ascii="Times New Roman" w:cs="Times New Roman"/>
                      <w:color w:val="auto"/>
                      <w:sz w:val="21"/>
                      <w:szCs w:val="21"/>
                      <w:highlight w:val="none"/>
                      <w:lang w:val="en-US" w:eastAsia="zh-CN"/>
                    </w:rPr>
                    <w:t>。项目</w:t>
                  </w:r>
                  <w:r>
                    <w:rPr>
                      <w:rFonts w:hint="eastAsia" w:cs="Times New Roman"/>
                      <w:color w:val="auto"/>
                      <w:sz w:val="21"/>
                      <w:szCs w:val="21"/>
                      <w:highlight w:val="none"/>
                      <w:lang w:val="en-US" w:eastAsia="zh-CN"/>
                    </w:rPr>
                    <w:t>无组织</w:t>
                  </w:r>
                  <w:r>
                    <w:rPr>
                      <w:rFonts w:hint="eastAsia" w:ascii="Times New Roman" w:cs="Times New Roman"/>
                      <w:color w:val="auto"/>
                      <w:sz w:val="21"/>
                      <w:szCs w:val="21"/>
                      <w:highlight w:val="none"/>
                      <w:lang w:val="en-US" w:eastAsia="zh-CN"/>
                    </w:rPr>
                    <w:t>废气均达标排放，排放量较小，</w:t>
                  </w:r>
                  <w:r>
                    <w:rPr>
                      <w:rFonts w:hint="default" w:ascii="Times New Roman" w:hAnsi="Times New Roman" w:cs="Times New Roman"/>
                      <w:color w:val="auto"/>
                      <w:sz w:val="21"/>
                      <w:szCs w:val="21"/>
                      <w:highlight w:val="none"/>
                      <w:lang w:val="en-US"/>
                    </w:rPr>
                    <w:t>不会突破当地环境质量底线，符合环境质量底线要求。</w:t>
                  </w:r>
                </w:p>
              </w:tc>
              <w:tc>
                <w:tcPr>
                  <w:tcW w:w="351" w:type="pct"/>
                  <w:tcBorders>
                    <w:top w:val="single" w:color="auto" w:sz="4" w:space="0"/>
                    <w:left w:val="single" w:color="auto" w:sz="4" w:space="0"/>
                    <w:bottom w:val="single" w:color="auto" w:sz="4" w:space="0"/>
                    <w:right w:val="single" w:color="auto" w:sz="4" w:space="0"/>
                  </w:tcBorders>
                  <w:vAlign w:val="center"/>
                </w:tcPr>
                <w:p w14:paraId="73274F33">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lang w:val="en-US" w:eastAsia="zh-CN"/>
                    </w:rPr>
                    <w:t>符合</w:t>
                  </w:r>
                </w:p>
              </w:tc>
            </w:tr>
            <w:tr w14:paraId="7740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0" w:type="pct"/>
                  <w:tcBorders>
                    <w:top w:val="single" w:color="auto" w:sz="4" w:space="0"/>
                    <w:left w:val="single" w:color="auto" w:sz="4" w:space="0"/>
                    <w:bottom w:val="single" w:color="auto" w:sz="4" w:space="0"/>
                    <w:right w:val="single" w:color="auto" w:sz="4" w:space="0"/>
                  </w:tcBorders>
                  <w:vAlign w:val="center"/>
                </w:tcPr>
                <w:p w14:paraId="5B8472DD">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lang w:val="en-US" w:eastAsia="zh-CN"/>
                    </w:rPr>
                    <w:t>3</w:t>
                  </w:r>
                </w:p>
              </w:tc>
              <w:tc>
                <w:tcPr>
                  <w:tcW w:w="530" w:type="pct"/>
                  <w:tcBorders>
                    <w:top w:val="single" w:color="auto" w:sz="4" w:space="0"/>
                    <w:left w:val="single" w:color="auto" w:sz="4" w:space="0"/>
                    <w:bottom w:val="single" w:color="auto" w:sz="4" w:space="0"/>
                    <w:right w:val="single" w:color="auto" w:sz="4" w:space="0"/>
                  </w:tcBorders>
                  <w:vAlign w:val="center"/>
                </w:tcPr>
                <w:p w14:paraId="41ADB5C7">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lang w:val="en-US" w:eastAsia="zh-CN"/>
                    </w:rPr>
                    <w:t>资源利用上线</w:t>
                  </w:r>
                </w:p>
              </w:tc>
              <w:tc>
                <w:tcPr>
                  <w:tcW w:w="2144" w:type="pct"/>
                  <w:tcBorders>
                    <w:top w:val="single" w:color="auto" w:sz="4" w:space="0"/>
                    <w:left w:val="single" w:color="auto" w:sz="4" w:space="0"/>
                    <w:bottom w:val="single" w:color="auto" w:sz="4" w:space="0"/>
                    <w:right w:val="single" w:color="auto" w:sz="4" w:space="0"/>
                  </w:tcBorders>
                  <w:vAlign w:val="center"/>
                </w:tcPr>
                <w:p w14:paraId="3A88C7C8">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lang w:val="en-US" w:eastAsia="zh-CN"/>
                    </w:rPr>
                    <w:t>强化节约集约利用，持续提升资源能源利用效率</w:t>
                  </w:r>
                  <w:r>
                    <w:rPr>
                      <w:rFonts w:hint="eastAsia" w:asci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水资源、土地资源、岸线资源、能源消耗等达到或优于国家下达的总量和强度控制目标。</w:t>
                  </w:r>
                </w:p>
              </w:tc>
              <w:tc>
                <w:tcPr>
                  <w:tcW w:w="1652" w:type="pct"/>
                  <w:tcBorders>
                    <w:top w:val="single" w:color="auto" w:sz="4" w:space="0"/>
                    <w:left w:val="single" w:color="auto" w:sz="4" w:space="0"/>
                    <w:bottom w:val="single" w:color="auto" w:sz="4" w:space="0"/>
                    <w:right w:val="single" w:color="auto" w:sz="4" w:space="0"/>
                  </w:tcBorders>
                  <w:vAlign w:val="center"/>
                </w:tcPr>
                <w:p w14:paraId="66F874DD">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rPr>
                  </w:pPr>
                  <w:r>
                    <w:rPr>
                      <w:rFonts w:hint="default"/>
                      <w:color w:val="auto"/>
                      <w:sz w:val="21"/>
                      <w:szCs w:val="21"/>
                      <w:highlight w:val="none"/>
                    </w:rPr>
                    <w:t>项目运营过程消耗</w:t>
                  </w:r>
                  <w:r>
                    <w:rPr>
                      <w:rFonts w:hint="eastAsia"/>
                      <w:color w:val="auto"/>
                      <w:sz w:val="21"/>
                      <w:szCs w:val="21"/>
                      <w:highlight w:val="none"/>
                      <w:lang w:val="en-US" w:eastAsia="zh-CN"/>
                    </w:rPr>
                    <w:t>一定</w:t>
                  </w:r>
                  <w:r>
                    <w:rPr>
                      <w:rFonts w:hint="default"/>
                      <w:color w:val="auto"/>
                      <w:sz w:val="21"/>
                      <w:szCs w:val="21"/>
                      <w:highlight w:val="none"/>
                    </w:rPr>
                    <w:t>的电资源</w:t>
                  </w:r>
                  <w:r>
                    <w:rPr>
                      <w:rFonts w:hint="eastAsia"/>
                      <w:color w:val="auto"/>
                      <w:sz w:val="21"/>
                      <w:szCs w:val="21"/>
                      <w:highlight w:val="none"/>
                      <w:lang w:eastAsia="zh-CN"/>
                    </w:rPr>
                    <w:t>，</w:t>
                  </w:r>
                  <w:r>
                    <w:rPr>
                      <w:rFonts w:hint="eastAsia"/>
                      <w:color w:val="auto"/>
                      <w:sz w:val="21"/>
                      <w:szCs w:val="21"/>
                      <w:highlight w:val="none"/>
                      <w:lang w:val="en-US" w:eastAsia="zh-CN"/>
                    </w:rPr>
                    <w:t>无生产用水，最大限度节约用水、用电</w:t>
                  </w:r>
                  <w:r>
                    <w:rPr>
                      <w:rFonts w:hint="eastAsia"/>
                      <w:color w:val="auto"/>
                      <w:sz w:val="21"/>
                      <w:szCs w:val="21"/>
                      <w:highlight w:val="none"/>
                      <w:lang w:eastAsia="zh-CN"/>
                    </w:rPr>
                    <w:t>，</w:t>
                  </w:r>
                  <w:r>
                    <w:rPr>
                      <w:rFonts w:hint="default"/>
                      <w:color w:val="auto"/>
                      <w:sz w:val="21"/>
                      <w:szCs w:val="21"/>
                      <w:highlight w:val="none"/>
                    </w:rPr>
                    <w:t>且所在区域水、电等资源充足</w:t>
                  </w:r>
                  <w:r>
                    <w:rPr>
                      <w:rFonts w:hint="eastAsia"/>
                      <w:color w:val="auto"/>
                      <w:sz w:val="21"/>
                      <w:szCs w:val="21"/>
                      <w:highlight w:val="none"/>
                      <w:lang w:eastAsia="zh-CN"/>
                    </w:rPr>
                    <w:t>，</w:t>
                  </w:r>
                  <w:r>
                    <w:rPr>
                      <w:rFonts w:hint="default"/>
                      <w:color w:val="auto"/>
                      <w:sz w:val="21"/>
                      <w:szCs w:val="21"/>
                      <w:highlight w:val="none"/>
                    </w:rPr>
                    <w:t>不会超出资源利用上线。</w:t>
                  </w:r>
                </w:p>
              </w:tc>
              <w:tc>
                <w:tcPr>
                  <w:tcW w:w="351" w:type="pct"/>
                  <w:tcBorders>
                    <w:top w:val="single" w:color="auto" w:sz="4" w:space="0"/>
                    <w:left w:val="single" w:color="auto" w:sz="4" w:space="0"/>
                    <w:bottom w:val="single" w:color="auto" w:sz="4" w:space="0"/>
                    <w:right w:val="single" w:color="auto" w:sz="4" w:space="0"/>
                  </w:tcBorders>
                  <w:vAlign w:val="center"/>
                </w:tcPr>
                <w:p w14:paraId="7F85E0A5">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lang w:val="en-US" w:eastAsia="zh-CN"/>
                    </w:rPr>
                    <w:t>符合</w:t>
                  </w:r>
                </w:p>
              </w:tc>
            </w:tr>
            <w:tr w14:paraId="7EED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0" w:type="pct"/>
                  <w:tcBorders>
                    <w:top w:val="single" w:color="auto" w:sz="4" w:space="0"/>
                    <w:left w:val="single" w:color="auto" w:sz="4" w:space="0"/>
                    <w:bottom w:val="single" w:color="auto" w:sz="4" w:space="0"/>
                    <w:right w:val="single" w:color="auto" w:sz="4" w:space="0"/>
                  </w:tcBorders>
                  <w:vAlign w:val="center"/>
                </w:tcPr>
                <w:p w14:paraId="09613223">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lang w:val="en-US" w:eastAsia="zh-CN"/>
                    </w:rPr>
                    <w:t>4</w:t>
                  </w:r>
                </w:p>
              </w:tc>
              <w:tc>
                <w:tcPr>
                  <w:tcW w:w="530" w:type="pct"/>
                  <w:tcBorders>
                    <w:top w:val="single" w:color="auto" w:sz="4" w:space="0"/>
                    <w:left w:val="single" w:color="auto" w:sz="4" w:space="0"/>
                    <w:bottom w:val="single" w:color="auto" w:sz="4" w:space="0"/>
                    <w:right w:val="single" w:color="auto" w:sz="4" w:space="0"/>
                  </w:tcBorders>
                  <w:vAlign w:val="center"/>
                </w:tcPr>
                <w:p w14:paraId="684AF81E">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lang w:val="en-US" w:eastAsia="zh-CN"/>
                    </w:rPr>
                    <w:t>生态环境准入清单</w:t>
                  </w:r>
                </w:p>
              </w:tc>
              <w:tc>
                <w:tcPr>
                  <w:tcW w:w="2144" w:type="pct"/>
                  <w:tcBorders>
                    <w:top w:val="single" w:color="auto" w:sz="4" w:space="0"/>
                    <w:left w:val="single" w:color="auto" w:sz="4" w:space="0"/>
                    <w:bottom w:val="single" w:color="auto" w:sz="4" w:space="0"/>
                    <w:right w:val="single" w:color="auto" w:sz="4" w:space="0"/>
                  </w:tcBorders>
                  <w:vAlign w:val="center"/>
                </w:tcPr>
                <w:p w14:paraId="56E11A36">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环境准入负面清单是基于生态保护红线、环境质量底线和资源利用上线</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以清单方式列出的禁止、限制等差别化环境准入条件和要求。</w:t>
                  </w:r>
                </w:p>
              </w:tc>
              <w:tc>
                <w:tcPr>
                  <w:tcW w:w="1652" w:type="pct"/>
                  <w:tcBorders>
                    <w:top w:val="single" w:color="auto" w:sz="4" w:space="0"/>
                    <w:left w:val="single" w:color="auto" w:sz="4" w:space="0"/>
                    <w:bottom w:val="single" w:color="auto" w:sz="4" w:space="0"/>
                    <w:right w:val="single" w:color="auto" w:sz="4" w:space="0"/>
                  </w:tcBorders>
                  <w:vAlign w:val="center"/>
                </w:tcPr>
                <w:p w14:paraId="6EDA53AE">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项目不属于《市场准入负面清单（202</w:t>
                  </w: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lang w:val="en-US" w:eastAsia="zh-CN"/>
                    </w:rPr>
                    <w:t>年版）》（发改体改规</w:t>
                  </w:r>
                  <w:r>
                    <w:rPr>
                      <w:rFonts w:hint="eastAsia" w:ascii="Times New Roman" w:hAnsi="Times New Roman" w:cs="Times New Roman"/>
                      <w:color w:val="auto"/>
                      <w:sz w:val="21"/>
                      <w:szCs w:val="21"/>
                      <w:highlight w:val="none"/>
                      <w:lang w:val="en-US" w:eastAsia="zh-CN"/>
                    </w:rPr>
                    <w:t>〔2025〕466号</w:t>
                  </w:r>
                  <w:r>
                    <w:rPr>
                      <w:rFonts w:hint="default" w:ascii="Times New Roman" w:hAnsi="Times New Roman" w:cs="Times New Roman"/>
                      <w:color w:val="auto"/>
                      <w:sz w:val="21"/>
                      <w:szCs w:val="21"/>
                      <w:highlight w:val="none"/>
                      <w:lang w:val="en-US" w:eastAsia="zh-CN"/>
                    </w:rPr>
                    <w:t>）中的禁止准入事项</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符合准入清单的要求。</w:t>
                  </w:r>
                </w:p>
              </w:tc>
              <w:tc>
                <w:tcPr>
                  <w:tcW w:w="351" w:type="pct"/>
                  <w:tcBorders>
                    <w:top w:val="single" w:color="auto" w:sz="4" w:space="0"/>
                    <w:left w:val="single" w:color="auto" w:sz="4" w:space="0"/>
                    <w:bottom w:val="single" w:color="auto" w:sz="4" w:space="0"/>
                    <w:right w:val="single" w:color="auto" w:sz="4" w:space="0"/>
                  </w:tcBorders>
                  <w:vAlign w:val="center"/>
                </w:tcPr>
                <w:p w14:paraId="7E9950F0">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lang w:val="en-US" w:eastAsia="zh-CN"/>
                    </w:rPr>
                    <w:t>符合</w:t>
                  </w:r>
                </w:p>
              </w:tc>
            </w:tr>
            <w:tr w14:paraId="62D12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0" w:type="pct"/>
                  <w:vMerge w:val="restart"/>
                  <w:tcBorders>
                    <w:top w:val="single" w:color="auto" w:sz="4" w:space="0"/>
                    <w:left w:val="single" w:color="auto" w:sz="4" w:space="0"/>
                    <w:right w:val="single" w:color="auto" w:sz="4" w:space="0"/>
                  </w:tcBorders>
                  <w:vAlign w:val="center"/>
                </w:tcPr>
                <w:p w14:paraId="0D623DFA">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5</w:t>
                  </w:r>
                </w:p>
              </w:tc>
              <w:tc>
                <w:tcPr>
                  <w:tcW w:w="530" w:type="pct"/>
                  <w:vMerge w:val="restart"/>
                  <w:tcBorders>
                    <w:top w:val="single" w:color="auto" w:sz="4" w:space="0"/>
                    <w:left w:val="single" w:color="auto" w:sz="4" w:space="0"/>
                    <w:right w:val="single" w:color="auto" w:sz="4" w:space="0"/>
                  </w:tcBorders>
                  <w:vAlign w:val="center"/>
                </w:tcPr>
                <w:p w14:paraId="7FFDA7E0">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eastAsia"/>
                      <w:color w:val="auto"/>
                      <w:sz w:val="21"/>
                      <w:szCs w:val="21"/>
                      <w:highlight w:val="none"/>
                      <w:lang w:eastAsia="zh-CN"/>
                    </w:rPr>
                    <w:t>“</w:t>
                  </w:r>
                  <w:r>
                    <w:rPr>
                      <w:rFonts w:hint="default"/>
                      <w:color w:val="auto"/>
                      <w:sz w:val="21"/>
                      <w:szCs w:val="21"/>
                      <w:highlight w:val="none"/>
                    </w:rPr>
                    <w:t>一核一带一区</w:t>
                  </w:r>
                  <w:r>
                    <w:rPr>
                      <w:rFonts w:hint="eastAsia"/>
                      <w:color w:val="auto"/>
                      <w:sz w:val="21"/>
                      <w:szCs w:val="21"/>
                      <w:highlight w:val="none"/>
                      <w:lang w:eastAsia="zh-CN"/>
                    </w:rPr>
                    <w:t>”</w:t>
                  </w:r>
                  <w:r>
                    <w:rPr>
                      <w:rFonts w:hint="default"/>
                      <w:color w:val="auto"/>
                      <w:sz w:val="21"/>
                      <w:szCs w:val="21"/>
                      <w:highlight w:val="none"/>
                    </w:rPr>
                    <w:t>区域管控要求</w:t>
                  </w:r>
                </w:p>
              </w:tc>
              <w:tc>
                <w:tcPr>
                  <w:tcW w:w="2144" w:type="pct"/>
                  <w:tcBorders>
                    <w:top w:val="single" w:color="auto" w:sz="4" w:space="0"/>
                    <w:left w:val="single" w:color="auto" w:sz="4" w:space="0"/>
                    <w:bottom w:val="single" w:color="auto" w:sz="4" w:space="0"/>
                    <w:right w:val="single" w:color="auto" w:sz="4" w:space="0"/>
                  </w:tcBorders>
                  <w:vAlign w:val="center"/>
                </w:tcPr>
                <w:p w14:paraId="41BCC175">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1.珠三角核心区。对标国际一流湾区</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强化创新驱动和绿色引领</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实施更严格的生态环境保护要求。</w:t>
                  </w:r>
                </w:p>
                <w:p w14:paraId="2A9E2A8B">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区域布局管控要求。筑牢珠三角绿色生态屏障</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加强区域生态绿核、珠江流域水生态系统、入海河口等生态保护</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大力保护生物多样性。积极推动深圳前海、广州南沙、珠海横琴等区域重大战略平台发展；引导电子信息、汽车制造、先进材料等战略性支柱产业绿色转型升级发展</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已有石化工业区控制规模</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实现绿色化、智能化、集约化发展；加快发展半导体与集成电路、高端装备制造、前沿新材料、区块链与量子信息等战略性新兴产业。禁止新建、扩建燃煤燃油火电机组和企业自备电站</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推进现有服役期满及落后老旧的燃煤火电机组有序退出；原则上不再新建燃煤锅炉</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逐步淘汰生物质锅炉、集中供热管网覆盖区域内的分散供热锅炉</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逐步推动高污染燃料禁燃区全覆盖；禁止新建、扩建水泥、平板玻璃、化学制浆、生皮制革以及国家规划外的钢铁、原油加工等项目。推广应用低挥发性有机物原辅材料</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严格限制新建生产和使用高挥发性有机物原辅材料的项目</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鼓励建设挥发性有机物共性工厂。除金、银等贵金属</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地热、矿泉水</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以及建筑用石矿可适度开发外</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限制其他矿种开采。</w:t>
                  </w:r>
                </w:p>
              </w:tc>
              <w:tc>
                <w:tcPr>
                  <w:tcW w:w="1652" w:type="pct"/>
                  <w:tcBorders>
                    <w:top w:val="single" w:color="auto" w:sz="4" w:space="0"/>
                    <w:left w:val="single" w:color="auto" w:sz="4" w:space="0"/>
                    <w:bottom w:val="single" w:color="auto" w:sz="4" w:space="0"/>
                    <w:right w:val="single" w:color="auto" w:sz="4" w:space="0"/>
                  </w:tcBorders>
                  <w:vAlign w:val="center"/>
                </w:tcPr>
                <w:p w14:paraId="4F1E7255">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项目</w:t>
                  </w:r>
                  <w:r>
                    <w:rPr>
                      <w:rFonts w:hint="eastAsia" w:ascii="Times New Roman" w:hAnsi="Times New Roman" w:cs="Times New Roman"/>
                      <w:color w:val="auto"/>
                      <w:sz w:val="21"/>
                      <w:szCs w:val="21"/>
                      <w:highlight w:val="none"/>
                      <w:lang w:val="en-US" w:eastAsia="zh-CN"/>
                    </w:rPr>
                    <w:t>主要</w:t>
                  </w:r>
                  <w:r>
                    <w:rPr>
                      <w:rFonts w:hint="default" w:ascii="Times New Roman" w:hAnsi="Times New Roman" w:cs="Times New Roman"/>
                      <w:color w:val="auto"/>
                      <w:sz w:val="21"/>
                      <w:szCs w:val="21"/>
                      <w:highlight w:val="none"/>
                      <w:vertAlign w:val="baseline"/>
                    </w:rPr>
                    <w:t>一般工业固体废物分拣、压实</w:t>
                  </w:r>
                  <w:r>
                    <w:rPr>
                      <w:rFonts w:hint="eastAsia" w:cs="Times New Roman"/>
                      <w:color w:val="auto"/>
                      <w:sz w:val="21"/>
                      <w:szCs w:val="21"/>
                      <w:highlight w:val="none"/>
                      <w:vertAlign w:val="baseline"/>
                      <w:lang w:eastAsia="zh-CN"/>
                    </w:rPr>
                    <w:t>。</w:t>
                  </w:r>
                  <w:r>
                    <w:rPr>
                      <w:rFonts w:hint="default" w:ascii="Times New Roman" w:hAnsi="Times New Roman" w:cs="Times New Roman"/>
                      <w:color w:val="auto"/>
                      <w:sz w:val="21"/>
                      <w:szCs w:val="21"/>
                      <w:highlight w:val="none"/>
                      <w:lang w:val="en-US" w:eastAsia="zh-CN"/>
                    </w:rPr>
                    <w:t>不设锅炉</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不属于水泥、平板玻璃、化学制浆、生皮制革以及国家规划外的钢铁、原油加工等项目</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项目不使用高VOCs</w:t>
                  </w:r>
                  <w:r>
                    <w:rPr>
                      <w:rFonts w:hint="eastAsia" w:cs="Times New Roman"/>
                      <w:color w:val="auto"/>
                      <w:sz w:val="21"/>
                      <w:szCs w:val="21"/>
                      <w:highlight w:val="none"/>
                      <w:lang w:val="en-US" w:eastAsia="zh-CN"/>
                    </w:rPr>
                    <w:t>含量</w:t>
                  </w:r>
                  <w:r>
                    <w:rPr>
                      <w:rFonts w:hint="default" w:ascii="Times New Roman" w:hAnsi="Times New Roman" w:cs="Times New Roman"/>
                      <w:color w:val="auto"/>
                      <w:sz w:val="21"/>
                      <w:szCs w:val="21"/>
                      <w:highlight w:val="none"/>
                      <w:lang w:val="en-US" w:eastAsia="zh-CN"/>
                    </w:rPr>
                    <w:t>原辅料</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与区域</w:t>
                  </w:r>
                  <w:r>
                    <w:rPr>
                      <w:rFonts w:hint="eastAsia" w:ascii="Times New Roman" w:cs="Times New Roman"/>
                      <w:color w:val="auto"/>
                      <w:sz w:val="21"/>
                      <w:szCs w:val="21"/>
                      <w:highlight w:val="none"/>
                      <w:lang w:val="en-US" w:eastAsia="zh-CN"/>
                    </w:rPr>
                    <w:t>布局</w:t>
                  </w:r>
                  <w:r>
                    <w:rPr>
                      <w:rFonts w:hint="default" w:ascii="Times New Roman" w:hAnsi="Times New Roman" w:cs="Times New Roman"/>
                      <w:color w:val="auto"/>
                      <w:sz w:val="21"/>
                      <w:szCs w:val="21"/>
                      <w:highlight w:val="none"/>
                      <w:lang w:val="en-US" w:eastAsia="zh-CN"/>
                    </w:rPr>
                    <w:t>管控要</w:t>
                  </w:r>
                  <w:r>
                    <w:rPr>
                      <w:rFonts w:hint="eastAsia" w:ascii="Times New Roman" w:hAnsi="Times New Roman" w:cs="Times New Roman"/>
                      <w:color w:val="auto"/>
                      <w:sz w:val="21"/>
                      <w:szCs w:val="21"/>
                      <w:highlight w:val="none"/>
                      <w:lang w:val="en-US" w:eastAsia="zh-CN"/>
                    </w:rPr>
                    <w:t>求</w:t>
                  </w:r>
                  <w:r>
                    <w:rPr>
                      <w:rFonts w:hint="default" w:ascii="Times New Roman" w:hAnsi="Times New Roman" w:cs="Times New Roman"/>
                      <w:color w:val="auto"/>
                      <w:sz w:val="21"/>
                      <w:szCs w:val="21"/>
                      <w:highlight w:val="none"/>
                      <w:lang w:val="en-US" w:eastAsia="zh-CN"/>
                    </w:rPr>
                    <w:t>相符。</w:t>
                  </w:r>
                </w:p>
              </w:tc>
              <w:tc>
                <w:tcPr>
                  <w:tcW w:w="351" w:type="pct"/>
                  <w:tcBorders>
                    <w:top w:val="single" w:color="auto" w:sz="4" w:space="0"/>
                    <w:left w:val="single" w:color="auto" w:sz="4" w:space="0"/>
                    <w:bottom w:val="single" w:color="auto" w:sz="4" w:space="0"/>
                    <w:right w:val="single" w:color="auto" w:sz="4" w:space="0"/>
                  </w:tcBorders>
                  <w:vAlign w:val="center"/>
                </w:tcPr>
                <w:p w14:paraId="099F7C7D">
                  <w:pPr>
                    <w:widowControl w:val="0"/>
                    <w:kinsoku/>
                    <w:autoSpaceDE/>
                    <w:autoSpaceDN/>
                    <w:adjustRightInd/>
                    <w:snapToGrid/>
                    <w:spacing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符合</w:t>
                  </w:r>
                </w:p>
              </w:tc>
            </w:tr>
            <w:tr w14:paraId="5F1A6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0" w:type="pct"/>
                  <w:vMerge w:val="continue"/>
                  <w:tcBorders>
                    <w:left w:val="single" w:color="auto" w:sz="4" w:space="0"/>
                    <w:right w:val="single" w:color="auto" w:sz="4" w:space="0"/>
                  </w:tcBorders>
                  <w:vAlign w:val="center"/>
                </w:tcPr>
                <w:p w14:paraId="4FB66393">
                  <w:pPr>
                    <w:pStyle w:val="6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lang w:val="en-US" w:eastAsia="zh-CN"/>
                    </w:rPr>
                  </w:pPr>
                </w:p>
              </w:tc>
              <w:tc>
                <w:tcPr>
                  <w:tcW w:w="530" w:type="pct"/>
                  <w:vMerge w:val="continue"/>
                  <w:tcBorders>
                    <w:left w:val="single" w:color="auto" w:sz="4" w:space="0"/>
                    <w:right w:val="single" w:color="auto" w:sz="4" w:space="0"/>
                  </w:tcBorders>
                  <w:vAlign w:val="center"/>
                </w:tcPr>
                <w:p w14:paraId="0FC171A6">
                  <w:pPr>
                    <w:pStyle w:val="6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lang w:val="en-US" w:eastAsia="zh-CN"/>
                    </w:rPr>
                  </w:pPr>
                </w:p>
              </w:tc>
              <w:tc>
                <w:tcPr>
                  <w:tcW w:w="2144" w:type="pct"/>
                  <w:tcBorders>
                    <w:top w:val="single" w:color="auto" w:sz="4" w:space="0"/>
                    <w:left w:val="single" w:color="auto" w:sz="4" w:space="0"/>
                    <w:bottom w:val="single" w:color="auto" w:sz="4" w:space="0"/>
                    <w:right w:val="single" w:color="auto" w:sz="4" w:space="0"/>
                  </w:tcBorders>
                  <w:vAlign w:val="center"/>
                </w:tcPr>
                <w:p w14:paraId="2ECEBAB1">
                  <w:pPr>
                    <w:pStyle w:val="6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能源资源利用要求。科学实施能源消费总量和强度</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双控</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新建高能耗项目单位产品（产值）能耗达到国际国内先进水平</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实现煤炭消费总量负增长。率先探索建立二氧化碳总量管理制度</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加快实现碳排放达峰。依法依规科学合理优化调整储油库、加油站布局</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加快充电桩、加气站、加氢站以及综合性能源补给站建设</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积极推动机动车和非道路移动机械电动化（或实现清洁燃料替代）。大力推进绿色港口和公用码头建设</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提升岸电使用率；有序推动船舶、港作机械等</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油改气</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油改电</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降低港口柴油使用比例。鼓励天然气企业对城市燃气公司和大工业用户直供</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降低供气成本。推进工业节水减排</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重点在高耗水行业开展节水改造</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提高工业用水效率。加强江河湖库水量调度</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保障生态流量。盘活存量建设用地</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控制新增建设用地规模。</w:t>
                  </w:r>
                </w:p>
              </w:tc>
              <w:tc>
                <w:tcPr>
                  <w:tcW w:w="1652" w:type="pct"/>
                  <w:tcBorders>
                    <w:top w:val="single" w:color="auto" w:sz="4" w:space="0"/>
                    <w:left w:val="single" w:color="auto" w:sz="4" w:space="0"/>
                    <w:bottom w:val="single" w:color="auto" w:sz="4" w:space="0"/>
                    <w:right w:val="single" w:color="auto" w:sz="4" w:space="0"/>
                  </w:tcBorders>
                  <w:vAlign w:val="center"/>
                </w:tcPr>
                <w:p w14:paraId="2038CC43">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color w:val="auto"/>
                      <w:sz w:val="21"/>
                      <w:szCs w:val="21"/>
                      <w:highlight w:val="none"/>
                    </w:rPr>
                    <w:t>项目不属于高耗能、高耗水行业</w:t>
                  </w:r>
                  <w:r>
                    <w:rPr>
                      <w:rFonts w:hint="eastAsia"/>
                      <w:color w:val="auto"/>
                      <w:sz w:val="21"/>
                      <w:szCs w:val="21"/>
                      <w:highlight w:val="none"/>
                      <w:lang w:eastAsia="zh-CN"/>
                    </w:rPr>
                    <w:t>，</w:t>
                  </w:r>
                  <w:r>
                    <w:rPr>
                      <w:rFonts w:hint="default"/>
                      <w:color w:val="auto"/>
                      <w:sz w:val="21"/>
                      <w:szCs w:val="21"/>
                      <w:highlight w:val="none"/>
                    </w:rPr>
                    <w:t>与能源资源利用要求相符。</w:t>
                  </w:r>
                </w:p>
              </w:tc>
              <w:tc>
                <w:tcPr>
                  <w:tcW w:w="351" w:type="pct"/>
                  <w:tcBorders>
                    <w:top w:val="single" w:color="auto" w:sz="4" w:space="0"/>
                    <w:left w:val="single" w:color="auto" w:sz="4" w:space="0"/>
                    <w:bottom w:val="single" w:color="auto" w:sz="4" w:space="0"/>
                    <w:right w:val="single" w:color="auto" w:sz="4" w:space="0"/>
                  </w:tcBorders>
                  <w:vAlign w:val="center"/>
                </w:tcPr>
                <w:p w14:paraId="2E742695">
                  <w:pPr>
                    <w:widowControl w:val="0"/>
                    <w:kinsoku/>
                    <w:autoSpaceDE/>
                    <w:autoSpaceDN/>
                    <w:adjustRightInd/>
                    <w:snapToGrid/>
                    <w:spacing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符合</w:t>
                  </w:r>
                </w:p>
              </w:tc>
            </w:tr>
            <w:tr w14:paraId="4F1E3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0" w:type="pct"/>
                  <w:vMerge w:val="continue"/>
                  <w:tcBorders>
                    <w:left w:val="single" w:color="auto" w:sz="4" w:space="0"/>
                    <w:right w:val="single" w:color="auto" w:sz="4" w:space="0"/>
                  </w:tcBorders>
                  <w:vAlign w:val="center"/>
                </w:tcPr>
                <w:p w14:paraId="0EF37E57">
                  <w:pPr>
                    <w:pStyle w:val="6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lang w:val="en-US" w:eastAsia="zh-CN"/>
                    </w:rPr>
                  </w:pPr>
                </w:p>
              </w:tc>
              <w:tc>
                <w:tcPr>
                  <w:tcW w:w="530" w:type="pct"/>
                  <w:vMerge w:val="continue"/>
                  <w:tcBorders>
                    <w:left w:val="single" w:color="auto" w:sz="4" w:space="0"/>
                    <w:right w:val="single" w:color="auto" w:sz="4" w:space="0"/>
                  </w:tcBorders>
                  <w:vAlign w:val="center"/>
                </w:tcPr>
                <w:p w14:paraId="3D3F1843">
                  <w:pPr>
                    <w:pStyle w:val="6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lang w:val="en-US" w:eastAsia="zh-CN"/>
                    </w:rPr>
                  </w:pPr>
                </w:p>
              </w:tc>
              <w:tc>
                <w:tcPr>
                  <w:tcW w:w="2144" w:type="pct"/>
                  <w:vAlign w:val="center"/>
                </w:tcPr>
                <w:p w14:paraId="0157629A">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污染物排放管控要求。在可核查、可监管的基础上</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新建项目原则上实施氮氧化物等量替代</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挥发性有机物两倍削减量替代。以臭氧生成潜势较大的行业企业为重点</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推进挥发性有机物源头替代</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全面加强无组织排放控制</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深入实施精细化治理。现有每小时</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lang w:val="en-US" w:eastAsia="zh-CN"/>
                    </w:rPr>
                    <w:t>5蒸吨及以上的燃煤锅炉加快实施超低排放治理</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每小时</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lang w:val="en-US" w:eastAsia="zh-CN"/>
                    </w:rPr>
                    <w:t>5蒸吨以下的燃煤锅炉加快完成清洁能源改造。实行水污染物排放的行业标杆管理</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严格执行茅洲河、淡水河、石马河、汾江河等重点流域水污染物排放标准。重点水污染物未达到环境质量改善目标的区域内</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新建、改建、扩建项目实施减量替代。电镀专业园区、电镀企业严格执行广东省电镀水污染物排放限值。探索设立区域性城镇污水处理厂污染物排放标准</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推动城镇生活污水处理设施提质增效。率先消除城中村、老旧城区和城乡结合部生活污水收集处理设施空白区。大力推进固体废物源头减量化、资源化利用和无害化处置</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稳步推进</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无废城市</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试点建设。加强珠江口、大亚湾、广海湾、镇海湾等重点河口海湾陆源污染控制。</w:t>
                  </w:r>
                </w:p>
              </w:tc>
              <w:tc>
                <w:tcPr>
                  <w:tcW w:w="1652" w:type="pct"/>
                  <w:vAlign w:val="center"/>
                </w:tcPr>
                <w:p w14:paraId="3F4C8B44">
                  <w:pPr>
                    <w:widowControl w:val="0"/>
                    <w:kinsoku/>
                    <w:autoSpaceDE/>
                    <w:autoSpaceDN/>
                    <w:adjustRightInd/>
                    <w:snapToGrid/>
                    <w:spacing w:line="240" w:lineRule="auto"/>
                    <w:jc w:val="center"/>
                    <w:textAlignment w:val="auto"/>
                    <w:rPr>
                      <w:rFonts w:hint="eastAsia"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项目</w:t>
                  </w:r>
                  <w:r>
                    <w:rPr>
                      <w:rFonts w:hint="eastAsia" w:cs="Times New Roman"/>
                      <w:color w:val="auto"/>
                      <w:sz w:val="21"/>
                      <w:szCs w:val="21"/>
                      <w:highlight w:val="none"/>
                      <w:lang w:val="en-US" w:eastAsia="zh-CN"/>
                    </w:rPr>
                    <w:t>不</w:t>
                  </w:r>
                  <w:r>
                    <w:rPr>
                      <w:rFonts w:hint="eastAsia" w:ascii="Times New Roman" w:cs="Times New Roman"/>
                      <w:color w:val="auto"/>
                      <w:sz w:val="21"/>
                      <w:szCs w:val="21"/>
                      <w:highlight w:val="none"/>
                      <w:lang w:val="en-US" w:eastAsia="zh-CN"/>
                    </w:rPr>
                    <w:t>产生的</w:t>
                  </w:r>
                  <w:r>
                    <w:rPr>
                      <w:rFonts w:hint="eastAsia" w:cs="Times New Roman"/>
                      <w:color w:val="auto"/>
                      <w:sz w:val="21"/>
                      <w:szCs w:val="21"/>
                      <w:lang w:val="en-US" w:eastAsia="zh-CN"/>
                    </w:rPr>
                    <w:t>VOCs、</w:t>
                  </w:r>
                  <w:r>
                    <w:rPr>
                      <w:rFonts w:hint="default" w:ascii="Times New Roman" w:hAnsi="Times New Roman" w:cs="Times New Roman"/>
                      <w:color w:val="auto"/>
                      <w:sz w:val="21"/>
                      <w:szCs w:val="21"/>
                      <w:highlight w:val="none"/>
                      <w:lang w:val="en-US" w:eastAsia="zh-CN"/>
                    </w:rPr>
                    <w:t>氮氧化物</w:t>
                  </w:r>
                  <w:r>
                    <w:rPr>
                      <w:rFonts w:hint="eastAsia" w:ascii="Times New Roman" w:cs="Times New Roman"/>
                      <w:color w:val="auto"/>
                      <w:sz w:val="21"/>
                      <w:szCs w:val="21"/>
                      <w:highlight w:val="none"/>
                      <w:lang w:val="en-US" w:eastAsia="zh-CN"/>
                    </w:rPr>
                    <w:t>。项目不设锅炉，不设电镀工艺。</w:t>
                  </w:r>
                </w:p>
                <w:p w14:paraId="7B1242E5">
                  <w:pPr>
                    <w:widowControl w:val="0"/>
                    <w:kinsoku/>
                    <w:autoSpaceDE/>
                    <w:autoSpaceDN/>
                    <w:adjustRightInd/>
                    <w:snapToGrid/>
                    <w:spacing w:line="240" w:lineRule="auto"/>
                    <w:jc w:val="center"/>
                    <w:textAlignment w:val="auto"/>
                    <w:rPr>
                      <w:rFonts w:hint="default" w:ascii="Times New Roman" w:cs="Times New Roman"/>
                      <w:color w:val="auto"/>
                      <w:sz w:val="21"/>
                      <w:szCs w:val="21"/>
                      <w:highlight w:val="none"/>
                      <w:lang w:val="en-US" w:eastAsia="zh-CN"/>
                    </w:rPr>
                  </w:pPr>
                  <w:r>
                    <w:rPr>
                      <w:rFonts w:hint="eastAsia" w:ascii="Times New Roman" w:cs="Times New Roman"/>
                      <w:i w:val="0"/>
                      <w:iCs w:val="0"/>
                      <w:color w:val="auto"/>
                      <w:kern w:val="0"/>
                      <w:sz w:val="21"/>
                      <w:szCs w:val="21"/>
                      <w:highlight w:val="none"/>
                      <w:u w:val="none"/>
                      <w:lang w:val="en-US" w:eastAsia="zh-CN"/>
                    </w:rPr>
                    <w:t>项目不产生生产废水，员工如厕依托生活污水乐昌市华轩针织制衣有限公司，依托乐昌市华轩针织制衣有限公司化粪池进行预处理后引入园区污水处理厂处理</w:t>
                  </w:r>
                  <w:r>
                    <w:rPr>
                      <w:rFonts w:hint="default" w:ascii="Times New Roman" w:hAnsi="Times New Roman" w:eastAsia="宋体" w:cs="Times New Roman"/>
                      <w:i w:val="0"/>
                      <w:iCs w:val="0"/>
                      <w:color w:val="auto"/>
                      <w:kern w:val="0"/>
                      <w:sz w:val="21"/>
                      <w:szCs w:val="21"/>
                      <w:highlight w:val="none"/>
                      <w:u w:val="none"/>
                      <w:lang w:val="en-US" w:eastAsia="zh-CN"/>
                    </w:rPr>
                    <w:t>，达标后</w:t>
                  </w:r>
                  <w:r>
                    <w:rPr>
                      <w:rFonts w:hint="eastAsia" w:cs="Times New Roman"/>
                      <w:i w:val="0"/>
                      <w:iCs w:val="0"/>
                      <w:color w:val="auto"/>
                      <w:kern w:val="0"/>
                      <w:sz w:val="21"/>
                      <w:szCs w:val="21"/>
                      <w:highlight w:val="none"/>
                      <w:u w:val="none"/>
                      <w:lang w:val="en-US" w:eastAsia="zh-CN"/>
                    </w:rPr>
                    <w:t>尾水</w:t>
                  </w:r>
                  <w:r>
                    <w:rPr>
                      <w:rFonts w:hint="default" w:ascii="Times New Roman" w:hAnsi="Times New Roman" w:eastAsia="宋体" w:cs="Times New Roman"/>
                      <w:i w:val="0"/>
                      <w:iCs w:val="0"/>
                      <w:color w:val="auto"/>
                      <w:kern w:val="0"/>
                      <w:sz w:val="21"/>
                      <w:szCs w:val="21"/>
                      <w:highlight w:val="none"/>
                      <w:u w:val="none"/>
                      <w:lang w:val="en-US" w:eastAsia="zh-CN"/>
                    </w:rPr>
                    <w:t>排放至武江（乐昌城-犁市河段）</w:t>
                  </w:r>
                  <w:r>
                    <w:rPr>
                      <w:rFonts w:hint="eastAsia" w:ascii="Times New Roman" w:cs="Times New Roman"/>
                      <w:i w:val="0"/>
                      <w:iCs w:val="0"/>
                      <w:color w:val="auto"/>
                      <w:kern w:val="0"/>
                      <w:sz w:val="21"/>
                      <w:szCs w:val="21"/>
                      <w:highlight w:val="none"/>
                      <w:u w:val="none"/>
                      <w:lang w:val="en-US" w:eastAsia="zh-CN"/>
                    </w:rPr>
                    <w:t>。</w:t>
                  </w:r>
                </w:p>
              </w:tc>
              <w:tc>
                <w:tcPr>
                  <w:tcW w:w="351" w:type="pct"/>
                  <w:vAlign w:val="center"/>
                </w:tcPr>
                <w:p w14:paraId="72E669C4">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符合</w:t>
                  </w:r>
                </w:p>
              </w:tc>
            </w:tr>
            <w:tr w14:paraId="3FB2E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0" w:type="pct"/>
                  <w:vMerge w:val="continue"/>
                  <w:tcBorders>
                    <w:left w:val="single" w:color="auto" w:sz="4" w:space="0"/>
                    <w:right w:val="single" w:color="auto" w:sz="4" w:space="0"/>
                  </w:tcBorders>
                  <w:vAlign w:val="center"/>
                </w:tcPr>
                <w:p w14:paraId="2E1D7F49">
                  <w:pPr>
                    <w:pStyle w:val="6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lang w:val="en-US" w:eastAsia="zh-CN"/>
                    </w:rPr>
                  </w:pPr>
                </w:p>
              </w:tc>
              <w:tc>
                <w:tcPr>
                  <w:tcW w:w="530" w:type="pct"/>
                  <w:vMerge w:val="continue"/>
                  <w:tcBorders>
                    <w:left w:val="single" w:color="auto" w:sz="4" w:space="0"/>
                    <w:right w:val="single" w:color="auto" w:sz="4" w:space="0"/>
                  </w:tcBorders>
                  <w:vAlign w:val="center"/>
                </w:tcPr>
                <w:p w14:paraId="24B76FE2">
                  <w:pPr>
                    <w:pStyle w:val="6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lang w:val="en-US" w:eastAsia="zh-CN"/>
                    </w:rPr>
                  </w:pPr>
                </w:p>
              </w:tc>
              <w:tc>
                <w:tcPr>
                  <w:tcW w:w="2144" w:type="pct"/>
                  <w:vAlign w:val="center"/>
                </w:tcPr>
                <w:p w14:paraId="106B43D5">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环境风险防控要求。逐步构建城市多水源联网供水格局</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建立完善突发环境事件应急管理体系。加强惠州大亚湾石化区、广州石化、珠海高栏港、珠西新材料集聚区等石化、化工重点园区环境风险防控</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建立完善污染源在线监控系统</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开展有毒有害气体监测</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落实环境风险应急预案。提升危险废物监管能力</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利用信息化手段</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推进全过程跟踪管理；健全危险废物收集体系</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推进危险废物利用处置能力结构优化。</w:t>
                  </w:r>
                </w:p>
              </w:tc>
              <w:tc>
                <w:tcPr>
                  <w:tcW w:w="1652" w:type="pct"/>
                  <w:vAlign w:val="center"/>
                </w:tcPr>
                <w:p w14:paraId="6C1D9C36">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本项目危险废物统一收集后交由有资质单位处理。</w:t>
                  </w:r>
                </w:p>
              </w:tc>
              <w:tc>
                <w:tcPr>
                  <w:tcW w:w="351" w:type="pct"/>
                  <w:vAlign w:val="center"/>
                </w:tcPr>
                <w:p w14:paraId="5230F208">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符合</w:t>
                  </w:r>
                </w:p>
              </w:tc>
            </w:tr>
            <w:tr w14:paraId="660B5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0" w:type="pct"/>
                  <w:vMerge w:val="restart"/>
                  <w:vAlign w:val="center"/>
                </w:tcPr>
                <w:p w14:paraId="5ECE83FB">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6</w:t>
                  </w:r>
                </w:p>
              </w:tc>
              <w:tc>
                <w:tcPr>
                  <w:tcW w:w="530" w:type="pct"/>
                  <w:vMerge w:val="restart"/>
                  <w:vAlign w:val="center"/>
                </w:tcPr>
                <w:p w14:paraId="4FFB7D48">
                  <w:pPr>
                    <w:widowControl w:val="0"/>
                    <w:kinsoku/>
                    <w:autoSpaceDE/>
                    <w:autoSpaceDN/>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color w:val="auto"/>
                      <w:sz w:val="21"/>
                      <w:szCs w:val="21"/>
                      <w:highlight w:val="none"/>
                    </w:rPr>
                    <w:t>环境管控单元总体管控要求</w:t>
                  </w:r>
                </w:p>
              </w:tc>
              <w:tc>
                <w:tcPr>
                  <w:tcW w:w="2144" w:type="pct"/>
                  <w:vAlign w:val="center"/>
                </w:tcPr>
                <w:p w14:paraId="5BA3F86C">
                  <w:pPr>
                    <w:widowControl w:val="0"/>
                    <w:kinsoku/>
                    <w:autoSpaceDE/>
                    <w:autoSpaceDN/>
                    <w:adjustRightInd/>
                    <w:snapToGrid/>
                    <w:spacing w:line="240" w:lineRule="auto"/>
                    <w:jc w:val="center"/>
                    <w:textAlignment w:val="auto"/>
                    <w:rPr>
                      <w:rFonts w:hint="default" w:ascii="Times New Roman" w:hAnsi="Times New Roman" w:eastAsia="宋体" w:cs="Times New Roman"/>
                      <w:color w:val="auto"/>
                      <w:kern w:val="2"/>
                      <w:position w:val="-10"/>
                      <w:sz w:val="21"/>
                      <w:szCs w:val="21"/>
                      <w:highlight w:val="none"/>
                      <w:lang w:val="en-US" w:eastAsia="zh-CN" w:bidi="ar-SA"/>
                    </w:rPr>
                  </w:pPr>
                  <w:r>
                    <w:rPr>
                      <w:rFonts w:hint="eastAsia"/>
                      <w:color w:val="auto"/>
                      <w:kern w:val="2"/>
                      <w:sz w:val="21"/>
                      <w:szCs w:val="21"/>
                      <w:highlight w:val="none"/>
                    </w:rPr>
                    <w:t>省级以上工业园区重点管控单元。依法开展园区规划环评，严格落实规划环评管理要求，开展环境质量跟踪监测，发布环境管理状况公告，制定并实施园区突发环境事件应急预案，定期开展环境安全隐患排查，提升风险防控及应急处置能力。周边1公里范围内涉及生态保护红线、自然保护地、饮用水水源地等生态环境敏感区域的园区，应优化产业布局，控制开发强度，优先引进无污染或轻污染的产业和项目，防止侵占生态空间。纳污水体水质超标的园区，应实施污水深度处理，新建、改建、扩建项目应实行重点污染物排放等量或减量替代。造纸、电镀、印染、鞣革等专业园区或基地应不断提升工艺水平，提高水回用率，逐步削减污染物排放总量；石化园区加快绿色智能升级改造，强化环保投入和管理，构建高效、清洁、低碳、循环的绿色制造体系。</w:t>
                  </w:r>
                </w:p>
              </w:tc>
              <w:tc>
                <w:tcPr>
                  <w:tcW w:w="1652" w:type="pct"/>
                  <w:vAlign w:val="center"/>
                </w:tcPr>
                <w:p w14:paraId="6C694BFF">
                  <w:pPr>
                    <w:widowControl w:val="0"/>
                    <w:kinsoku/>
                    <w:autoSpaceDE/>
                    <w:autoSpaceDN/>
                    <w:adjustRightInd/>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根据</w:t>
                  </w:r>
                  <w:r>
                    <w:rPr>
                      <w:rFonts w:hint="eastAsia" w:ascii="Times New Roman" w:hAnsi="Times New Roman" w:eastAsia="宋体" w:cs="Times New Roman"/>
                      <w:b w:val="0"/>
                      <w:bCs w:val="0"/>
                      <w:snapToGrid/>
                      <w:color w:val="auto"/>
                      <w:kern w:val="2"/>
                      <w:sz w:val="21"/>
                      <w:szCs w:val="21"/>
                      <w:highlight w:val="none"/>
                      <w:lang w:val="en-US" w:eastAsia="zh-CN"/>
                    </w:rPr>
                    <w:t>附图</w:t>
                  </w:r>
                  <w:r>
                    <w:rPr>
                      <w:rFonts w:hint="eastAsia"/>
                      <w:color w:val="auto"/>
                      <w:sz w:val="21"/>
                      <w:szCs w:val="21"/>
                      <w:highlight w:val="none"/>
                    </w:rPr>
                    <w:t>1</w:t>
                  </w:r>
                  <w:r>
                    <w:rPr>
                      <w:rFonts w:hint="eastAsia"/>
                      <w:color w:val="auto"/>
                      <w:sz w:val="21"/>
                      <w:szCs w:val="21"/>
                      <w:highlight w:val="none"/>
                      <w:lang w:val="en-US" w:eastAsia="zh-CN"/>
                    </w:rPr>
                    <w:t>4-1</w:t>
                  </w:r>
                  <w:r>
                    <w:rPr>
                      <w:rFonts w:hint="eastAsia"/>
                      <w:color w:val="auto"/>
                      <w:sz w:val="21"/>
                      <w:szCs w:val="21"/>
                      <w:highlight w:val="none"/>
                    </w:rPr>
                    <w:t>，项目位于乐昌经济开发区重点管控单元（管控编码ZH44028120003），属于园区重点管控单元，项目主要从事</w:t>
                  </w:r>
                  <w:r>
                    <w:rPr>
                      <w:rFonts w:hint="default" w:ascii="Times New Roman" w:hAnsi="Times New Roman" w:cs="Times New Roman"/>
                      <w:color w:val="auto"/>
                      <w:sz w:val="21"/>
                      <w:szCs w:val="21"/>
                      <w:highlight w:val="none"/>
                      <w:vertAlign w:val="baseline"/>
                    </w:rPr>
                    <w:t>一般工业固体废物分拣、压实</w:t>
                  </w:r>
                  <w:r>
                    <w:rPr>
                      <w:rFonts w:hint="eastAsia"/>
                      <w:color w:val="auto"/>
                      <w:sz w:val="21"/>
                      <w:szCs w:val="21"/>
                      <w:highlight w:val="none"/>
                    </w:rPr>
                    <w:t>，生产过程</w:t>
                  </w:r>
                  <w:r>
                    <w:rPr>
                      <w:rFonts w:hint="eastAsia"/>
                      <w:color w:val="auto"/>
                      <w:sz w:val="21"/>
                      <w:szCs w:val="21"/>
                      <w:highlight w:val="none"/>
                      <w:lang w:val="en-US" w:eastAsia="zh-CN"/>
                    </w:rPr>
                    <w:t>不</w:t>
                  </w:r>
                  <w:r>
                    <w:rPr>
                      <w:rFonts w:hint="eastAsia"/>
                      <w:color w:val="auto"/>
                      <w:sz w:val="21"/>
                      <w:szCs w:val="21"/>
                      <w:highlight w:val="none"/>
                    </w:rPr>
                    <w:t>产生氮氧化物；</w:t>
                  </w:r>
                  <w:r>
                    <w:rPr>
                      <w:rFonts w:hint="eastAsia" w:ascii="Times New Roman" w:cs="Times New Roman"/>
                      <w:i w:val="0"/>
                      <w:iCs w:val="0"/>
                      <w:color w:val="auto"/>
                      <w:kern w:val="0"/>
                      <w:sz w:val="21"/>
                      <w:szCs w:val="21"/>
                      <w:highlight w:val="none"/>
                      <w:u w:val="none"/>
                      <w:lang w:val="en-US" w:eastAsia="zh-CN"/>
                    </w:rPr>
                    <w:t>项目不产生生产废水，员工如厕依托生活污水乐昌市华轩针织制衣有限公司，依托乐昌市华轩针织制衣有限公司化粪池进行预处理后引入园区污水处理厂处理</w:t>
                  </w:r>
                  <w:r>
                    <w:rPr>
                      <w:rFonts w:hint="eastAsia"/>
                      <w:color w:val="auto"/>
                      <w:sz w:val="21"/>
                      <w:szCs w:val="21"/>
                      <w:highlight w:val="none"/>
                    </w:rPr>
                    <w:t>，无需分配水污染物总量。</w:t>
                  </w:r>
                </w:p>
              </w:tc>
              <w:tc>
                <w:tcPr>
                  <w:tcW w:w="351" w:type="pct"/>
                  <w:vAlign w:val="center"/>
                </w:tcPr>
                <w:p w14:paraId="35EEC8CB">
                  <w:pPr>
                    <w:pStyle w:val="61"/>
                    <w:keepNext w:val="0"/>
                    <w:keepLines w:val="0"/>
                    <w:pageBreakBefore w:val="0"/>
                    <w:widowControl/>
                    <w:suppressLineNumbers w:val="0"/>
                    <w:kinsoku/>
                    <w:overflowPunct/>
                    <w:topLinePunct w:val="0"/>
                    <w:bidi w:val="0"/>
                    <w:adjustRightInd/>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position w:val="-10"/>
                      <w:sz w:val="21"/>
                      <w:szCs w:val="21"/>
                      <w:highlight w:val="none"/>
                      <w:lang w:val="en-US" w:eastAsia="zh-CN" w:bidi="ar-SA"/>
                    </w:rPr>
                  </w:pPr>
                  <w:r>
                    <w:rPr>
                      <w:rFonts w:hint="eastAsia"/>
                      <w:color w:val="auto"/>
                      <w:kern w:val="2"/>
                      <w:sz w:val="21"/>
                      <w:szCs w:val="21"/>
                      <w:highlight w:val="none"/>
                    </w:rPr>
                    <w:t>符合</w:t>
                  </w:r>
                </w:p>
              </w:tc>
            </w:tr>
            <w:tr w14:paraId="79739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0" w:type="pct"/>
                  <w:vMerge w:val="continue"/>
                  <w:vAlign w:val="center"/>
                </w:tcPr>
                <w:p w14:paraId="663B8093">
                  <w:pPr>
                    <w:pStyle w:val="6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lang w:val="en-US" w:eastAsia="zh-CN"/>
                    </w:rPr>
                  </w:pPr>
                </w:p>
              </w:tc>
              <w:tc>
                <w:tcPr>
                  <w:tcW w:w="530" w:type="pct"/>
                  <w:vMerge w:val="continue"/>
                  <w:vAlign w:val="center"/>
                </w:tcPr>
                <w:p w14:paraId="77129F03">
                  <w:pPr>
                    <w:pStyle w:val="6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lang w:val="en-US" w:eastAsia="zh-CN"/>
                    </w:rPr>
                  </w:pPr>
                </w:p>
              </w:tc>
              <w:tc>
                <w:tcPr>
                  <w:tcW w:w="2144" w:type="pct"/>
                  <w:vAlign w:val="center"/>
                </w:tcPr>
                <w:p w14:paraId="12B0246E">
                  <w:pPr>
                    <w:widowControl w:val="0"/>
                    <w:kinsoku/>
                    <w:autoSpaceDE/>
                    <w:autoSpaceDN/>
                    <w:adjustRightInd/>
                    <w:snapToGrid/>
                    <w:spacing w:line="240" w:lineRule="auto"/>
                    <w:jc w:val="center"/>
                    <w:textAlignment w:val="auto"/>
                    <w:rPr>
                      <w:rFonts w:hint="default" w:ascii="Times New Roman" w:hAnsi="Times New Roman" w:eastAsia="宋体" w:cs="Times New Roman"/>
                      <w:color w:val="auto"/>
                      <w:kern w:val="2"/>
                      <w:position w:val="-10"/>
                      <w:sz w:val="21"/>
                      <w:szCs w:val="21"/>
                      <w:highlight w:val="none"/>
                      <w:lang w:val="en-US" w:eastAsia="zh-CN" w:bidi="ar-SA"/>
                    </w:rPr>
                  </w:pPr>
                  <w:r>
                    <w:rPr>
                      <w:rFonts w:hint="eastAsia"/>
                      <w:color w:val="auto"/>
                      <w:kern w:val="2"/>
                      <w:sz w:val="21"/>
                      <w:szCs w:val="21"/>
                      <w:highlight w:val="none"/>
                    </w:rPr>
                    <w:t>水环境质量超标类重点管控单元。严格控制耗水量大、污染物排放强度高的行业发展，新建、改建、扩建项目实施重点水污染物减量替代。以城镇生活污染为主的单元，加快推进城镇生活污水有效收集处理，重点完善污水处理设施配套管网建设，加快实施雨污分流改造，推动提升污水处理设施进水水量和浓度，充分发挥污水处理设施治污效能。</w:t>
                  </w:r>
                </w:p>
              </w:tc>
              <w:tc>
                <w:tcPr>
                  <w:tcW w:w="1652" w:type="pct"/>
                  <w:vAlign w:val="center"/>
                </w:tcPr>
                <w:p w14:paraId="6F6D379A">
                  <w:pPr>
                    <w:pStyle w:val="61"/>
                    <w:keepNext w:val="0"/>
                    <w:keepLines w:val="0"/>
                    <w:pageBreakBefore w:val="0"/>
                    <w:widowControl/>
                    <w:suppressLineNumbers w:val="0"/>
                    <w:kinsoku/>
                    <w:overflowPunct/>
                    <w:topLinePunct w:val="0"/>
                    <w:bidi w:val="0"/>
                    <w:adjustRightInd/>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position w:val="-10"/>
                      <w:sz w:val="21"/>
                      <w:szCs w:val="21"/>
                      <w:highlight w:val="none"/>
                      <w:lang w:val="en-US" w:eastAsia="zh-CN" w:bidi="ar-SA"/>
                    </w:rPr>
                  </w:pPr>
                  <w:r>
                    <w:rPr>
                      <w:rFonts w:hint="eastAsia"/>
                      <w:color w:val="auto"/>
                      <w:kern w:val="2"/>
                      <w:sz w:val="21"/>
                      <w:szCs w:val="21"/>
                      <w:highlight w:val="none"/>
                    </w:rPr>
                    <w:t>项目</w:t>
                  </w:r>
                  <w:r>
                    <w:rPr>
                      <w:rFonts w:hint="eastAsia"/>
                      <w:color w:val="auto"/>
                      <w:kern w:val="2"/>
                      <w:sz w:val="21"/>
                      <w:szCs w:val="21"/>
                      <w:highlight w:val="none"/>
                      <w:lang w:val="en-US" w:eastAsia="zh-CN"/>
                    </w:rPr>
                    <w:t>无生产用水，</w:t>
                  </w:r>
                  <w:r>
                    <w:rPr>
                      <w:rFonts w:hint="eastAsia"/>
                      <w:color w:val="auto"/>
                      <w:kern w:val="2"/>
                      <w:sz w:val="21"/>
                      <w:szCs w:val="21"/>
                      <w:highlight w:val="none"/>
                    </w:rPr>
                    <w:t>不属于耗水量大和污染物排放强度高的行业，项目员工如厕依托生活污水乐昌市华轩针织制衣有限公司，依托乐昌市华轩针织制衣有限公司化粪池进行预处理后引入园区污水处理厂处理，对水环境影响不大。</w:t>
                  </w:r>
                </w:p>
              </w:tc>
              <w:tc>
                <w:tcPr>
                  <w:tcW w:w="351" w:type="pct"/>
                  <w:vAlign w:val="center"/>
                </w:tcPr>
                <w:p w14:paraId="5F3A3058">
                  <w:pPr>
                    <w:widowControl w:val="0"/>
                    <w:kinsoku/>
                    <w:autoSpaceDE/>
                    <w:autoSpaceDN/>
                    <w:adjustRightInd/>
                    <w:snapToGrid/>
                    <w:spacing w:line="240" w:lineRule="auto"/>
                    <w:jc w:val="center"/>
                    <w:textAlignment w:val="auto"/>
                    <w:rPr>
                      <w:rFonts w:hint="default" w:ascii="Times New Roman" w:hAnsi="Times New Roman" w:eastAsia="宋体" w:cs="Times New Roman"/>
                      <w:color w:val="auto"/>
                      <w:kern w:val="2"/>
                      <w:position w:val="-10"/>
                      <w:sz w:val="21"/>
                      <w:szCs w:val="21"/>
                      <w:highlight w:val="none"/>
                      <w:lang w:val="en-US" w:eastAsia="zh-CN" w:bidi="ar-SA"/>
                    </w:rPr>
                  </w:pPr>
                  <w:r>
                    <w:rPr>
                      <w:rFonts w:hint="eastAsia"/>
                      <w:color w:val="auto"/>
                      <w:kern w:val="2"/>
                      <w:sz w:val="21"/>
                      <w:szCs w:val="21"/>
                      <w:highlight w:val="none"/>
                    </w:rPr>
                    <w:t>符合</w:t>
                  </w:r>
                </w:p>
              </w:tc>
            </w:tr>
            <w:tr w14:paraId="07BA0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0" w:type="pct"/>
                  <w:vMerge w:val="continue"/>
                  <w:vAlign w:val="center"/>
                </w:tcPr>
                <w:p w14:paraId="694DD551">
                  <w:pPr>
                    <w:pStyle w:val="6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lang w:val="en-US" w:eastAsia="zh-CN"/>
                    </w:rPr>
                  </w:pPr>
                </w:p>
              </w:tc>
              <w:tc>
                <w:tcPr>
                  <w:tcW w:w="530" w:type="pct"/>
                  <w:vMerge w:val="continue"/>
                  <w:vAlign w:val="center"/>
                </w:tcPr>
                <w:p w14:paraId="717650E0">
                  <w:pPr>
                    <w:pStyle w:val="6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highlight w:val="none"/>
                      <w:lang w:val="en-US" w:eastAsia="zh-CN"/>
                    </w:rPr>
                  </w:pPr>
                </w:p>
              </w:tc>
              <w:tc>
                <w:tcPr>
                  <w:tcW w:w="2144" w:type="pct"/>
                  <w:vAlign w:val="center"/>
                </w:tcPr>
                <w:p w14:paraId="026A0B8D">
                  <w:pPr>
                    <w:widowControl w:val="0"/>
                    <w:kinsoku/>
                    <w:autoSpaceDE/>
                    <w:autoSpaceDN/>
                    <w:adjustRightInd/>
                    <w:snapToGrid/>
                    <w:spacing w:line="240" w:lineRule="auto"/>
                    <w:jc w:val="center"/>
                    <w:textAlignment w:val="auto"/>
                    <w:rPr>
                      <w:rFonts w:hint="default" w:ascii="Times New Roman" w:hAnsi="Times New Roman" w:eastAsia="宋体" w:cs="Times New Roman"/>
                      <w:color w:val="auto"/>
                      <w:kern w:val="2"/>
                      <w:position w:val="-10"/>
                      <w:sz w:val="21"/>
                      <w:szCs w:val="21"/>
                      <w:highlight w:val="none"/>
                      <w:lang w:val="en-US" w:eastAsia="zh-CN" w:bidi="ar-SA"/>
                    </w:rPr>
                  </w:pPr>
                  <w:r>
                    <w:rPr>
                      <w:rFonts w:hint="eastAsia"/>
                      <w:color w:val="auto"/>
                      <w:kern w:val="2"/>
                      <w:sz w:val="21"/>
                      <w:szCs w:val="21"/>
                      <w:highlight w:val="none"/>
                    </w:rPr>
                    <w:t>大气环境受体敏感类重点管控单元。严格限制新建</w:t>
                  </w:r>
                  <w:r>
                    <w:rPr>
                      <w:rFonts w:hint="eastAsia" w:ascii="Times New Roman" w:hAnsi="Times New Roman" w:eastAsia="宋体" w:cs="Times New Roman"/>
                      <w:b w:val="0"/>
                      <w:bCs w:val="0"/>
                      <w:snapToGrid/>
                      <w:color w:val="auto"/>
                      <w:kern w:val="2"/>
                      <w:sz w:val="21"/>
                      <w:szCs w:val="21"/>
                      <w:highlight w:val="none"/>
                      <w:lang w:val="en-US" w:eastAsia="zh-CN"/>
                    </w:rPr>
                    <w:t>钢铁</w:t>
                  </w:r>
                  <w:r>
                    <w:rPr>
                      <w:rFonts w:hint="eastAsia"/>
                      <w:color w:val="auto"/>
                      <w:kern w:val="2"/>
                      <w:sz w:val="21"/>
                      <w:szCs w:val="21"/>
                      <w:highlight w:val="none"/>
                    </w:rPr>
                    <w:t>、燃煤燃油火电、石化、储油库等项目，产生和排放有毒有害大气污染物项目，以及使用溶剂型油墨、涂料、清洗剂、胶黏剂等高挥发性有机物原辅材料的项目；鼓励现有该类项目逐步搬迁退出</w:t>
                  </w:r>
                </w:p>
              </w:tc>
              <w:tc>
                <w:tcPr>
                  <w:tcW w:w="1652" w:type="pct"/>
                  <w:vAlign w:val="center"/>
                </w:tcPr>
                <w:p w14:paraId="33C51DE8">
                  <w:pPr>
                    <w:widowControl w:val="0"/>
                    <w:kinsoku/>
                    <w:autoSpaceDE/>
                    <w:autoSpaceDN/>
                    <w:adjustRightInd/>
                    <w:snapToGrid/>
                    <w:spacing w:line="240" w:lineRule="auto"/>
                    <w:jc w:val="center"/>
                    <w:textAlignment w:val="auto"/>
                    <w:rPr>
                      <w:rFonts w:hint="eastAsia" w:ascii="Times New Roman" w:hAnsi="Times New Roman" w:eastAsia="宋体" w:cs="Times New Roman"/>
                      <w:color w:val="auto"/>
                      <w:kern w:val="2"/>
                      <w:position w:val="-10"/>
                      <w:sz w:val="21"/>
                      <w:szCs w:val="21"/>
                      <w:highlight w:val="none"/>
                      <w:lang w:val="en-US" w:eastAsia="zh-CN" w:bidi="ar-SA"/>
                    </w:rPr>
                  </w:pPr>
                  <w:r>
                    <w:rPr>
                      <w:rFonts w:hint="eastAsia"/>
                      <w:color w:val="auto"/>
                      <w:kern w:val="2"/>
                      <w:sz w:val="21"/>
                      <w:szCs w:val="21"/>
                      <w:highlight w:val="none"/>
                    </w:rPr>
                    <w:t>项目不属于钢铁、燃煤燃油火电、石化、储油库等项目</w:t>
                  </w:r>
                  <w:r>
                    <w:rPr>
                      <w:rFonts w:hint="eastAsia"/>
                      <w:color w:val="auto"/>
                      <w:kern w:val="2"/>
                      <w:sz w:val="21"/>
                      <w:szCs w:val="21"/>
                      <w:highlight w:val="none"/>
                      <w:lang w:eastAsia="zh-CN"/>
                    </w:rPr>
                    <w:t>，</w:t>
                  </w:r>
                  <w:r>
                    <w:rPr>
                      <w:rFonts w:hint="eastAsia"/>
                      <w:color w:val="auto"/>
                      <w:kern w:val="2"/>
                      <w:sz w:val="21"/>
                      <w:szCs w:val="21"/>
                      <w:highlight w:val="none"/>
                    </w:rPr>
                    <w:t>不属于</w:t>
                  </w:r>
                  <w:r>
                    <w:rPr>
                      <w:rFonts w:hint="eastAsia"/>
                      <w:color w:val="auto"/>
                      <w:kern w:val="2"/>
                      <w:sz w:val="21"/>
                      <w:szCs w:val="21"/>
                      <w:highlight w:val="none"/>
                      <w:lang w:val="en-US" w:eastAsia="zh-CN"/>
                    </w:rPr>
                    <w:t>产生和排放</w:t>
                  </w:r>
                  <w:r>
                    <w:rPr>
                      <w:rFonts w:hint="eastAsia"/>
                      <w:color w:val="auto"/>
                      <w:kern w:val="2"/>
                      <w:sz w:val="21"/>
                      <w:szCs w:val="21"/>
                      <w:highlight w:val="none"/>
                    </w:rPr>
                    <w:t>有毒有害大气污染物的项目</w:t>
                  </w:r>
                  <w:r>
                    <w:rPr>
                      <w:rFonts w:hint="eastAsia"/>
                      <w:color w:val="auto"/>
                      <w:kern w:val="2"/>
                      <w:sz w:val="21"/>
                      <w:szCs w:val="21"/>
                      <w:highlight w:val="none"/>
                      <w:lang w:eastAsia="zh-CN"/>
                    </w:rPr>
                    <w:t>。</w:t>
                  </w:r>
                </w:p>
              </w:tc>
              <w:tc>
                <w:tcPr>
                  <w:tcW w:w="351" w:type="pct"/>
                  <w:vAlign w:val="center"/>
                </w:tcPr>
                <w:p w14:paraId="5C2E557D">
                  <w:pPr>
                    <w:widowControl w:val="0"/>
                    <w:kinsoku/>
                    <w:autoSpaceDE/>
                    <w:autoSpaceDN/>
                    <w:adjustRightInd/>
                    <w:snapToGrid/>
                    <w:spacing w:line="240" w:lineRule="auto"/>
                    <w:jc w:val="center"/>
                    <w:textAlignment w:val="auto"/>
                    <w:rPr>
                      <w:rFonts w:hint="default" w:ascii="Times New Roman" w:hAnsi="Times New Roman" w:eastAsia="宋体" w:cs="Times New Roman"/>
                      <w:b w:val="0"/>
                      <w:bCs w:val="0"/>
                      <w:snapToGrid/>
                      <w:color w:val="auto"/>
                      <w:kern w:val="2"/>
                      <w:szCs w:val="21"/>
                      <w:highlight w:val="none"/>
                      <w:lang w:val="en-US" w:eastAsia="zh-CN"/>
                    </w:rPr>
                  </w:pPr>
                  <w:r>
                    <w:rPr>
                      <w:rFonts w:hint="eastAsia" w:ascii="Times New Roman" w:hAnsi="Times New Roman" w:eastAsia="宋体" w:cs="Times New Roman"/>
                      <w:b w:val="0"/>
                      <w:bCs w:val="0"/>
                      <w:snapToGrid/>
                      <w:color w:val="auto"/>
                      <w:kern w:val="2"/>
                      <w:szCs w:val="21"/>
                      <w:highlight w:val="none"/>
                      <w:lang w:val="en-US" w:eastAsia="zh-CN"/>
                    </w:rPr>
                    <w:t>符合</w:t>
                  </w:r>
                </w:p>
              </w:tc>
            </w:tr>
          </w:tbl>
          <w:p w14:paraId="48E0DD44">
            <w:pPr>
              <w:keepNext w:val="0"/>
              <w:keepLines w:val="0"/>
              <w:pageBreakBefore w:val="0"/>
              <w:widowControl w:val="0"/>
              <w:kinsoku/>
              <w:wordWrap/>
              <w:overflowPunct/>
              <w:topLinePunct w:val="0"/>
              <w:autoSpaceDE/>
              <w:autoSpaceDN/>
              <w:bidi w:val="0"/>
              <w:adjustRightInd/>
              <w:snapToGrid/>
              <w:spacing w:line="100" w:lineRule="exact"/>
              <w:jc w:val="center"/>
              <w:textAlignment w:val="auto"/>
              <w:rPr>
                <w:rFonts w:hint="eastAsia"/>
                <w:color w:val="auto"/>
                <w:highlight w:val="none"/>
              </w:rPr>
            </w:pPr>
          </w:p>
          <w:p w14:paraId="7A6BD93F">
            <w:pPr>
              <w:pStyle w:val="19"/>
              <w:keepNext/>
              <w:pageBreakBefore w:val="0"/>
              <w:spacing w:line="348" w:lineRule="auto"/>
              <w:ind w:right="86" w:rightChars="36" w:firstLineChars="200"/>
              <w:jc w:val="left"/>
              <w:rPr>
                <w:rFonts w:hint="default" w:ascii="Times New Roman" w:hAnsi="Times New Roman" w:cs="Times New Roman"/>
                <w:color w:val="auto"/>
                <w:sz w:val="24"/>
                <w:szCs w:val="24"/>
                <w:highlight w:val="none"/>
              </w:rPr>
            </w:pPr>
            <w:r>
              <w:rPr>
                <w:rFonts w:hint="eastAsia" w:ascii="Times New Roman" w:hAnsi="Times New Roman" w:eastAsia="宋体" w:cs="Times New Roman"/>
                <w:b w:val="0"/>
                <w:bCs w:val="0"/>
                <w:color w:val="auto"/>
                <w:kern w:val="0"/>
                <w:sz w:val="24"/>
                <w:highlight w:val="none"/>
                <w:lang w:val="en-US" w:eastAsia="zh-CN"/>
              </w:rPr>
              <w:t>综上所述，项目符合《广东省人民政府关于印发广东省“三线一单”生态环境分区管控方案的通知（粤府〔2020〕71号）》《广东省2023年度生态环境分区管控动态更新成果公告》的相关要求。</w:t>
            </w:r>
          </w:p>
          <w:p w14:paraId="5BA11220">
            <w:pPr>
              <w:pStyle w:val="19"/>
              <w:keepNext/>
              <w:pageBreakBefore w:val="0"/>
              <w:spacing w:line="348" w:lineRule="auto"/>
              <w:ind w:right="86" w:rightChars="36" w:firstLineChars="200"/>
              <w:jc w:val="left"/>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②项目与韶关市人民政府关于印发《韶关市“三线一单”生态环境分区管控方案的通知》的通知（韶府〔2021〕10号）</w:t>
            </w:r>
            <w:r>
              <w:rPr>
                <w:rFonts w:hint="default" w:ascii="Times New Roman" w:hAnsi="Times New Roman" w:cs="Times New Roman"/>
                <w:b/>
                <w:bCs/>
                <w:color w:val="auto"/>
                <w:sz w:val="24"/>
                <w:szCs w:val="24"/>
                <w:highlight w:val="none"/>
                <w:lang w:val="en-US" w:eastAsia="zh-CN"/>
              </w:rPr>
              <w:t>及《韶关市生态环境分区管控动态更新成果》（2024年8月5日公布）</w:t>
            </w:r>
            <w:r>
              <w:rPr>
                <w:rFonts w:hint="default" w:ascii="Times New Roman" w:hAnsi="Times New Roman" w:cs="Times New Roman"/>
                <w:b/>
                <w:bCs/>
                <w:color w:val="auto"/>
                <w:sz w:val="24"/>
                <w:szCs w:val="24"/>
                <w:highlight w:val="none"/>
              </w:rPr>
              <w:t>的相符性分析</w:t>
            </w:r>
          </w:p>
          <w:p w14:paraId="110467A1">
            <w:pPr>
              <w:pStyle w:val="19"/>
              <w:keepNext/>
              <w:keepLines w:val="0"/>
              <w:pageBreakBefore w:val="0"/>
              <w:widowControl w:val="0"/>
              <w:kinsoku/>
              <w:wordWrap/>
              <w:overflowPunct/>
              <w:topLinePunct w:val="0"/>
              <w:autoSpaceDE/>
              <w:autoSpaceDN/>
              <w:bidi w:val="0"/>
              <w:adjustRightInd/>
              <w:snapToGrid/>
              <w:spacing w:line="360" w:lineRule="auto"/>
              <w:ind w:right="86" w:rightChars="36" w:firstLine="420" w:firstLineChars="20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表1-</w:t>
            </w:r>
            <w:r>
              <w:rPr>
                <w:rFonts w:hint="default" w:ascii="Times New Roman" w:hAnsi="Times New Roman" w:cs="Times New Roman"/>
                <w:b/>
                <w:bCs/>
                <w:color w:val="auto"/>
                <w:sz w:val="21"/>
                <w:szCs w:val="21"/>
                <w:highlight w:val="none"/>
                <w:lang w:val="en-US" w:eastAsia="zh-CN"/>
              </w:rPr>
              <w:t>3政策</w:t>
            </w:r>
            <w:r>
              <w:rPr>
                <w:rFonts w:hint="default" w:ascii="Times New Roman" w:hAnsi="Times New Roman" w:cs="Times New Roman"/>
                <w:b/>
                <w:bCs/>
                <w:color w:val="auto"/>
                <w:sz w:val="21"/>
                <w:szCs w:val="21"/>
                <w:highlight w:val="none"/>
              </w:rPr>
              <w:t>相符性分析一览表</w:t>
            </w:r>
          </w:p>
          <w:tbl>
            <w:tblPr>
              <w:tblStyle w:val="45"/>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324"/>
              <w:gridCol w:w="890"/>
              <w:gridCol w:w="3781"/>
              <w:gridCol w:w="2439"/>
              <w:gridCol w:w="410"/>
            </w:tblGrid>
            <w:tr w14:paraId="0B7FB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774" w:type="pct"/>
                  <w:gridSpan w:val="2"/>
                  <w:tcBorders>
                    <w:tl2br w:val="nil"/>
                    <w:tr2bl w:val="nil"/>
                  </w:tcBorders>
                  <w:vAlign w:val="center"/>
                </w:tcPr>
                <w:p w14:paraId="049C7201">
                  <w:pPr>
                    <w:pStyle w:val="19"/>
                    <w:keepNext/>
                    <w:pageBreakBefore w:val="0"/>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内容</w:t>
                  </w:r>
                </w:p>
              </w:tc>
              <w:tc>
                <w:tcPr>
                  <w:tcW w:w="2409" w:type="pct"/>
                  <w:tcBorders>
                    <w:tl2br w:val="nil"/>
                    <w:tr2bl w:val="nil"/>
                  </w:tcBorders>
                  <w:vAlign w:val="center"/>
                </w:tcPr>
                <w:p w14:paraId="5969A581">
                  <w:pPr>
                    <w:pStyle w:val="19"/>
                    <w:keepNext/>
                    <w:pageBreakBefore w:val="0"/>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要求</w:t>
                  </w:r>
                </w:p>
              </w:tc>
              <w:tc>
                <w:tcPr>
                  <w:tcW w:w="1554" w:type="pct"/>
                  <w:tcBorders>
                    <w:tl2br w:val="nil"/>
                    <w:tr2bl w:val="nil"/>
                  </w:tcBorders>
                  <w:vAlign w:val="center"/>
                </w:tcPr>
                <w:p w14:paraId="0A892E7A">
                  <w:pPr>
                    <w:pStyle w:val="19"/>
                    <w:keepNext/>
                    <w:pageBreakBefore w:val="0"/>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相符性分析</w:t>
                  </w:r>
                </w:p>
              </w:tc>
              <w:tc>
                <w:tcPr>
                  <w:tcW w:w="261" w:type="pct"/>
                  <w:tcBorders>
                    <w:tl2br w:val="nil"/>
                    <w:tr2bl w:val="nil"/>
                  </w:tcBorders>
                  <w:vAlign w:val="center"/>
                </w:tcPr>
                <w:p w14:paraId="387FD6C8">
                  <w:pPr>
                    <w:pStyle w:val="19"/>
                    <w:keepNext/>
                    <w:pageBreakBefore w:val="0"/>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结论</w:t>
                  </w:r>
                </w:p>
              </w:tc>
            </w:tr>
            <w:tr w14:paraId="78C98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207" w:type="pct"/>
                  <w:vMerge w:val="restart"/>
                  <w:tcBorders>
                    <w:tl2br w:val="nil"/>
                    <w:tr2bl w:val="nil"/>
                  </w:tcBorders>
                  <w:vAlign w:val="center"/>
                </w:tcPr>
                <w:p w14:paraId="787E11FA">
                  <w:pPr>
                    <w:pStyle w:val="19"/>
                    <w:keepNext/>
                    <w:pageBreakBefore w:val="0"/>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全市总体管控</w:t>
                  </w:r>
                </w:p>
              </w:tc>
              <w:tc>
                <w:tcPr>
                  <w:tcW w:w="567" w:type="pct"/>
                  <w:tcBorders>
                    <w:tl2br w:val="nil"/>
                    <w:tr2bl w:val="nil"/>
                  </w:tcBorders>
                  <w:vAlign w:val="center"/>
                </w:tcPr>
                <w:p w14:paraId="4CC8FE15">
                  <w:pPr>
                    <w:pStyle w:val="19"/>
                    <w:keepNext/>
                    <w:pageBreakBefore w:val="0"/>
                    <w:widowControl/>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color w:val="auto"/>
                      <w:kern w:val="0"/>
                      <w:sz w:val="21"/>
                      <w:szCs w:val="21"/>
                      <w:highlight w:val="none"/>
                    </w:rPr>
                    <w:t>区域布局管控</w:t>
                  </w:r>
                </w:p>
              </w:tc>
              <w:tc>
                <w:tcPr>
                  <w:tcW w:w="2409" w:type="pct"/>
                  <w:tcBorders>
                    <w:tl2br w:val="nil"/>
                    <w:tr2bl w:val="nil"/>
                  </w:tcBorders>
                  <w:vAlign w:val="center"/>
                </w:tcPr>
                <w:p w14:paraId="7969C10C">
                  <w:pPr>
                    <w:pStyle w:val="19"/>
                    <w:keepNext/>
                    <w:pageBreakBefore w:val="0"/>
                    <w:spacing w:line="240" w:lineRule="auto"/>
                    <w:ind w:firstLine="48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生态保护红线及一般生态空间。全市陆域生态保护红线面积5827.58平方千米，占全市陆域国土面积的31.65%；一般生态空间面积4951.43平方千米。</w:t>
                  </w:r>
                </w:p>
                <w:p w14:paraId="6B84A662">
                  <w:pPr>
                    <w:pStyle w:val="19"/>
                    <w:keepNext/>
                    <w:pageBreakBefore w:val="0"/>
                    <w:spacing w:line="240" w:lineRule="auto"/>
                    <w:ind w:firstLine="48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生态保护红线内自然保护地核心保护区外，禁止开发性、生产性建设活动，在符合法律法规的前提下，仅允许对生态功能不造成破坏的有限人为活动；生态保护红线内自然保护区、风景名胜区、饮用水水源保护区等区域，依照法律法规执行。上述允许的有限人为活动之外，确需占用生态保护红线的国家重大项目，按照有关规定办理用地审批。</w:t>
                  </w:r>
                </w:p>
                <w:p w14:paraId="6EFB29B8">
                  <w:pPr>
                    <w:pStyle w:val="19"/>
                    <w:keepNext/>
                    <w:pageBreakBefore w:val="0"/>
                    <w:spacing w:line="240" w:lineRule="auto"/>
                    <w:ind w:firstLine="480"/>
                    <w:jc w:val="left"/>
                    <w:rPr>
                      <w:rFonts w:hint="default" w:ascii="Times New Roman" w:hAnsi="Times New Roman" w:cs="Times New Roman"/>
                      <w:b/>
                      <w:bCs/>
                      <w:color w:val="auto"/>
                      <w:sz w:val="21"/>
                      <w:szCs w:val="21"/>
                      <w:highlight w:val="none"/>
                    </w:rPr>
                  </w:pPr>
                  <w:r>
                    <w:rPr>
                      <w:rFonts w:hint="default" w:ascii="Times New Roman" w:hAnsi="Times New Roman" w:cs="Times New Roman"/>
                      <w:color w:val="auto"/>
                      <w:sz w:val="21"/>
                      <w:szCs w:val="21"/>
                      <w:highlight w:val="none"/>
                    </w:rPr>
                    <w:t>严格控制涉重金属和高污染高能耗项目建设。新建、扩建石化、化工、焦化、有色金属冶炼、平板玻璃项目应布设在依法合规设立并经规划环评的产业园区。严格控制水污染严重地区和水源保护敏感区域高耗水、高污染行业发展。新丰县东南部（丰城街道、梅坑镇、黄礤镇、马头镇）严控水污染项目建设，新建、改建、扩建涉水建设项目实行主要污染物和特征污染物排放减量替代。环境空气质量一类功能区实施严格保护，禁止新建、扩建排放大气污染物的工业项目（国家和省规定不纳入环评管理的项目除外）。逐步扩大高污染燃料禁燃区范围。</w:t>
                  </w:r>
                </w:p>
              </w:tc>
              <w:tc>
                <w:tcPr>
                  <w:tcW w:w="1554" w:type="pct"/>
                  <w:tcBorders>
                    <w:tl2br w:val="nil"/>
                    <w:tr2bl w:val="nil"/>
                  </w:tcBorders>
                  <w:vAlign w:val="center"/>
                </w:tcPr>
                <w:p w14:paraId="12F34127">
                  <w:pPr>
                    <w:pStyle w:val="19"/>
                    <w:keepNext/>
                    <w:pageBreakBefore w:val="0"/>
                    <w:spacing w:line="240" w:lineRule="auto"/>
                    <w:ind w:firstLine="480"/>
                    <w:jc w:val="both"/>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本项目主要</w:t>
                  </w:r>
                  <w:r>
                    <w:rPr>
                      <w:rFonts w:hint="default" w:ascii="Times New Roman" w:hAnsi="Times New Roman" w:cs="Times New Roman"/>
                      <w:color w:val="auto"/>
                      <w:sz w:val="21"/>
                      <w:szCs w:val="21"/>
                      <w:highlight w:val="none"/>
                      <w:lang w:eastAsia="zh-CN"/>
                    </w:rPr>
                    <w:t>是</w:t>
                  </w:r>
                  <w:r>
                    <w:rPr>
                      <w:rFonts w:hint="default" w:ascii="Times New Roman" w:hAnsi="Times New Roman" w:cs="Times New Roman"/>
                      <w:color w:val="auto"/>
                      <w:highlight w:val="none"/>
                      <w:lang w:val="en-US" w:eastAsia="zh-CN"/>
                    </w:rPr>
                    <w:t>一般工业固体废物分拣、压实</w:t>
                  </w:r>
                  <w:r>
                    <w:rPr>
                      <w:rFonts w:hint="default" w:ascii="Times New Roman" w:hAnsi="Times New Roman" w:cs="Times New Roman"/>
                      <w:color w:val="auto"/>
                      <w:sz w:val="21"/>
                      <w:szCs w:val="21"/>
                      <w:highlight w:val="none"/>
                    </w:rPr>
                    <w:t>，不涉重金属，不属于高污染高耗能行业，项目位于乐昌产业转移工业园，</w:t>
                  </w:r>
                  <w:r>
                    <w:rPr>
                      <w:rFonts w:hint="default" w:ascii="Times New Roman" w:hAnsi="Times New Roman" w:cs="Times New Roman"/>
                      <w:color w:val="auto"/>
                      <w:sz w:val="21"/>
                      <w:szCs w:val="21"/>
                      <w:highlight w:val="none"/>
                      <w:lang w:val="en-US" w:eastAsia="zh-CN"/>
                    </w:rPr>
                    <w:t>不占用</w:t>
                  </w:r>
                  <w:r>
                    <w:rPr>
                      <w:rFonts w:hint="default" w:ascii="Times New Roman" w:hAnsi="Times New Roman" w:cs="Times New Roman"/>
                      <w:color w:val="auto"/>
                      <w:szCs w:val="21"/>
                      <w:highlight w:val="none"/>
                    </w:rPr>
                    <w:t>生态保护红线</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lang w:val="en-US" w:eastAsia="zh-CN"/>
                    </w:rPr>
                    <w:t>与最近</w:t>
                  </w:r>
                  <w:r>
                    <w:rPr>
                      <w:rFonts w:hint="default" w:ascii="Times New Roman" w:hAnsi="Times New Roman" w:cs="Times New Roman"/>
                      <w:color w:val="auto"/>
                      <w:highlight w:val="none"/>
                      <w:lang w:val="en-US" w:eastAsia="zh-CN"/>
                    </w:rPr>
                    <w:t>饮</w:t>
                  </w:r>
                  <w:r>
                    <w:rPr>
                      <w:rFonts w:hint="default" w:ascii="Times New Roman" w:hAnsi="Times New Roman" w:cs="Times New Roman"/>
                      <w:color w:val="auto"/>
                      <w:szCs w:val="21"/>
                      <w:highlight w:val="none"/>
                      <w:lang w:val="en-US" w:eastAsia="zh-CN"/>
                    </w:rPr>
                    <w:t>用水水源保护区：韶关市区武江饮用水水源地准保护区距离约为</w:t>
                  </w:r>
                  <w:r>
                    <w:rPr>
                      <w:rFonts w:hint="eastAsia" w:cs="Times New Roman"/>
                      <w:color w:val="auto"/>
                      <w:szCs w:val="21"/>
                      <w:highlight w:val="none"/>
                      <w:lang w:val="en-US" w:eastAsia="zh-CN"/>
                    </w:rPr>
                    <w:t>4409</w:t>
                  </w:r>
                  <w:r>
                    <w:rPr>
                      <w:rFonts w:hint="default" w:ascii="Times New Roman" w:hAnsi="Times New Roman" w:cs="Times New Roman"/>
                      <w:color w:val="auto"/>
                      <w:szCs w:val="21"/>
                      <w:highlight w:val="none"/>
                      <w:lang w:val="en-US" w:eastAsia="zh-CN"/>
                    </w:rPr>
                    <w:t>m，</w:t>
                  </w:r>
                  <w:r>
                    <w:rPr>
                      <w:rFonts w:hint="default" w:ascii="Times New Roman" w:hAnsi="Times New Roman" w:cs="Times New Roman"/>
                      <w:color w:val="auto"/>
                      <w:sz w:val="21"/>
                      <w:szCs w:val="21"/>
                      <w:highlight w:val="none"/>
                    </w:rPr>
                    <w:t>园区已开展规划环境评价，项目符合园区准入条件。项目所在地属于环境功能二类区、水环境质量达标区</w:t>
                  </w:r>
                  <w:r>
                    <w:rPr>
                      <w:rFonts w:hint="default" w:ascii="Times New Roman" w:hAnsi="Times New Roman" w:cs="Times New Roman"/>
                      <w:color w:val="auto"/>
                      <w:sz w:val="21"/>
                      <w:szCs w:val="21"/>
                      <w:highlight w:val="none"/>
                      <w:lang w:eastAsia="zh-CN"/>
                    </w:rPr>
                    <w:t>。</w:t>
                  </w:r>
                </w:p>
              </w:tc>
              <w:tc>
                <w:tcPr>
                  <w:tcW w:w="261" w:type="pct"/>
                  <w:tcBorders>
                    <w:tl2br w:val="nil"/>
                    <w:tr2bl w:val="nil"/>
                  </w:tcBorders>
                  <w:vAlign w:val="center"/>
                </w:tcPr>
                <w:p w14:paraId="21BBDA30">
                  <w:pPr>
                    <w:pStyle w:val="19"/>
                    <w:keepNext/>
                    <w:pageBreakBefore w:val="0"/>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color w:val="auto"/>
                      <w:sz w:val="21"/>
                      <w:szCs w:val="21"/>
                      <w:highlight w:val="none"/>
                    </w:rPr>
                    <w:t>符合</w:t>
                  </w:r>
                </w:p>
              </w:tc>
            </w:tr>
            <w:tr w14:paraId="1F278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207" w:type="pct"/>
                  <w:vMerge w:val="continue"/>
                  <w:tcBorders>
                    <w:tl2br w:val="nil"/>
                    <w:tr2bl w:val="nil"/>
                  </w:tcBorders>
                  <w:vAlign w:val="center"/>
                </w:tcPr>
                <w:p w14:paraId="1EE80D98">
                  <w:pPr>
                    <w:pStyle w:val="19"/>
                    <w:keepNext/>
                    <w:pageBreakBefore w:val="0"/>
                    <w:spacing w:line="240" w:lineRule="auto"/>
                    <w:ind w:firstLine="480"/>
                    <w:jc w:val="center"/>
                    <w:rPr>
                      <w:rFonts w:hint="default" w:ascii="Times New Roman" w:hAnsi="Times New Roman" w:cs="Times New Roman"/>
                      <w:b/>
                      <w:bCs/>
                      <w:color w:val="auto"/>
                      <w:sz w:val="21"/>
                      <w:szCs w:val="21"/>
                      <w:highlight w:val="none"/>
                    </w:rPr>
                  </w:pPr>
                </w:p>
              </w:tc>
              <w:tc>
                <w:tcPr>
                  <w:tcW w:w="567" w:type="pct"/>
                  <w:tcBorders>
                    <w:tl2br w:val="nil"/>
                    <w:tr2bl w:val="nil"/>
                  </w:tcBorders>
                  <w:vAlign w:val="center"/>
                </w:tcPr>
                <w:p w14:paraId="184B7031">
                  <w:pPr>
                    <w:pStyle w:val="19"/>
                    <w:keepNext/>
                    <w:pageBreakBefore w:val="0"/>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能源资源利用</w:t>
                  </w:r>
                </w:p>
              </w:tc>
              <w:tc>
                <w:tcPr>
                  <w:tcW w:w="2409" w:type="pct"/>
                  <w:tcBorders>
                    <w:tl2br w:val="nil"/>
                    <w:tr2bl w:val="nil"/>
                  </w:tcBorders>
                  <w:vAlign w:val="center"/>
                </w:tcPr>
                <w:p w14:paraId="7482906D">
                  <w:pPr>
                    <w:pStyle w:val="19"/>
                    <w:keepNext/>
                    <w:pageBreakBefore w:val="0"/>
                    <w:spacing w:line="240" w:lineRule="auto"/>
                    <w:ind w:firstLine="480"/>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积极落实国家、省制定的碳达峰碳中和目标任务，制定并落实碳达峰与碳减排工作计划、行动方案，综合运用相关政策工具和手段措施，持续推动实施。进一步优化调整能源结构，发展以光伏全产业链为龙头的风光氢等多元化可再生清洁能源产业，提高可再生能源发电装机占比，推动电力源网荷储一体化和多能互补。实行能源消费强度与消费总量“双控”制度。抓好电力、建材、冶炼等重点耗能行业的节能降耗工作，推动单位GDP能源消耗、单位GDP二氧化碳排放持续下降。鼓励使用天然气及可再生能源，县级及以上城市建成区，禁止新建每小时35蒸吨以下燃煤锅炉。原则上不再新建小水电以及除国家和省规划外的风电项目，对不符合生态环境要求的小水电进行清理整改。严格落实东江、北江流域等重要控制断面生态流量保障目标。加强城市节水，提高水资源的利用效率和效益。严格矿产资源开发准入管理，从严控制矿产资源开发总量和综合利用标准。加强矿产资源规划管理，提高矿产资源开发利用效率，推动矿产资源开发合理布局和节约集约利用。推进大宝山、凡口矿等矿山企业转型升级，打造国家级绿色矿山。全市矿山企业在2025年前全部达到绿色矿山标准。</w:t>
                  </w:r>
                </w:p>
              </w:tc>
              <w:tc>
                <w:tcPr>
                  <w:tcW w:w="1554" w:type="pct"/>
                  <w:tcBorders>
                    <w:tl2br w:val="nil"/>
                    <w:tr2bl w:val="nil"/>
                  </w:tcBorders>
                  <w:vAlign w:val="center"/>
                </w:tcPr>
                <w:p w14:paraId="7242642A">
                  <w:pPr>
                    <w:pStyle w:val="19"/>
                    <w:keepNext/>
                    <w:pageBreakBefore w:val="0"/>
                    <w:spacing w:line="24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w:t>
                  </w:r>
                  <w:r>
                    <w:rPr>
                      <w:rFonts w:hint="eastAsia" w:cs="Times New Roman"/>
                      <w:color w:val="auto"/>
                      <w:sz w:val="21"/>
                      <w:szCs w:val="21"/>
                      <w:highlight w:val="none"/>
                      <w:lang w:val="en-US" w:eastAsia="zh-CN"/>
                    </w:rPr>
                    <w:t>主要是</w:t>
                  </w:r>
                  <w:r>
                    <w:rPr>
                      <w:rFonts w:hint="default" w:ascii="Times New Roman" w:hAnsi="Times New Roman" w:cs="Times New Roman"/>
                      <w:color w:val="auto"/>
                      <w:sz w:val="21"/>
                      <w:szCs w:val="21"/>
                      <w:highlight w:val="none"/>
                      <w:lang w:eastAsia="zh-CN"/>
                    </w:rPr>
                    <w:t>一般工业固体废物分拣、压实</w:t>
                  </w:r>
                  <w:r>
                    <w:rPr>
                      <w:rFonts w:hint="default" w:ascii="Times New Roman" w:hAnsi="Times New Roman" w:cs="Times New Roman"/>
                      <w:color w:val="auto"/>
                      <w:sz w:val="21"/>
                      <w:szCs w:val="21"/>
                      <w:highlight w:val="none"/>
                    </w:rPr>
                    <w:t>，不属于电力、建材、冶炼等重点耗能行业，不涉及水电、风电、矿产资源开发。项目能源使用</w:t>
                  </w:r>
                  <w:r>
                    <w:rPr>
                      <w:rFonts w:hint="default" w:ascii="Times New Roman" w:hAnsi="Times New Roman" w:cs="Times New Roman"/>
                      <w:color w:val="auto"/>
                      <w:sz w:val="21"/>
                      <w:szCs w:val="21"/>
                      <w:highlight w:val="none"/>
                      <w:lang w:val="en-US" w:eastAsia="zh-CN"/>
                    </w:rPr>
                    <w:t>电源</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电源</w:t>
                  </w:r>
                  <w:r>
                    <w:rPr>
                      <w:rFonts w:hint="default" w:ascii="Times New Roman" w:hAnsi="Times New Roman" w:cs="Times New Roman"/>
                      <w:color w:val="auto"/>
                      <w:sz w:val="21"/>
                      <w:szCs w:val="21"/>
                      <w:highlight w:val="none"/>
                    </w:rPr>
                    <w:t>属于清洁能源。</w:t>
                  </w:r>
                </w:p>
              </w:tc>
              <w:tc>
                <w:tcPr>
                  <w:tcW w:w="261" w:type="pct"/>
                  <w:tcBorders>
                    <w:tl2br w:val="nil"/>
                    <w:tr2bl w:val="nil"/>
                  </w:tcBorders>
                  <w:vAlign w:val="center"/>
                </w:tcPr>
                <w:p w14:paraId="59C11451">
                  <w:pPr>
                    <w:pStyle w:val="19"/>
                    <w:keepNext/>
                    <w:pageBreakBefore w:val="0"/>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color w:val="auto"/>
                      <w:sz w:val="21"/>
                      <w:szCs w:val="21"/>
                      <w:highlight w:val="none"/>
                    </w:rPr>
                    <w:t>符合</w:t>
                  </w:r>
                </w:p>
              </w:tc>
            </w:tr>
            <w:tr w14:paraId="48FE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207" w:type="pct"/>
                  <w:vMerge w:val="continue"/>
                  <w:tcBorders>
                    <w:tl2br w:val="nil"/>
                    <w:tr2bl w:val="nil"/>
                  </w:tcBorders>
                  <w:vAlign w:val="center"/>
                </w:tcPr>
                <w:p w14:paraId="1F61CC1D">
                  <w:pPr>
                    <w:pStyle w:val="19"/>
                    <w:keepNext/>
                    <w:pageBreakBefore w:val="0"/>
                    <w:spacing w:line="240" w:lineRule="auto"/>
                    <w:ind w:firstLine="480"/>
                    <w:jc w:val="center"/>
                    <w:rPr>
                      <w:rFonts w:hint="default" w:ascii="Times New Roman" w:hAnsi="Times New Roman" w:cs="Times New Roman"/>
                      <w:b/>
                      <w:bCs/>
                      <w:color w:val="auto"/>
                      <w:sz w:val="21"/>
                      <w:szCs w:val="21"/>
                      <w:highlight w:val="none"/>
                    </w:rPr>
                  </w:pPr>
                </w:p>
              </w:tc>
              <w:tc>
                <w:tcPr>
                  <w:tcW w:w="567" w:type="pct"/>
                  <w:tcBorders>
                    <w:tl2br w:val="nil"/>
                    <w:tr2bl w:val="nil"/>
                  </w:tcBorders>
                  <w:vAlign w:val="center"/>
                </w:tcPr>
                <w:p w14:paraId="79FF22F9">
                  <w:pPr>
                    <w:pStyle w:val="19"/>
                    <w:keepNext/>
                    <w:pageBreakBefore w:val="0"/>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val="0"/>
                      <w:bCs w:val="0"/>
                      <w:color w:val="auto"/>
                      <w:sz w:val="21"/>
                      <w:szCs w:val="21"/>
                      <w:highlight w:val="none"/>
                    </w:rPr>
                    <w:t>污染物排放管控</w:t>
                  </w:r>
                </w:p>
              </w:tc>
              <w:tc>
                <w:tcPr>
                  <w:tcW w:w="2409" w:type="pct"/>
                  <w:tcBorders>
                    <w:tl2br w:val="nil"/>
                    <w:tr2bl w:val="nil"/>
                  </w:tcBorders>
                  <w:vAlign w:val="center"/>
                </w:tcPr>
                <w:p w14:paraId="007ABC70">
                  <w:pPr>
                    <w:pStyle w:val="19"/>
                    <w:keepNext/>
                    <w:pageBreakBefore w:val="0"/>
                    <w:spacing w:line="240" w:lineRule="auto"/>
                    <w:ind w:firstLine="480"/>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深入实施重点污染物总量控制。“十四五”期间重点污染物排放总量在现有基础上持续减少。优化总量分配和调控机制，重点污染物排放总量指标优先向重点建设项目、重点工业园区、战略性产业集群倾斜。新建“两高”项目应配套区域主要污染物削减方案，采取有效的主要污染物区域削减措施，腾出足够的环境容量。新建项目原则上实施氮氧化物（NOx）和挥发性有机物（VOCs）等量替代，推动钢铁行业执行大气污染物超低排放标准。新建、改建、扩建造纸、焦化、有色金属、印染、农副食品加工、原料药制造、制革、农药、电镀等行业建设项目实行主要水体污染物排放等量替代。实施低挥发性有机物（VOCs）含量产品源头替代工程。全面加强无组织排放控制，深入实施精细化治理。推进溶剂使用及挥发性有机液体储运销环节的减排，全过程实施反应活性物质、有毒有害物质、恶臭物质的协同控制。对VOCs重点企业实施分级和清单化管控，将全面使用低VOCs含量原辅材料的企业纳入正面清单和政府绿色采购清单。</w:t>
                  </w:r>
                </w:p>
                <w:p w14:paraId="3ABEB308">
                  <w:pPr>
                    <w:pStyle w:val="19"/>
                    <w:keepNext/>
                    <w:pageBreakBefore w:val="0"/>
                    <w:spacing w:line="240" w:lineRule="auto"/>
                    <w:ind w:firstLine="480"/>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北江流域实行重金属污染物排放总量控制。新建、改建、扩建的项目严格实行重金属等特征污染物排放减量替代。加强“三矿两厂”等日常监督，在重点防控区域内新建、改建、扩建增加重金属污染物排放总量的建设项目应通过实施区域削减，实现增产减污。凡口铅锌矿及其周边区域（仁化县董塘镇）、大宝山矿及其周边区域（曲江区沙溪镇、翁源县铁龙镇）严格执行部分重金属水污染物特别排放限值的相关规定。</w:t>
                  </w:r>
                </w:p>
                <w:p w14:paraId="40F55C8A">
                  <w:pPr>
                    <w:pStyle w:val="19"/>
                    <w:keepNext/>
                    <w:pageBreakBefore w:val="0"/>
                    <w:spacing w:line="240" w:lineRule="auto"/>
                    <w:ind w:firstLine="480"/>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饮用水水源保护区全面加强水源涵养，强化源头控制，禁止新建排污口，严格防范水源污染风险，切实保障饮用水安全，一级保护区内禁止新建、改建、扩建与供水设施和保护水源无关的建设项目：二级保护区内禁止新建、改建、扩建排放污染物的建设项目。饮用水水源准保护区内禁止新建、扩建对水体污染严重的建设项目。</w:t>
                  </w:r>
                </w:p>
                <w:p w14:paraId="672070F2">
                  <w:pPr>
                    <w:pStyle w:val="19"/>
                    <w:keepNext/>
                    <w:pageBreakBefore w:val="0"/>
                    <w:spacing w:line="240" w:lineRule="auto"/>
                    <w:ind w:firstLine="480"/>
                    <w:jc w:val="left"/>
                    <w:rPr>
                      <w:rFonts w:hint="default" w:ascii="Times New Roman" w:hAnsi="Times New Roman" w:cs="Times New Roman"/>
                      <w:b/>
                      <w:bCs/>
                      <w:color w:val="auto"/>
                      <w:sz w:val="21"/>
                      <w:szCs w:val="21"/>
                      <w:highlight w:val="none"/>
                    </w:rPr>
                  </w:pPr>
                  <w:r>
                    <w:rPr>
                      <w:rFonts w:hint="default" w:ascii="Times New Roman" w:hAnsi="Times New Roman" w:cs="Times New Roman"/>
                      <w:color w:val="auto"/>
                      <w:sz w:val="21"/>
                      <w:szCs w:val="21"/>
                      <w:highlight w:val="none"/>
                    </w:rPr>
                    <w:t>完善污水处理厂配套管网建设，切实提高运行负荷。强化城中村、老旧城区和城乡结合部污水截流、收集。现有合流制排水系统应加快实施雨污分流改造，加快镇级生活污水处理设施及配套管网建设，因地制宜建设农村生活污水处理设施。加强农业面源污染治理，实施种植业“肥药双控”；严格禁养区管理，加强养殖污染防治，加强畜禽养殖废弃物资源化利用。</w:t>
                  </w:r>
                </w:p>
              </w:tc>
              <w:tc>
                <w:tcPr>
                  <w:tcW w:w="1554" w:type="pct"/>
                  <w:tcBorders>
                    <w:tl2br w:val="nil"/>
                    <w:tr2bl w:val="nil"/>
                  </w:tcBorders>
                  <w:vAlign w:val="center"/>
                </w:tcPr>
                <w:p w14:paraId="731B54B9">
                  <w:pPr>
                    <w:pStyle w:val="19"/>
                    <w:keepNext/>
                    <w:pageBreakBefore w:val="0"/>
                    <w:spacing w:line="24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本项目主要</w:t>
                  </w:r>
                  <w:r>
                    <w:rPr>
                      <w:rFonts w:hint="default" w:ascii="Times New Roman" w:hAnsi="Times New Roman" w:cs="Times New Roman"/>
                      <w:color w:val="auto"/>
                      <w:sz w:val="21"/>
                      <w:szCs w:val="21"/>
                      <w:highlight w:val="none"/>
                      <w:lang w:eastAsia="zh-CN"/>
                    </w:rPr>
                    <w:t>是</w:t>
                  </w:r>
                  <w:r>
                    <w:rPr>
                      <w:rFonts w:hint="default" w:ascii="Times New Roman" w:hAnsi="Times New Roman" w:cs="Times New Roman"/>
                      <w:color w:val="auto"/>
                      <w:highlight w:val="none"/>
                      <w:lang w:val="en-US" w:eastAsia="zh-CN"/>
                    </w:rPr>
                    <w:t>一般工业固体废物分拣、压实</w:t>
                  </w:r>
                  <w:r>
                    <w:rPr>
                      <w:rFonts w:hint="default" w:ascii="Times New Roman" w:hAnsi="Times New Roman" w:cs="Times New Roman"/>
                      <w:color w:val="auto"/>
                      <w:sz w:val="21"/>
                      <w:szCs w:val="21"/>
                      <w:highlight w:val="none"/>
                    </w:rPr>
                    <w:t>，不属于造纸、焦化、有色金属、印染、农副食品加工、原料药制造、制革、农药、电镀等行业，不属于“两高”项目。</w:t>
                  </w:r>
                  <w:r>
                    <w:rPr>
                      <w:rFonts w:hint="default" w:ascii="Times New Roman" w:hAnsi="Times New Roman" w:cs="Times New Roman"/>
                      <w:color w:val="auto"/>
                      <w:sz w:val="21"/>
                      <w:szCs w:val="21"/>
                      <w:highlight w:val="none"/>
                      <w:lang w:val="en-US" w:eastAsia="zh-CN"/>
                    </w:rPr>
                    <w:t>项目产生的废气为颗粒物、</w:t>
                  </w:r>
                  <w:r>
                    <w:rPr>
                      <w:rFonts w:hint="eastAsia" w:cs="Times New Roman"/>
                      <w:color w:val="auto"/>
                      <w:sz w:val="21"/>
                      <w:szCs w:val="21"/>
                      <w:highlight w:val="none"/>
                      <w:lang w:val="en-US" w:eastAsia="zh-CN"/>
                    </w:rPr>
                    <w:t>臭气</w:t>
                  </w:r>
                  <w:r>
                    <w:rPr>
                      <w:rFonts w:hint="default" w:ascii="Times New Roman" w:hAnsi="Times New Roman" w:cs="Times New Roman"/>
                      <w:color w:val="auto"/>
                      <w:sz w:val="21"/>
                      <w:szCs w:val="21"/>
                      <w:highlight w:val="none"/>
                    </w:rPr>
                    <w:t>。项目所在地不涉及饮用水水源保护区，</w:t>
                  </w:r>
                  <w:r>
                    <w:rPr>
                      <w:rFonts w:hint="eastAsia" w:cs="Times New Roman"/>
                      <w:color w:val="auto"/>
                      <w:sz w:val="21"/>
                      <w:szCs w:val="21"/>
                      <w:highlight w:val="none"/>
                      <w:lang w:val="en-US" w:eastAsia="zh-CN"/>
                    </w:rPr>
                    <w:t>且本项目不设卫生间，无生活废水、生产废水产生</w:t>
                  </w:r>
                  <w:r>
                    <w:rPr>
                      <w:rFonts w:hint="default" w:ascii="Times New Roman" w:hAnsi="Times New Roman" w:cs="Times New Roman"/>
                      <w:color w:val="auto"/>
                      <w:sz w:val="21"/>
                      <w:szCs w:val="21"/>
                      <w:highlight w:val="none"/>
                    </w:rPr>
                    <w:t>。</w:t>
                  </w:r>
                </w:p>
              </w:tc>
              <w:tc>
                <w:tcPr>
                  <w:tcW w:w="261" w:type="pct"/>
                  <w:tcBorders>
                    <w:tl2br w:val="nil"/>
                    <w:tr2bl w:val="nil"/>
                  </w:tcBorders>
                  <w:vAlign w:val="center"/>
                </w:tcPr>
                <w:p w14:paraId="7B68438C">
                  <w:pPr>
                    <w:pStyle w:val="19"/>
                    <w:keepNext/>
                    <w:pageBreakBefore w:val="0"/>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color w:val="auto"/>
                      <w:sz w:val="21"/>
                      <w:szCs w:val="21"/>
                      <w:highlight w:val="none"/>
                    </w:rPr>
                    <w:t>符合</w:t>
                  </w:r>
                </w:p>
              </w:tc>
            </w:tr>
            <w:tr w14:paraId="112E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207" w:type="pct"/>
                  <w:vMerge w:val="continue"/>
                  <w:tcBorders>
                    <w:tl2br w:val="nil"/>
                    <w:tr2bl w:val="nil"/>
                  </w:tcBorders>
                  <w:vAlign w:val="center"/>
                </w:tcPr>
                <w:p w14:paraId="7A11CF92">
                  <w:pPr>
                    <w:pStyle w:val="19"/>
                    <w:keepNext/>
                    <w:pageBreakBefore w:val="0"/>
                    <w:spacing w:line="240" w:lineRule="auto"/>
                    <w:ind w:firstLine="480"/>
                    <w:jc w:val="center"/>
                    <w:rPr>
                      <w:rFonts w:hint="default" w:ascii="Times New Roman" w:hAnsi="Times New Roman" w:cs="Times New Roman"/>
                      <w:color w:val="auto"/>
                      <w:sz w:val="21"/>
                      <w:szCs w:val="21"/>
                      <w:highlight w:val="none"/>
                    </w:rPr>
                  </w:pPr>
                </w:p>
              </w:tc>
              <w:tc>
                <w:tcPr>
                  <w:tcW w:w="567" w:type="pct"/>
                  <w:tcBorders>
                    <w:tl2br w:val="nil"/>
                    <w:tr2bl w:val="nil"/>
                  </w:tcBorders>
                  <w:vAlign w:val="center"/>
                </w:tcPr>
                <w:p w14:paraId="7E35988A">
                  <w:pPr>
                    <w:pStyle w:val="19"/>
                    <w:keepNext/>
                    <w:pageBreakBefore w:val="0"/>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环境风险管控</w:t>
                  </w:r>
                </w:p>
              </w:tc>
              <w:tc>
                <w:tcPr>
                  <w:tcW w:w="2409" w:type="pct"/>
                  <w:tcBorders>
                    <w:tl2br w:val="nil"/>
                    <w:tr2bl w:val="nil"/>
                  </w:tcBorders>
                  <w:vAlign w:val="center"/>
                </w:tcPr>
                <w:p w14:paraId="7545C116">
                  <w:pPr>
                    <w:pStyle w:val="19"/>
                    <w:keepNext/>
                    <w:pageBreakBefore w:val="0"/>
                    <w:spacing w:line="240" w:lineRule="auto"/>
                    <w:ind w:firstLine="480"/>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加强北江、东江干流沿岸以及饮用水水源地环境风险防控。严格控制沿岸石油加工、化学原料和化学制品制造、有色金属冶炼、纺织印染等项目环境风险。强化地表水、地下水和土壤污染风险协同防控，建立完善突发环境事件应急管理体系，全面排查“千吨万人”饮用水水源地周边环境问题并及时开展专项整治，保障饮用水水源地安全。重点加强环境风险分级分类管控，建立全市环境风险源在线监控预警系统，强化化工企业、涉重金属行业、工业园区和尾矿库等重点环境风险源的环境风险防控。构建企业、园区和区域三级环境风险防控联动体系，增强园区风险防控能力。园区管理机构应定期开展环境风险评估，编制完善综合环境应急预案并备案，整合应急资源，储备环境应急物资及装备，定期组织开展应急演练，全面提升园区突发环境事件应急处理能力。持续推进土壤环境风险管控工作。实行农用地分类分级安全利用，有效提升农用地土地资源开发利用率，依法划定特定农作物禁止种植区域，严格按照耕地土壤环境质量类别划分成果对耕地实施安全利用，防范农产品重金属含量超标风险。加强建设用地准入管理，规范受污染建设用地地块再开发。加强尾矿库的环境风险排查与防范。加强金属矿采选、金属冶炼企业的重金属污染风险防控。强化选矿废水治理设施的升级改造，选矿废水原则上回用不外排。全力避免因各类安全事故（事件）引发的次生环境风险事故（事件）。</w:t>
                  </w:r>
                </w:p>
              </w:tc>
              <w:tc>
                <w:tcPr>
                  <w:tcW w:w="1554" w:type="pct"/>
                  <w:tcBorders>
                    <w:tl2br w:val="nil"/>
                    <w:tr2bl w:val="nil"/>
                  </w:tcBorders>
                  <w:vAlign w:val="center"/>
                </w:tcPr>
                <w:p w14:paraId="7366D110">
                  <w:pPr>
                    <w:pStyle w:val="19"/>
                    <w:keepNext/>
                    <w:pageBreakBefore w:val="0"/>
                    <w:spacing w:line="24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石油加工、化学原料和化学制品制造、有色金属冶炼、纺织印染行业，不涉及饮用水水源地，本项目制定有效的事故风险防范和应急措施，为防范污染事故发生，并避免发生事故对周围环境造成污染，确保环境安全。项目符合环境风险防控要求。</w:t>
                  </w:r>
                </w:p>
              </w:tc>
              <w:tc>
                <w:tcPr>
                  <w:tcW w:w="261" w:type="pct"/>
                  <w:tcBorders>
                    <w:tl2br w:val="nil"/>
                    <w:tr2bl w:val="nil"/>
                  </w:tcBorders>
                  <w:vAlign w:val="center"/>
                </w:tcPr>
                <w:p w14:paraId="464FED4A">
                  <w:pPr>
                    <w:pStyle w:val="19"/>
                    <w:keepNext/>
                    <w:pageBreakBefore w:val="0"/>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76130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207" w:type="pct"/>
                  <w:vMerge w:val="restart"/>
                  <w:tcBorders>
                    <w:tl2br w:val="nil"/>
                    <w:tr2bl w:val="nil"/>
                  </w:tcBorders>
                  <w:vAlign w:val="center"/>
                </w:tcPr>
                <w:p w14:paraId="7A863F02">
                  <w:pPr>
                    <w:pStyle w:val="19"/>
                    <w:keepNext/>
                    <w:pageBreakBefore w:val="0"/>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生态环境准入清单</w:t>
                  </w:r>
                </w:p>
              </w:tc>
              <w:tc>
                <w:tcPr>
                  <w:tcW w:w="567" w:type="pct"/>
                  <w:tcBorders>
                    <w:tl2br w:val="nil"/>
                    <w:tr2bl w:val="nil"/>
                  </w:tcBorders>
                  <w:vAlign w:val="center"/>
                </w:tcPr>
                <w:p w14:paraId="45EABCEA">
                  <w:pPr>
                    <w:pStyle w:val="19"/>
                    <w:keepNext/>
                    <w:pageBreakBefore w:val="0"/>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区域布局管控</w:t>
                  </w:r>
                </w:p>
              </w:tc>
              <w:tc>
                <w:tcPr>
                  <w:tcW w:w="2409" w:type="pct"/>
                  <w:tcBorders>
                    <w:tl2br w:val="nil"/>
                    <w:tr2bl w:val="nil"/>
                  </w:tcBorders>
                  <w:vAlign w:val="center"/>
                </w:tcPr>
                <w:p w14:paraId="1D89928C">
                  <w:pPr>
                    <w:pStyle w:val="19"/>
                    <w:keepNext/>
                    <w:pageBreakBefore w:val="0"/>
                    <w:spacing w:line="240" w:lineRule="auto"/>
                    <w:ind w:firstLine="480"/>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1-1.【产业/鼓励引导类】重点发展现代轻工产业（消费电子等）、先进装备制造业等产业，优先引进无污染物或轻污染项目。</w:t>
                  </w:r>
                </w:p>
                <w:p w14:paraId="2E5BEE3A">
                  <w:pPr>
                    <w:pStyle w:val="19"/>
                    <w:keepNext/>
                    <w:pageBreakBefore w:val="0"/>
                    <w:spacing w:line="240" w:lineRule="auto"/>
                    <w:ind w:firstLine="480"/>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1-2.【产业/禁止类】园区禁止引入专业电镀、化学制浆、鞣革等水污染物排放量大或排放一类污染物、持久性有机污染物的项目。</w:t>
                  </w:r>
                </w:p>
                <w:p w14:paraId="0C4DDA32">
                  <w:pPr>
                    <w:pStyle w:val="19"/>
                    <w:keepNext/>
                    <w:pageBreakBefore w:val="0"/>
                    <w:spacing w:line="240" w:lineRule="auto"/>
                    <w:ind w:firstLine="480"/>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1-3.【产业/限制类】严格限制不符合园区发展定位的项目入驻。</w:t>
                  </w:r>
                </w:p>
                <w:p w14:paraId="17C4C468">
                  <w:pPr>
                    <w:pStyle w:val="19"/>
                    <w:keepNext/>
                    <w:pageBreakBefore w:val="0"/>
                    <w:spacing w:line="240" w:lineRule="auto"/>
                    <w:ind w:firstLine="480"/>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1-4.【产业/综合类】居民区、学校等环境敏感点邻近地块优先布局废气排放量小、工业噪声影响小的产业。</w:t>
                  </w:r>
                </w:p>
              </w:tc>
              <w:tc>
                <w:tcPr>
                  <w:tcW w:w="1554" w:type="pct"/>
                  <w:tcBorders>
                    <w:tl2br w:val="nil"/>
                    <w:tr2bl w:val="nil"/>
                  </w:tcBorders>
                  <w:vAlign w:val="center"/>
                </w:tcPr>
                <w:p w14:paraId="75587CA3">
                  <w:pPr>
                    <w:pStyle w:val="19"/>
                    <w:keepNext/>
                    <w:pageBreakBefore w:val="0"/>
                    <w:spacing w:line="240" w:lineRule="auto"/>
                    <w:ind w:firstLine="48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本项目主要</w:t>
                  </w:r>
                  <w:r>
                    <w:rPr>
                      <w:rFonts w:hint="default" w:ascii="Times New Roman" w:hAnsi="Times New Roman" w:cs="Times New Roman"/>
                      <w:color w:val="auto"/>
                      <w:sz w:val="21"/>
                      <w:szCs w:val="21"/>
                      <w:highlight w:val="none"/>
                      <w:lang w:eastAsia="zh-CN"/>
                    </w:rPr>
                    <w:t>是</w:t>
                  </w:r>
                  <w:r>
                    <w:rPr>
                      <w:rFonts w:hint="default" w:ascii="Times New Roman" w:hAnsi="Times New Roman" w:cs="Times New Roman"/>
                      <w:color w:val="auto"/>
                      <w:highlight w:val="none"/>
                      <w:lang w:val="en-US" w:eastAsia="zh-CN"/>
                    </w:rPr>
                    <w:t>一般工业固体废物分拣、压实</w:t>
                  </w:r>
                  <w:r>
                    <w:rPr>
                      <w:rFonts w:hint="default" w:ascii="Times New Roman" w:hAnsi="Times New Roman" w:cs="Times New Roman"/>
                      <w:color w:val="auto"/>
                      <w:sz w:val="21"/>
                      <w:szCs w:val="21"/>
                      <w:highlight w:val="none"/>
                    </w:rPr>
                    <w:t>，不属于专业电镀、化学制浆、鞣革等水污染物排放量大或排放一类污染物、持久性有机污染物的项目；项目符合园区发展定位；周边无居民区、学校等敏感点。</w:t>
                  </w:r>
                </w:p>
              </w:tc>
              <w:tc>
                <w:tcPr>
                  <w:tcW w:w="261" w:type="pct"/>
                  <w:tcBorders>
                    <w:tl2br w:val="nil"/>
                    <w:tr2bl w:val="nil"/>
                  </w:tcBorders>
                  <w:vAlign w:val="center"/>
                </w:tcPr>
                <w:p w14:paraId="0BE92EBF">
                  <w:pPr>
                    <w:pStyle w:val="19"/>
                    <w:keepNext/>
                    <w:pageBreakBefore w:val="0"/>
                    <w:spacing w:line="240" w:lineRule="auto"/>
                    <w:ind w:right="86" w:rightChars="36"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64F5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207" w:type="pct"/>
                  <w:vMerge w:val="continue"/>
                  <w:tcBorders>
                    <w:tl2br w:val="nil"/>
                    <w:tr2bl w:val="nil"/>
                  </w:tcBorders>
                  <w:vAlign w:val="center"/>
                </w:tcPr>
                <w:p w14:paraId="755070D8">
                  <w:pPr>
                    <w:pStyle w:val="19"/>
                    <w:keepNext/>
                    <w:pageBreakBefore w:val="0"/>
                    <w:spacing w:line="240" w:lineRule="auto"/>
                    <w:ind w:firstLine="480"/>
                    <w:jc w:val="center"/>
                    <w:rPr>
                      <w:rFonts w:hint="default" w:ascii="Times New Roman" w:hAnsi="Times New Roman" w:cs="Times New Roman"/>
                      <w:color w:val="auto"/>
                      <w:sz w:val="21"/>
                      <w:szCs w:val="21"/>
                      <w:highlight w:val="none"/>
                    </w:rPr>
                  </w:pPr>
                </w:p>
              </w:tc>
              <w:tc>
                <w:tcPr>
                  <w:tcW w:w="567" w:type="pct"/>
                  <w:tcBorders>
                    <w:tl2br w:val="nil"/>
                    <w:tr2bl w:val="nil"/>
                  </w:tcBorders>
                  <w:vAlign w:val="center"/>
                </w:tcPr>
                <w:p w14:paraId="45173DC1">
                  <w:pPr>
                    <w:pStyle w:val="19"/>
                    <w:keepNext/>
                    <w:pageBreakBefore w:val="0"/>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能源资源利用</w:t>
                  </w:r>
                </w:p>
              </w:tc>
              <w:tc>
                <w:tcPr>
                  <w:tcW w:w="2409" w:type="pct"/>
                  <w:tcBorders>
                    <w:tl2br w:val="nil"/>
                    <w:tr2bl w:val="nil"/>
                  </w:tcBorders>
                  <w:vAlign w:val="center"/>
                </w:tcPr>
                <w:p w14:paraId="058D344A">
                  <w:pPr>
                    <w:pStyle w:val="19"/>
                    <w:keepNext/>
                    <w:pageBreakBefore w:val="0"/>
                    <w:spacing w:line="240" w:lineRule="auto"/>
                    <w:ind w:firstLine="480"/>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2-1.【能源/鼓励引导类】园区内能源结构应以电能、燃气等清洁能源为主。</w:t>
                  </w:r>
                </w:p>
                <w:p w14:paraId="25638912">
                  <w:pPr>
                    <w:pStyle w:val="19"/>
                    <w:keepNext/>
                    <w:pageBreakBefore w:val="0"/>
                    <w:spacing w:line="240" w:lineRule="auto"/>
                    <w:ind w:firstLine="480"/>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2-2.【水资源/综合类】提高园区水资源利用效率，加快中水回用系统建设。</w:t>
                  </w:r>
                </w:p>
                <w:p w14:paraId="3AD567CB">
                  <w:pPr>
                    <w:pStyle w:val="19"/>
                    <w:keepNext/>
                    <w:pageBreakBefore w:val="0"/>
                    <w:spacing w:line="240" w:lineRule="auto"/>
                    <w:ind w:firstLine="480"/>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2-3.【其他/综合类】有行业清洁生产标准的新引进项目清洁生产水平须达到本行业国内先进水平。</w:t>
                  </w:r>
                </w:p>
              </w:tc>
              <w:tc>
                <w:tcPr>
                  <w:tcW w:w="1554" w:type="pct"/>
                  <w:tcBorders>
                    <w:tl2br w:val="nil"/>
                    <w:tr2bl w:val="nil"/>
                  </w:tcBorders>
                  <w:vAlign w:val="center"/>
                </w:tcPr>
                <w:p w14:paraId="4AE25383">
                  <w:pPr>
                    <w:pStyle w:val="19"/>
                    <w:keepNext/>
                    <w:pageBreakBefore w:val="0"/>
                    <w:spacing w:line="24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w:t>
                  </w:r>
                  <w:r>
                    <w:rPr>
                      <w:rFonts w:hint="default" w:ascii="Times New Roman" w:hAnsi="Times New Roman" w:cs="Times New Roman"/>
                      <w:color w:val="auto"/>
                      <w:sz w:val="21"/>
                      <w:szCs w:val="21"/>
                      <w:highlight w:val="none"/>
                      <w:lang w:eastAsia="zh-CN"/>
                    </w:rPr>
                    <w:t>是</w:t>
                  </w:r>
                  <w:r>
                    <w:rPr>
                      <w:rFonts w:hint="default" w:ascii="Times New Roman" w:hAnsi="Times New Roman" w:cs="Times New Roman"/>
                      <w:color w:val="auto"/>
                      <w:highlight w:val="none"/>
                      <w:lang w:val="en-US" w:eastAsia="zh-CN"/>
                    </w:rPr>
                    <w:t>一般工业固体废物分拣、压实</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项目产生的废气</w:t>
                  </w:r>
                  <w:r>
                    <w:rPr>
                      <w:rFonts w:hint="eastAsia" w:cs="Times New Roman"/>
                      <w:color w:val="auto"/>
                      <w:sz w:val="21"/>
                      <w:szCs w:val="21"/>
                      <w:highlight w:val="none"/>
                      <w:lang w:val="en-US" w:eastAsia="zh-CN"/>
                    </w:rPr>
                    <w:t>通过无组织形式</w:t>
                  </w:r>
                  <w:r>
                    <w:rPr>
                      <w:rFonts w:hint="default" w:ascii="Times New Roman" w:hAnsi="Times New Roman" w:cs="Times New Roman"/>
                      <w:color w:val="auto"/>
                      <w:sz w:val="21"/>
                      <w:szCs w:val="21"/>
                      <w:highlight w:val="none"/>
                      <w:lang w:val="en-US" w:eastAsia="zh-CN"/>
                    </w:rPr>
                    <w:t>排放</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本项目无生产废水产生，且不设卫生间，员工如厕依托乐昌市华轩针织制衣有限公司，产生的生活污水</w:t>
                  </w:r>
                  <w:r>
                    <w:rPr>
                      <w:rFonts w:hint="eastAsia" w:cs="Times New Roman"/>
                      <w:color w:val="auto"/>
                      <w:sz w:val="21"/>
                      <w:szCs w:val="21"/>
                      <w:highlight w:val="none"/>
                      <w:lang w:val="en-US" w:eastAsia="zh-CN"/>
                    </w:rPr>
                    <w:t>依托</w:t>
                  </w:r>
                  <w:r>
                    <w:rPr>
                      <w:rFonts w:hint="default" w:ascii="Times New Roman" w:hAnsi="Times New Roman" w:cs="Times New Roman"/>
                      <w:color w:val="auto"/>
                      <w:sz w:val="21"/>
                      <w:szCs w:val="21"/>
                      <w:highlight w:val="none"/>
                    </w:rPr>
                    <w:t>乐昌市华轩针织制衣有限公司的三级化粪池处理后排入园区污水处理厂。</w:t>
                  </w:r>
                </w:p>
              </w:tc>
              <w:tc>
                <w:tcPr>
                  <w:tcW w:w="261" w:type="pct"/>
                  <w:tcBorders>
                    <w:tl2br w:val="nil"/>
                    <w:tr2bl w:val="nil"/>
                  </w:tcBorders>
                  <w:vAlign w:val="center"/>
                </w:tcPr>
                <w:p w14:paraId="73C997B6">
                  <w:pPr>
                    <w:pStyle w:val="19"/>
                    <w:keepNext/>
                    <w:pageBreakBefore w:val="0"/>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44F48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207" w:type="pct"/>
                  <w:vMerge w:val="continue"/>
                  <w:tcBorders>
                    <w:tl2br w:val="nil"/>
                    <w:tr2bl w:val="nil"/>
                  </w:tcBorders>
                  <w:vAlign w:val="center"/>
                </w:tcPr>
                <w:p w14:paraId="7F510FFD">
                  <w:pPr>
                    <w:pStyle w:val="19"/>
                    <w:keepNext/>
                    <w:pageBreakBefore w:val="0"/>
                    <w:spacing w:line="240" w:lineRule="auto"/>
                    <w:ind w:firstLine="480"/>
                    <w:jc w:val="center"/>
                    <w:rPr>
                      <w:rFonts w:hint="default" w:ascii="Times New Roman" w:hAnsi="Times New Roman" w:cs="Times New Roman"/>
                      <w:color w:val="auto"/>
                      <w:sz w:val="21"/>
                      <w:szCs w:val="21"/>
                      <w:highlight w:val="none"/>
                    </w:rPr>
                  </w:pPr>
                </w:p>
              </w:tc>
              <w:tc>
                <w:tcPr>
                  <w:tcW w:w="567" w:type="pct"/>
                  <w:tcBorders>
                    <w:tl2br w:val="nil"/>
                    <w:tr2bl w:val="nil"/>
                  </w:tcBorders>
                  <w:vAlign w:val="center"/>
                </w:tcPr>
                <w:p w14:paraId="128C16B8">
                  <w:pPr>
                    <w:pStyle w:val="19"/>
                    <w:keepNext/>
                    <w:pageBreakBefore w:val="0"/>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污染物排放管控</w:t>
                  </w:r>
                </w:p>
              </w:tc>
              <w:tc>
                <w:tcPr>
                  <w:tcW w:w="2409" w:type="pct"/>
                  <w:tcBorders>
                    <w:tl2br w:val="nil"/>
                    <w:tr2bl w:val="nil"/>
                  </w:tcBorders>
                  <w:vAlign w:val="center"/>
                </w:tcPr>
                <w:p w14:paraId="7B68544A">
                  <w:pPr>
                    <w:pStyle w:val="19"/>
                    <w:keepNext/>
                    <w:pageBreakBefore w:val="0"/>
                    <w:spacing w:line="240" w:lineRule="auto"/>
                    <w:ind w:firstLine="480"/>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3-1.【水、大气/限制类】园区各项污染物排放总量不得突破园区规划环评核定的污染物排放总量管控要求。</w:t>
                  </w:r>
                </w:p>
                <w:p w14:paraId="76D47D1C">
                  <w:pPr>
                    <w:pStyle w:val="19"/>
                    <w:keepNext/>
                    <w:pageBreakBefore w:val="0"/>
                    <w:spacing w:line="240" w:lineRule="auto"/>
                    <w:ind w:firstLine="480"/>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3-2.【水/限制类】实行重点重金属污染物（铅、砷、汞、镉、铬）等量替代。严格控制涉重金属及有毒有害污染物排放的项目建设，新建、改建、扩建涉重金属重点行业的项目应明确重金属污染物总量来源。</w:t>
                  </w:r>
                </w:p>
                <w:p w14:paraId="629A2D6E">
                  <w:pPr>
                    <w:pStyle w:val="19"/>
                    <w:keepNext/>
                    <w:pageBreakBefore w:val="0"/>
                    <w:spacing w:line="240" w:lineRule="auto"/>
                    <w:ind w:firstLine="480"/>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3-3.【大气/限制类】新建项目原则上实施氮氧化物、挥发性有机物排放量等量替代。</w:t>
                  </w:r>
                </w:p>
                <w:p w14:paraId="0E75A16F">
                  <w:pPr>
                    <w:pStyle w:val="19"/>
                    <w:keepNext/>
                    <w:pageBreakBefore w:val="0"/>
                    <w:spacing w:line="240" w:lineRule="auto"/>
                    <w:ind w:firstLine="480"/>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3-4.【其它/鼓励引导类】支持危险废物专业收集转运和利用处置单位建设区域性收集网点和贮存设施。</w:t>
                  </w:r>
                </w:p>
              </w:tc>
              <w:tc>
                <w:tcPr>
                  <w:tcW w:w="1554" w:type="pct"/>
                  <w:tcBorders>
                    <w:tl2br w:val="nil"/>
                    <w:tr2bl w:val="nil"/>
                  </w:tcBorders>
                  <w:vAlign w:val="center"/>
                </w:tcPr>
                <w:p w14:paraId="0E803FE0">
                  <w:pPr>
                    <w:pStyle w:val="19"/>
                    <w:keepNext/>
                    <w:pageBreakBefore w:val="0"/>
                    <w:spacing w:line="24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w:t>
                  </w:r>
                  <w:r>
                    <w:rPr>
                      <w:rFonts w:hint="default" w:ascii="Times New Roman" w:hAnsi="Times New Roman" w:cs="Times New Roman"/>
                      <w:color w:val="auto"/>
                      <w:sz w:val="21"/>
                      <w:szCs w:val="21"/>
                      <w:highlight w:val="none"/>
                      <w:lang w:val="en-US" w:eastAsia="zh-CN"/>
                    </w:rPr>
                    <w:t>产生的</w:t>
                  </w:r>
                  <w:r>
                    <w:rPr>
                      <w:rFonts w:hint="eastAsia" w:cs="Times New Roman"/>
                      <w:color w:val="auto"/>
                      <w:sz w:val="21"/>
                      <w:szCs w:val="21"/>
                      <w:highlight w:val="none"/>
                      <w:lang w:val="en-US" w:eastAsia="zh-CN"/>
                    </w:rPr>
                    <w:t>颗粒物执行广东省《大气污染物排放限值》（DB44/27-2001）第二时段排放限值，臭气浓度执行《恶臭污染物排放标准》（GB14554-93）中表1恶臭污染物厂界标准值二级新扩改建标准要求。本项目不产生有机废气，无</w:t>
                  </w:r>
                  <w:r>
                    <w:rPr>
                      <w:rFonts w:hint="default" w:ascii="Times New Roman" w:hAnsi="Times New Roman" w:cs="Times New Roman"/>
                      <w:color w:val="auto"/>
                      <w:sz w:val="21"/>
                      <w:szCs w:val="21"/>
                      <w:highlight w:val="none"/>
                    </w:rPr>
                    <w:t>需向韶关市生态环境局乐昌分局申请分配，项目不涉及重金属污染物，危险废物贮存在厂区</w:t>
                  </w:r>
                  <w:r>
                    <w:rPr>
                      <w:rFonts w:hint="default" w:ascii="Times New Roman" w:hAnsi="Times New Roman" w:cs="Times New Roman"/>
                      <w:color w:val="auto"/>
                      <w:highlight w:val="none"/>
                    </w:rPr>
                    <w:t>危废</w:t>
                  </w:r>
                  <w:r>
                    <w:rPr>
                      <w:rFonts w:hint="eastAsia" w:cs="Times New Roman"/>
                      <w:color w:val="auto"/>
                      <w:highlight w:val="none"/>
                      <w:lang w:val="en-US" w:eastAsia="zh-CN"/>
                    </w:rPr>
                    <w:t>暂存</w:t>
                  </w:r>
                  <w:r>
                    <w:rPr>
                      <w:rFonts w:hint="default" w:ascii="Times New Roman" w:hAnsi="Times New Roman" w:cs="Times New Roman"/>
                      <w:color w:val="auto"/>
                      <w:highlight w:val="none"/>
                    </w:rPr>
                    <w:t>间</w:t>
                  </w:r>
                  <w:r>
                    <w:rPr>
                      <w:rFonts w:hint="default" w:ascii="Times New Roman" w:hAnsi="Times New Roman" w:cs="Times New Roman"/>
                      <w:color w:val="auto"/>
                      <w:sz w:val="21"/>
                      <w:szCs w:val="21"/>
                      <w:highlight w:val="none"/>
                    </w:rPr>
                    <w:t>，统一收集后交有资质的单位处理。</w:t>
                  </w:r>
                </w:p>
              </w:tc>
              <w:tc>
                <w:tcPr>
                  <w:tcW w:w="261" w:type="pct"/>
                  <w:tcBorders>
                    <w:tl2br w:val="nil"/>
                    <w:tr2bl w:val="nil"/>
                  </w:tcBorders>
                  <w:vAlign w:val="center"/>
                </w:tcPr>
                <w:p w14:paraId="15D53AF2">
                  <w:pPr>
                    <w:pStyle w:val="19"/>
                    <w:keepNext/>
                    <w:pageBreakBefore w:val="0"/>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370B9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207" w:type="pct"/>
                  <w:vMerge w:val="continue"/>
                  <w:tcBorders>
                    <w:tl2br w:val="nil"/>
                    <w:tr2bl w:val="nil"/>
                  </w:tcBorders>
                  <w:vAlign w:val="center"/>
                </w:tcPr>
                <w:p w14:paraId="73BDCC19">
                  <w:pPr>
                    <w:pStyle w:val="19"/>
                    <w:keepNext/>
                    <w:pageBreakBefore w:val="0"/>
                    <w:spacing w:line="240" w:lineRule="auto"/>
                    <w:ind w:right="86" w:rightChars="36" w:firstLine="480"/>
                    <w:jc w:val="center"/>
                    <w:rPr>
                      <w:rFonts w:hint="default" w:ascii="Times New Roman" w:hAnsi="Times New Roman" w:cs="Times New Roman"/>
                      <w:color w:val="auto"/>
                      <w:sz w:val="21"/>
                      <w:szCs w:val="21"/>
                      <w:highlight w:val="none"/>
                    </w:rPr>
                  </w:pPr>
                </w:p>
              </w:tc>
              <w:tc>
                <w:tcPr>
                  <w:tcW w:w="567" w:type="pct"/>
                  <w:tcBorders>
                    <w:tl2br w:val="nil"/>
                    <w:tr2bl w:val="nil"/>
                  </w:tcBorders>
                  <w:vAlign w:val="center"/>
                </w:tcPr>
                <w:p w14:paraId="0E4996E6">
                  <w:pPr>
                    <w:pStyle w:val="19"/>
                    <w:keepNext/>
                    <w:pageBreakBefore w:val="0"/>
                    <w:spacing w:line="240" w:lineRule="auto"/>
                    <w:ind w:right="86" w:rightChars="36" w:firstLine="0" w:firstLineChars="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环境风险防控</w:t>
                  </w:r>
                </w:p>
              </w:tc>
              <w:tc>
                <w:tcPr>
                  <w:tcW w:w="2409" w:type="pct"/>
                  <w:tcBorders>
                    <w:tl2br w:val="nil"/>
                    <w:tr2bl w:val="nil"/>
                  </w:tcBorders>
                  <w:vAlign w:val="center"/>
                </w:tcPr>
                <w:p w14:paraId="582A9A31">
                  <w:pPr>
                    <w:pStyle w:val="19"/>
                    <w:keepNext/>
                    <w:pageBreakBefore w:val="0"/>
                    <w:spacing w:line="240" w:lineRule="auto"/>
                    <w:ind w:firstLine="48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-1.【风险/综合类】园区内生产、使用、储存危险化学品的项目应设置足够容积的事故应急池，园区应制定环境风险事故防范和应急预案，建立健全企业、园区和市政三级事故应急体系，落实有效的事故风险防范和应急措施，有效防范污染事故发生，并避免发生事故对周围环境造成污染，确保环境安全。园区污</w:t>
                  </w:r>
                  <w:r>
                    <w:rPr>
                      <w:rFonts w:hint="default" w:ascii="Times New Roman" w:hAnsi="Times New Roman" w:cs="Times New Roman"/>
                      <w:color w:val="auto"/>
                      <w:sz w:val="21"/>
                      <w:szCs w:val="21"/>
                      <w:highlight w:val="none"/>
                      <w:lang w:eastAsia="zh-CN"/>
                    </w:rPr>
                    <w:t>水</w:t>
                  </w:r>
                  <w:r>
                    <w:rPr>
                      <w:rFonts w:hint="default" w:ascii="Times New Roman" w:hAnsi="Times New Roman" w:cs="Times New Roman"/>
                      <w:color w:val="auto"/>
                      <w:sz w:val="21"/>
                      <w:szCs w:val="21"/>
                      <w:highlight w:val="none"/>
                    </w:rPr>
                    <w:t>处理厂设置足够容积的事故应急池，纳污水体设置水质监控断面，发现问题，及时采取限制废水排放等措施。</w:t>
                  </w:r>
                </w:p>
              </w:tc>
              <w:tc>
                <w:tcPr>
                  <w:tcW w:w="1554" w:type="pct"/>
                  <w:tcBorders>
                    <w:tl2br w:val="nil"/>
                    <w:tr2bl w:val="nil"/>
                  </w:tcBorders>
                  <w:vAlign w:val="center"/>
                </w:tcPr>
                <w:p w14:paraId="47BE56DE">
                  <w:pPr>
                    <w:pStyle w:val="19"/>
                    <w:keepNext/>
                    <w:pageBreakBefore w:val="0"/>
                    <w:spacing w:line="240" w:lineRule="auto"/>
                    <w:ind w:firstLine="480"/>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项目位于广东乐昌经济开发区内，广东乐昌经济开发区已完善相关环保手续，并制定了事故风险防范和应急措施，能够满足项目环境风险防控的要求。</w:t>
                  </w:r>
                </w:p>
              </w:tc>
              <w:tc>
                <w:tcPr>
                  <w:tcW w:w="261" w:type="pct"/>
                  <w:tcBorders>
                    <w:tl2br w:val="nil"/>
                    <w:tr2bl w:val="nil"/>
                  </w:tcBorders>
                  <w:vAlign w:val="center"/>
                </w:tcPr>
                <w:p w14:paraId="1885AF1D">
                  <w:pPr>
                    <w:pStyle w:val="19"/>
                    <w:keepNext/>
                    <w:pageBreakBefore w:val="0"/>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bl>
          <w:p w14:paraId="75C2B2E2">
            <w:pPr>
              <w:pStyle w:val="19"/>
              <w:keepNext/>
              <w:pageBreakBefore w:val="0"/>
              <w:ind w:firstLineChars="200"/>
              <w:jc w:val="left"/>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sz w:val="24"/>
                <w:highlight w:val="none"/>
              </w:rPr>
              <w:t>综上，项目符合韶关市人民政府关于印发《韶关市“三线一单”生态环境分区管控方案的通知》的通知（韶府〔2021〕10号）</w:t>
            </w:r>
            <w:r>
              <w:rPr>
                <w:rFonts w:hint="eastAsia" w:cs="Times New Roman"/>
                <w:b w:val="0"/>
                <w:bCs w:val="0"/>
                <w:color w:val="auto"/>
                <w:sz w:val="24"/>
                <w:highlight w:val="none"/>
                <w:lang w:eastAsia="zh-CN"/>
              </w:rPr>
              <w:t>、</w:t>
            </w:r>
            <w:r>
              <w:rPr>
                <w:rFonts w:hint="eastAsia" w:cs="Times New Roman"/>
                <w:b w:val="0"/>
                <w:bCs w:val="0"/>
                <w:color w:val="auto"/>
                <w:sz w:val="24"/>
                <w:highlight w:val="none"/>
                <w:lang w:val="en-US" w:eastAsia="zh-CN"/>
              </w:rPr>
              <w:t>韶关市生态环境局</w:t>
            </w:r>
            <w:r>
              <w:rPr>
                <w:rFonts w:hint="eastAsia" w:cs="Times New Roman"/>
                <w:b w:val="0"/>
                <w:bCs w:val="0"/>
                <w:color w:val="auto"/>
                <w:sz w:val="24"/>
                <w:highlight w:val="none"/>
                <w:lang w:eastAsia="zh-CN"/>
              </w:rPr>
              <w:t>《韶关市生态环境分区管控动态更新成果》</w:t>
            </w:r>
            <w:r>
              <w:rPr>
                <w:rFonts w:hint="default" w:ascii="Times New Roman" w:hAnsi="Times New Roman" w:cs="Times New Roman"/>
                <w:b w:val="0"/>
                <w:bCs w:val="0"/>
                <w:color w:val="auto"/>
                <w:sz w:val="24"/>
                <w:highlight w:val="none"/>
              </w:rPr>
              <w:t>的相关要求。</w:t>
            </w:r>
          </w:p>
          <w:p w14:paraId="4AD9D493">
            <w:pPr>
              <w:pStyle w:val="19"/>
              <w:keepNext/>
              <w:keepLines w:val="0"/>
              <w:pageBreakBefore w:val="0"/>
              <w:ind w:left="-2" w:firstLineChars="200"/>
              <w:outlineLvl w:val="2"/>
              <w:rPr>
                <w:rFonts w:hint="default" w:ascii="Times New Roman" w:hAnsi="Times New Roman" w:cs="Times New Roman"/>
                <w:color w:val="auto"/>
                <w:sz w:val="24"/>
                <w:szCs w:val="24"/>
                <w:highlight w:val="none"/>
              </w:rPr>
            </w:pPr>
            <w:r>
              <w:rPr>
                <w:rFonts w:hint="default" w:ascii="Times New Roman" w:hAnsi="Times New Roman" w:cs="Times New Roman"/>
                <w:b/>
                <w:bCs/>
                <w:color w:val="auto"/>
                <w:sz w:val="24"/>
                <w:szCs w:val="24"/>
                <w:highlight w:val="none"/>
              </w:rPr>
              <w:t>六、相关规划相符性分析</w:t>
            </w:r>
          </w:p>
          <w:p w14:paraId="54195E87">
            <w:pPr>
              <w:pStyle w:val="19"/>
              <w:keepNext/>
              <w:keepLines w:val="0"/>
              <w:pageBreakBefore w:val="0"/>
              <w:ind w:firstLineChars="200"/>
              <w:outlineLvl w:val="3"/>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1、《关于印发&lt;广东省生态环境保护“十四五”规划&gt;的通知》（粤环〔2021〕10号）</w:t>
            </w:r>
          </w:p>
          <w:p w14:paraId="62C7604E">
            <w:pPr>
              <w:pStyle w:val="2"/>
              <w:keepNext/>
              <w:keepLines w:val="0"/>
              <w:pageBreakBefore w:val="0"/>
              <w:suppressLineNumbers w:val="0"/>
              <w:autoSpaceDE/>
              <w:autoSpaceDN/>
              <w:adjustRightInd/>
              <w:spacing w:before="0" w:beforeAutospacing="0" w:after="0" w:afterAutospacing="0"/>
              <w:ind w:left="0" w:right="0"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《广东省生态环境厅关于印发&lt;广东省生态环境保护“十四五”规划&gt;的通知》（粤环</w:t>
            </w:r>
            <w:r>
              <w:rPr>
                <w:rFonts w:hint="default" w:ascii="Times New Roman" w:hAnsi="Times New Roman" w:cs="Times New Roman"/>
                <w:color w:val="auto"/>
                <w:highlight w:val="none"/>
                <w:lang w:eastAsia="zh-CN"/>
              </w:rPr>
              <w:t>〔2021〕10号</w:t>
            </w:r>
            <w:r>
              <w:rPr>
                <w:rFonts w:hint="default" w:ascii="Times New Roman" w:hAnsi="Times New Roman" w:cs="Times New Roman"/>
                <w:color w:val="auto"/>
                <w:highlight w:val="none"/>
              </w:rPr>
              <w:t>）提出，“大力推进挥发性有机物（VOCs）源头控制和重点行业深度治理。开展原油、成品油、有机化学品等涉VOCs物料储罐排查，深化重点行业VOCs排放基数调查，系统掌握工业源VOCs产生、处理、排放及分布情况，分类建立台账，实施VOCs精细化管理。在石化、化工、包装印刷、工业涂装等重点行业建立完善源头、过程和末端的VOCs全过程控制体系。大力推进低VOCs含量原辅材料源头替代，严格落实国家和地方产品VOCs含量限值质量标准，禁止建设生产和使用高VOCs含量的溶剂型涂料、油墨、胶粘剂等项目。严格实施VOCs排放企业分级管控，全面推进涉VOCs排放企业深度治理。开展中小型企业废气收集和治理设施建设、运行情况的评估，强化对企业涉VOCs生产车间/工序废气的收集管理，推动企业开展治理设施升级改造。推进工业园区、企业集群因地制宜统筹规划建设一批集中喷涂中心（共性工厂）、活性炭集中再生中心，实现VOCs集中高效处理。开展无组织排放源排查，加强VOCs物料全方位、全链条、全环节密闭管理，深入推进泄漏检测与修复（LDAR）工作。”</w:t>
            </w:r>
          </w:p>
          <w:p w14:paraId="6887535D">
            <w:pPr>
              <w:pStyle w:val="21"/>
              <w:keepNext/>
              <w:pageBreakBefore w:val="0"/>
              <w:ind w:firstLine="48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本项目为</w:t>
            </w:r>
            <w:r>
              <w:rPr>
                <w:rFonts w:hint="default" w:ascii="Times New Roman" w:hAnsi="Times New Roman" w:cs="Times New Roman"/>
                <w:color w:val="auto"/>
                <w:highlight w:val="none"/>
                <w:lang w:val="en-US" w:eastAsia="zh-CN"/>
              </w:rPr>
              <w:t>一般工业固体废物分拣、压实</w:t>
            </w:r>
            <w:r>
              <w:rPr>
                <w:rFonts w:hint="default" w:ascii="Times New Roman" w:hAnsi="Times New Roman" w:cs="Times New Roman"/>
                <w:color w:val="auto"/>
                <w:sz w:val="24"/>
                <w:szCs w:val="24"/>
                <w:highlight w:val="none"/>
                <w:lang w:eastAsia="zh-CN"/>
              </w:rPr>
              <w:t>，</w:t>
            </w:r>
            <w:r>
              <w:rPr>
                <w:rFonts w:hint="eastAsia" w:cs="Times New Roman"/>
                <w:color w:val="auto"/>
                <w:sz w:val="24"/>
                <w:szCs w:val="24"/>
                <w:highlight w:val="none"/>
                <w:lang w:val="en-US" w:eastAsia="zh-CN"/>
              </w:rPr>
              <w:t>不产生</w:t>
            </w:r>
            <w:r>
              <w:rPr>
                <w:rFonts w:hint="default" w:ascii="Times New Roman" w:hAnsi="Times New Roman" w:cs="Times New Roman"/>
                <w:color w:val="auto"/>
                <w:sz w:val="24"/>
                <w:szCs w:val="24"/>
                <w:highlight w:val="none"/>
              </w:rPr>
              <w:t>VOCs。</w:t>
            </w:r>
          </w:p>
          <w:p w14:paraId="68936D96">
            <w:pPr>
              <w:pStyle w:val="19"/>
              <w:keepNext/>
              <w:keepLines w:val="0"/>
              <w:pageBreakBefore w:val="0"/>
              <w:widowControl w:val="0"/>
              <w:kinsoku/>
              <w:wordWrap/>
              <w:overflowPunct/>
              <w:topLinePunct w:val="0"/>
              <w:autoSpaceDE/>
              <w:autoSpaceDN/>
              <w:bidi w:val="0"/>
              <w:adjustRightInd/>
              <w:snapToGrid/>
              <w:spacing w:line="360" w:lineRule="auto"/>
              <w:ind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w:t>
            </w:r>
            <w:r>
              <w:rPr>
                <w:rFonts w:hint="eastAsia" w:cs="Times New Roman"/>
                <w:color w:val="auto"/>
                <w:sz w:val="24"/>
                <w:szCs w:val="24"/>
                <w:highlight w:val="none"/>
                <w:lang w:val="en-US" w:eastAsia="zh-CN"/>
              </w:rPr>
              <w:t>项目</w:t>
            </w:r>
            <w:r>
              <w:rPr>
                <w:rFonts w:hint="default" w:ascii="Times New Roman" w:hAnsi="Times New Roman" w:eastAsia="宋体" w:cs="Times New Roman"/>
                <w:color w:val="auto"/>
                <w:sz w:val="24"/>
                <w:szCs w:val="24"/>
                <w:highlight w:val="none"/>
                <w:lang w:eastAsia="zh-CN"/>
              </w:rPr>
              <w:t>使用清洁能源</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电能</w:t>
            </w:r>
            <w:r>
              <w:rPr>
                <w:rFonts w:hint="default" w:ascii="Times New Roman" w:hAnsi="Times New Roman" w:eastAsia="宋体" w:cs="Times New Roman"/>
                <w:color w:val="auto"/>
                <w:sz w:val="24"/>
                <w:szCs w:val="24"/>
                <w:highlight w:val="none"/>
              </w:rPr>
              <w:t>。因此，本项目符合《广东省生态环境保护“十四五”规划》（粤环﹝2021﹞10号）中的相关规定。</w:t>
            </w:r>
          </w:p>
          <w:p w14:paraId="29E1A2CA">
            <w:pPr>
              <w:pStyle w:val="19"/>
              <w:keepNext/>
              <w:pageBreakBefore w:val="0"/>
              <w:ind w:firstLine="480"/>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2、《韶关市人民政府办公室关于印发&lt;韶关市生态环境保护“十四五”规划&gt;的通知》（韶府办〔2022〕1号）</w:t>
            </w:r>
          </w:p>
          <w:p w14:paraId="6E12750F">
            <w:pPr>
              <w:pStyle w:val="19"/>
              <w:keepNext/>
              <w:pageBreakBefore w:val="0"/>
              <w:widowControl/>
              <w:ind w:firstLineChars="20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文件要求：深化工业源污染治理。以挥发性有机物、工业炉窑和锅炉综合治理为重点，深化工业源污染防治，健全分级管控体系，提升重点行业企业深度治理水平。深化工业炉窑和锅炉排放治理。加大工业锅炉整治力度，禁止新建35蒸吨/小时以下燃煤锅炉；推进陶瓷等行业实施深度治理，持续开展生物质成型燃料锅炉整治，推动实施燃气锅炉低氮燃烧改造。严格实施工业炉窑分级管控，全面推动B级以下工业炉窑的清洁低碳化改造、废气治理设施升级改造、全过程无组织排放管控。</w:t>
            </w:r>
          </w:p>
          <w:p w14:paraId="616911AD">
            <w:pPr>
              <w:pStyle w:val="21"/>
              <w:keepNext/>
              <w:pageBreakBefore w:val="0"/>
              <w:ind w:firstLine="48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项目不涉及锅炉，</w:t>
            </w:r>
            <w:r>
              <w:rPr>
                <w:rFonts w:hint="default" w:ascii="Times New Roman" w:hAnsi="Times New Roman" w:cs="Times New Roman"/>
                <w:color w:val="auto"/>
                <w:sz w:val="24"/>
                <w:szCs w:val="24"/>
                <w:highlight w:val="none"/>
                <w:lang w:eastAsia="zh-CN"/>
              </w:rPr>
              <w:t>设备均采用电能清洁能源。</w:t>
            </w:r>
            <w:r>
              <w:rPr>
                <w:rFonts w:hint="eastAsia" w:cs="Times New Roman"/>
                <w:color w:val="auto"/>
                <w:sz w:val="24"/>
                <w:szCs w:val="24"/>
                <w:highlight w:val="none"/>
                <w:lang w:val="en-US" w:eastAsia="zh-CN"/>
              </w:rPr>
              <w:t>项目不产生</w:t>
            </w:r>
            <w:r>
              <w:rPr>
                <w:rFonts w:hint="default" w:ascii="Times New Roman" w:hAnsi="Times New Roman" w:cs="Times New Roman"/>
                <w:color w:val="auto"/>
                <w:sz w:val="24"/>
                <w:szCs w:val="24"/>
                <w:highlight w:val="none"/>
              </w:rPr>
              <w:t>非甲烷总烃</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产生的臭气浓度以无组织形式排放</w:t>
            </w:r>
            <w:r>
              <w:rPr>
                <w:rFonts w:hint="default" w:ascii="Times New Roman" w:hAnsi="Times New Roman" w:cs="Times New Roman"/>
                <w:color w:val="auto"/>
                <w:sz w:val="24"/>
                <w:szCs w:val="24"/>
                <w:highlight w:val="none"/>
              </w:rPr>
              <w:t>。</w:t>
            </w:r>
          </w:p>
          <w:p w14:paraId="0F6CE96E">
            <w:pPr>
              <w:pStyle w:val="19"/>
              <w:keepNext/>
              <w:pageBreakBefore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项目产生的工业固体废物均得到妥善处置。故本项目与韶关市人民政府办公室《关于印发&lt;韶关市生态环境保护“十四五”规划&gt;的通知》（韶府办〔2022〕1号）相符。</w:t>
            </w:r>
          </w:p>
          <w:p w14:paraId="7007285C">
            <w:pPr>
              <w:pStyle w:val="19"/>
              <w:keepNext/>
              <w:pageBreakBefore w:val="0"/>
              <w:ind w:firstLine="48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3、《乐昌市人民政府办公室关于印发&lt;乐昌市生态环境保护“十四五”规划的通知》（乐府办〔2022〕16号）</w:t>
            </w:r>
          </w:p>
          <w:p w14:paraId="07740A1A">
            <w:pPr>
              <w:pStyle w:val="19"/>
              <w:keepNext/>
              <w:pageBreakBefore w:val="0"/>
              <w:ind w:firstLineChars="200"/>
              <w:rPr>
                <w:rFonts w:hint="default" w:ascii="Times New Roman" w:hAnsi="Times New Roman" w:cs="Times New Roman"/>
                <w:color w:val="auto"/>
                <w:highlight w:val="none"/>
              </w:rPr>
            </w:pPr>
            <w:r>
              <w:rPr>
                <w:rFonts w:hint="default" w:ascii="Times New Roman" w:hAnsi="Times New Roman" w:cs="Times New Roman"/>
                <w:color w:val="auto"/>
                <w:sz w:val="24"/>
                <w:szCs w:val="24"/>
                <w:highlight w:val="none"/>
              </w:rPr>
              <w:t>深化重点污染源治理，推进污染物减排。在水泥、化工、火电等行业全面执行大气污染物特别排放限值。逐步推进水泥行业实施超低排放改造，力争到2025年全市水泥</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熟料</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制造企业的水泥窑及窑尾余热利用系统烟气NOx排放浓度不高于100mg/m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。持续开展生物质成型燃料锅炉整治，推动实施燃气锅炉低氮燃烧改造。严格实施工业炉窑分级管控，全面推动B级以下企业工业炉窑的燃料清洁低碳化替代、废气治理设施升级改造、全过程无组织排放管控。</w:t>
            </w:r>
          </w:p>
          <w:p w14:paraId="38C06372">
            <w:pPr>
              <w:pStyle w:val="21"/>
              <w:keepNext/>
              <w:pageBreakBefore w:val="0"/>
              <w:ind w:firstLine="480"/>
              <w:jc w:val="left"/>
              <w:rPr>
                <w:rFonts w:hint="default" w:ascii="Times New Roman" w:hAnsi="Times New Roman" w:cs="Times New Roman"/>
                <w:color w:val="auto"/>
                <w:sz w:val="24"/>
                <w:szCs w:val="28"/>
                <w:highlight w:val="none"/>
              </w:rPr>
            </w:pPr>
            <w:r>
              <w:rPr>
                <w:rFonts w:hint="default" w:ascii="Times New Roman" w:hAnsi="Times New Roman" w:cs="Times New Roman"/>
                <w:color w:val="auto"/>
                <w:sz w:val="24"/>
                <w:szCs w:val="24"/>
                <w:highlight w:val="none"/>
              </w:rPr>
              <w:t>项目不涉及锅炉，</w:t>
            </w:r>
            <w:r>
              <w:rPr>
                <w:rFonts w:hint="default" w:ascii="Times New Roman" w:hAnsi="Times New Roman" w:cs="Times New Roman"/>
                <w:color w:val="auto"/>
                <w:sz w:val="24"/>
                <w:szCs w:val="24"/>
                <w:highlight w:val="none"/>
                <w:lang w:eastAsia="zh-CN"/>
              </w:rPr>
              <w:t>设备均采用电能清洁能源。</w:t>
            </w:r>
            <w:r>
              <w:rPr>
                <w:rFonts w:hint="eastAsia" w:cs="Times New Roman"/>
                <w:color w:val="auto"/>
                <w:sz w:val="24"/>
                <w:szCs w:val="24"/>
                <w:highlight w:val="none"/>
                <w:lang w:val="en-US" w:eastAsia="zh-CN"/>
              </w:rPr>
              <w:t>项目不产生</w:t>
            </w:r>
            <w:r>
              <w:rPr>
                <w:rFonts w:hint="default" w:ascii="Times New Roman" w:hAnsi="Times New Roman" w:cs="Times New Roman"/>
                <w:color w:val="auto"/>
                <w:sz w:val="24"/>
                <w:szCs w:val="24"/>
                <w:highlight w:val="none"/>
              </w:rPr>
              <w:t>非甲烷总烃</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产生的臭气浓度以无组织形式排放</w:t>
            </w:r>
            <w:r>
              <w:rPr>
                <w:rFonts w:hint="default" w:ascii="Times New Roman" w:hAnsi="Times New Roman" w:cs="Times New Roman"/>
                <w:color w:val="auto"/>
                <w:sz w:val="24"/>
                <w:szCs w:val="28"/>
                <w:highlight w:val="none"/>
                <w:lang w:val="en-US" w:eastAsia="zh-CN"/>
              </w:rPr>
              <w:t>，</w:t>
            </w:r>
            <w:r>
              <w:rPr>
                <w:rFonts w:hint="default" w:ascii="Times New Roman" w:hAnsi="Times New Roman" w:cs="Times New Roman"/>
                <w:color w:val="auto"/>
                <w:sz w:val="24"/>
                <w:szCs w:val="28"/>
                <w:highlight w:val="none"/>
              </w:rPr>
              <w:t>故本项目与乐昌市人民政府办公室《关于印发&lt;乐昌市生态环境保护“十四五”规划的通知》（乐府办〔2022〕16号）相符。</w:t>
            </w:r>
          </w:p>
          <w:p w14:paraId="04A8AE58">
            <w:pPr>
              <w:keepNext/>
              <w:keepLines w:val="0"/>
              <w:pageBreakBefore w:val="0"/>
              <w:numPr>
                <w:ilvl w:val="0"/>
                <w:numId w:val="7"/>
              </w:numPr>
              <w:suppressLineNumbers w:val="0"/>
              <w:spacing w:before="0" w:beforeAutospacing="0" w:after="0" w:afterAutospacing="0"/>
              <w:ind w:left="0" w:right="0" w:firstLine="482"/>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与《广东省固体废物污染环境防治条例》的相符性分析</w:t>
            </w:r>
          </w:p>
          <w:p w14:paraId="194E0445">
            <w:pPr>
              <w:pStyle w:val="19"/>
              <w:keepNext/>
              <w:keepLines w:val="0"/>
              <w:pageBreakBefore w:val="0"/>
              <w:suppressLineNumbers w:val="0"/>
              <w:spacing w:before="0" w:beforeAutospacing="0" w:after="0" w:afterAutospacing="0"/>
              <w:ind w:left="0" w:right="86" w:rightChars="36" w:firstLine="420" w:firstLineChars="200"/>
              <w:jc w:val="center"/>
              <w:rPr>
                <w:rFonts w:hint="default" w:ascii="Times New Roman" w:hAnsi="Times New Roman" w:cs="Times New Roman"/>
                <w:b/>
                <w:bCs/>
                <w:color w:val="auto"/>
                <w:highlight w:val="none"/>
              </w:rPr>
            </w:pPr>
            <w:r>
              <w:rPr>
                <w:rFonts w:hint="default" w:ascii="Times New Roman" w:hAnsi="Times New Roman" w:cs="Times New Roman"/>
                <w:b/>
                <w:bCs/>
                <w:color w:val="auto"/>
                <w:sz w:val="21"/>
                <w:szCs w:val="21"/>
                <w:highlight w:val="none"/>
              </w:rPr>
              <w:t>表1-</w:t>
            </w:r>
            <w:r>
              <w:rPr>
                <w:rFonts w:hint="eastAsia" w:cs="Times New Roman"/>
                <w:b/>
                <w:bCs/>
                <w:color w:val="auto"/>
                <w:sz w:val="21"/>
                <w:szCs w:val="21"/>
                <w:highlight w:val="none"/>
                <w:lang w:val="en-US" w:eastAsia="zh-CN"/>
              </w:rPr>
              <w:t>4</w:t>
            </w:r>
            <w:r>
              <w:rPr>
                <w:rFonts w:hint="default" w:ascii="Times New Roman" w:hAnsi="Times New Roman" w:cs="Times New Roman"/>
                <w:b/>
                <w:bCs/>
                <w:color w:val="auto"/>
                <w:sz w:val="21"/>
                <w:szCs w:val="21"/>
                <w:highlight w:val="none"/>
              </w:rPr>
              <w:t>相符性分析一览表</w:t>
            </w:r>
          </w:p>
          <w:tbl>
            <w:tblPr>
              <w:tblStyle w:val="45"/>
              <w:tblW w:w="78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3648"/>
              <w:gridCol w:w="3511"/>
            </w:tblGrid>
            <w:tr w14:paraId="68CA7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tcPr>
                <w:p w14:paraId="069018B6">
                  <w:pPr>
                    <w:pStyle w:val="19"/>
                    <w:keepNext/>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内容</w:t>
                  </w:r>
                </w:p>
              </w:tc>
              <w:tc>
                <w:tcPr>
                  <w:tcW w:w="3648" w:type="dxa"/>
                </w:tcPr>
                <w:p w14:paraId="234F5BF9">
                  <w:pPr>
                    <w:pStyle w:val="19"/>
                    <w:keepNext/>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要求</w:t>
                  </w:r>
                </w:p>
              </w:tc>
              <w:tc>
                <w:tcPr>
                  <w:tcW w:w="3511" w:type="dxa"/>
                </w:tcPr>
                <w:p w14:paraId="29B98072">
                  <w:pPr>
                    <w:pStyle w:val="19"/>
                    <w:keepNext/>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相符性分析</w:t>
                  </w:r>
                </w:p>
              </w:tc>
            </w:tr>
            <w:tr w14:paraId="2EE59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tcPr>
                <w:p w14:paraId="5C9261E1">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总则</w:t>
                  </w:r>
                </w:p>
              </w:tc>
              <w:tc>
                <w:tcPr>
                  <w:tcW w:w="3648" w:type="dxa"/>
                </w:tcPr>
                <w:p w14:paraId="17565670">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第五条  产生、收集、贮存、运输、利用、处置固体废物的企业事业单位和其他生产经营者，应当采取措施，防止或者减少固体废物污染环境，并依法承担固体废物污染环境防治责任。</w:t>
                  </w:r>
                </w:p>
              </w:tc>
              <w:tc>
                <w:tcPr>
                  <w:tcW w:w="3511" w:type="dxa"/>
                </w:tcPr>
                <w:p w14:paraId="63D4F2BC">
                  <w:pPr>
                    <w:pStyle w:val="19"/>
                    <w:keepNext/>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rPr>
                    <w:t>本项目为一般工业固体废物分拣、压实</w:t>
                  </w:r>
                  <w:r>
                    <w:rPr>
                      <w:rFonts w:hint="eastAsia" w:cs="Times New Roman"/>
                      <w:color w:val="auto"/>
                      <w:sz w:val="21"/>
                      <w:szCs w:val="21"/>
                      <w:highlight w:val="none"/>
                      <w:vertAlign w:val="baseline"/>
                      <w:lang w:eastAsia="zh-CN"/>
                    </w:rPr>
                    <w:t>。</w:t>
                  </w:r>
                  <w:r>
                    <w:rPr>
                      <w:rFonts w:hint="eastAsia" w:cs="Times New Roman"/>
                      <w:color w:val="auto"/>
                      <w:sz w:val="21"/>
                      <w:szCs w:val="21"/>
                      <w:highlight w:val="none"/>
                      <w:vertAlign w:val="baseline"/>
                      <w:lang w:val="en-US" w:eastAsia="zh-CN"/>
                    </w:rPr>
                    <w:t>产生的少量颗粒物与臭气浓度，通过加强厂房通风减少环境污染。</w:t>
                  </w:r>
                  <w:r>
                    <w:rPr>
                      <w:rFonts w:hint="default" w:ascii="Times New Roman" w:hAnsi="Times New Roman" w:cs="Times New Roman"/>
                      <w:color w:val="auto"/>
                      <w:sz w:val="21"/>
                      <w:szCs w:val="21"/>
                      <w:highlight w:val="none"/>
                    </w:rPr>
                    <w:t>项目</w:t>
                  </w:r>
                  <w:r>
                    <w:rPr>
                      <w:rFonts w:hint="default" w:ascii="Times New Roman" w:hAnsi="Times New Roman" w:cs="Times New Roman"/>
                      <w:color w:val="auto"/>
                      <w:sz w:val="21"/>
                      <w:szCs w:val="21"/>
                      <w:highlight w:val="none"/>
                      <w:lang w:val="en-US" w:eastAsia="zh-CN"/>
                    </w:rPr>
                    <w:t>产生的</w:t>
                  </w:r>
                  <w:r>
                    <w:rPr>
                      <w:rFonts w:hint="eastAsia" w:cs="Times New Roman"/>
                      <w:color w:val="auto"/>
                      <w:sz w:val="21"/>
                      <w:szCs w:val="21"/>
                      <w:highlight w:val="none"/>
                      <w:lang w:val="en-US" w:eastAsia="zh-CN"/>
                    </w:rPr>
                    <w:t>颗粒物执行广东省《大气污染物排放限值》（DB44/27-2001）第二时段排放限值，臭气浓度执行《恶臭污染物排放标准》（GB14554-93）中表1恶臭污染物厂界标准值二级新扩改建标准要求。</w:t>
                  </w:r>
                </w:p>
              </w:tc>
            </w:tr>
            <w:tr w14:paraId="6C4B0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tcPr>
                <w:p w14:paraId="4C8A7A2A">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固体废物污染环境防治的监督管理</w:t>
                  </w:r>
                </w:p>
              </w:tc>
              <w:tc>
                <w:tcPr>
                  <w:tcW w:w="3648" w:type="dxa"/>
                </w:tcPr>
                <w:p w14:paraId="42931E6D">
                  <w:pPr>
                    <w:pStyle w:val="19"/>
                    <w:keepNext/>
                    <w:keepLines w:val="0"/>
                    <w:pageBreakBefore w:val="0"/>
                    <w:widowControl w:val="0"/>
                    <w:numPr>
                      <w:ilvl w:val="0"/>
                      <w:numId w:val="8"/>
                    </w:numPr>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 xml:space="preserve"> 建设产生固体废物的项目以及建设贮存、利用、处置固体废物的项目，应当依法进行环境影响评价。</w:t>
                  </w:r>
                </w:p>
                <w:p w14:paraId="4A183E09">
                  <w:pPr>
                    <w:pStyle w:val="19"/>
                    <w:keepNext/>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第十三条  建设项目中固体废物污染防治设施应当与主体工程同时设计、同时施工、同时投入使用。固体废物污染防治设施应当符合经批准的环境影响评价文件要求，不得擅自拆除或者闲置。</w:t>
                  </w:r>
                </w:p>
              </w:tc>
              <w:tc>
                <w:tcPr>
                  <w:tcW w:w="3511" w:type="dxa"/>
                </w:tcPr>
                <w:p w14:paraId="4E5D2943">
                  <w:pPr>
                    <w:pStyle w:val="19"/>
                    <w:keepNext/>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本项目将严格按要求进行环境影响评价工作，并按三同时原则建设污染防治设施。</w:t>
                  </w:r>
                </w:p>
              </w:tc>
            </w:tr>
            <w:tr w14:paraId="6B858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restart"/>
                </w:tcPr>
                <w:p w14:paraId="190E1640">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固体废物污染环境的防治</w:t>
                  </w:r>
                </w:p>
              </w:tc>
              <w:tc>
                <w:tcPr>
                  <w:tcW w:w="3648" w:type="dxa"/>
                </w:tcPr>
                <w:p w14:paraId="445949C0">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第二十条  建设工业固体废物集中贮存、处置以及生活垃圾卫生填埋、焚烧等设施、场所，应当遵守国家和省相关环境保护标准，其选址不得位于自然保护区、风景名胜区、饮用水水源保护区、永久基本农田、生态保护红线范围和其他需要特别保护的区域，与学校、医院、集中居住区等环境敏感目标应当保持防护距离。</w:t>
                  </w:r>
                </w:p>
                <w:p w14:paraId="4DFB4051">
                  <w:pPr>
                    <w:pStyle w:val="19"/>
                    <w:keepNext/>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防护距离应当符合经批准的环境影响评价文件要求。已建固体废物集中收集、贮存、利用、处置设施的防护距离内，不得新建学校、医院、集中居住区等环境敏感目标。</w:t>
                  </w:r>
                </w:p>
              </w:tc>
              <w:tc>
                <w:tcPr>
                  <w:tcW w:w="3511" w:type="dxa"/>
                </w:tcPr>
                <w:p w14:paraId="67A9BCD6">
                  <w:pPr>
                    <w:pStyle w:val="19"/>
                    <w:keepNext/>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项目用地为工业用地，不在</w:t>
                  </w:r>
                  <w:r>
                    <w:rPr>
                      <w:rFonts w:hint="eastAsia" w:cs="Times New Roman"/>
                      <w:color w:val="auto"/>
                      <w:sz w:val="21"/>
                      <w:szCs w:val="21"/>
                      <w:highlight w:val="none"/>
                      <w:vertAlign w:val="baseline"/>
                      <w:lang w:val="en-US" w:eastAsia="zh-CN"/>
                    </w:rPr>
                    <w:t>自然</w:t>
                  </w:r>
                  <w:r>
                    <w:rPr>
                      <w:rFonts w:hint="default" w:ascii="Times New Roman" w:hAnsi="Times New Roman" w:cs="Times New Roman"/>
                      <w:color w:val="auto"/>
                      <w:sz w:val="21"/>
                      <w:szCs w:val="21"/>
                      <w:highlight w:val="none"/>
                      <w:vertAlign w:val="baseline"/>
                    </w:rPr>
                    <w:t>保护区、风景名胜区、饮用水水源保护区、永久基本农田、生态保护红线范围和其他需要特别保护的区域</w:t>
                  </w:r>
                </w:p>
                <w:p w14:paraId="5D48ABA7">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内。</w:t>
                  </w:r>
                </w:p>
              </w:tc>
            </w:tr>
            <w:tr w14:paraId="71744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tcPr>
                <w:p w14:paraId="2B8794DE">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p>
              </w:tc>
              <w:tc>
                <w:tcPr>
                  <w:tcW w:w="3648" w:type="dxa"/>
                </w:tcPr>
                <w:p w14:paraId="0C4A8C3A">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第二十七条  县级以上人民政府生态环境主管部门应当对废弃电器电子产品拆解、利用和处置中的污染防治实施监督管理。</w:t>
                  </w:r>
                </w:p>
                <w:p w14:paraId="0ADA002E">
                  <w:pPr>
                    <w:pStyle w:val="19"/>
                    <w:keepNext/>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废弃电器电子产品处理企业资格由地级以上市人民政府生态环境主管部门依法审批。未取得资格的，不得从事废弃电器电子产品拆解、利用、处置经营活动。</w:t>
                  </w:r>
                </w:p>
                <w:p w14:paraId="7F8E2A63">
                  <w:pPr>
                    <w:pStyle w:val="19"/>
                    <w:keepNext/>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从事废弃电器电子产品拆解、利用、处置经营活动的企业事业单位和其他经营者应当按照国家有关规定和技术规范要求，对废弃电器电子产品进行拆解、利用和处置，防止污染环境。</w:t>
                  </w:r>
                </w:p>
              </w:tc>
              <w:tc>
                <w:tcPr>
                  <w:tcW w:w="3511" w:type="dxa"/>
                </w:tcPr>
                <w:p w14:paraId="67155AF0">
                  <w:pPr>
                    <w:pStyle w:val="19"/>
                    <w:keepNext/>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rPr>
                    <w:t>本项目</w:t>
                  </w:r>
                  <w:r>
                    <w:rPr>
                      <w:rFonts w:hint="eastAsia" w:cs="Times New Roman"/>
                      <w:color w:val="auto"/>
                      <w:sz w:val="21"/>
                      <w:szCs w:val="21"/>
                      <w:highlight w:val="none"/>
                      <w:vertAlign w:val="baseline"/>
                      <w:lang w:val="en-US" w:eastAsia="zh-CN"/>
                    </w:rPr>
                    <w:t>不涉及废弃电器电子产品。</w:t>
                  </w:r>
                </w:p>
              </w:tc>
            </w:tr>
          </w:tbl>
          <w:p w14:paraId="56B7FEB0">
            <w:pPr>
              <w:keepNext/>
              <w:keepLines w:val="0"/>
              <w:pageBreakBefore w:val="0"/>
              <w:numPr>
                <w:ilvl w:val="0"/>
                <w:numId w:val="7"/>
              </w:numPr>
              <w:suppressLineNumbers w:val="0"/>
              <w:spacing w:before="0" w:beforeAutospacing="0" w:after="0" w:afterAutospacing="0"/>
              <w:ind w:left="0" w:right="0" w:firstLine="482"/>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与《</w:t>
            </w:r>
            <w:r>
              <w:rPr>
                <w:rFonts w:hint="eastAsia" w:cs="Times New Roman"/>
                <w:b/>
                <w:bCs/>
                <w:color w:val="auto"/>
                <w:highlight w:val="none"/>
                <w:lang w:val="en-US" w:eastAsia="zh-CN"/>
              </w:rPr>
              <w:t>废塑料污染控制技术规范</w:t>
            </w:r>
            <w:r>
              <w:rPr>
                <w:rFonts w:hint="default" w:ascii="Times New Roman" w:hAnsi="Times New Roman" w:cs="Times New Roman"/>
                <w:b/>
                <w:bCs/>
                <w:color w:val="auto"/>
                <w:highlight w:val="none"/>
              </w:rPr>
              <w:t>》（</w:t>
            </w:r>
            <w:r>
              <w:rPr>
                <w:rFonts w:hint="eastAsia" w:cs="Times New Roman"/>
                <w:b/>
                <w:bCs/>
                <w:color w:val="auto"/>
                <w:highlight w:val="none"/>
                <w:lang w:val="en-US" w:eastAsia="zh-CN"/>
              </w:rPr>
              <w:t>HJ364</w:t>
            </w:r>
            <w:r>
              <w:rPr>
                <w:rFonts w:hint="default" w:ascii="Times New Roman" w:hAnsi="Times New Roman" w:cs="Times New Roman"/>
                <w:b/>
                <w:bCs/>
                <w:color w:val="auto"/>
                <w:highlight w:val="none"/>
              </w:rPr>
              <w:t>-2022）的相符性分析</w:t>
            </w:r>
          </w:p>
          <w:p w14:paraId="677EEAB8">
            <w:pPr>
              <w:pStyle w:val="19"/>
              <w:keepNext/>
              <w:keepLines w:val="0"/>
              <w:pageBreakBefore w:val="0"/>
              <w:suppressLineNumbers w:val="0"/>
              <w:spacing w:before="0" w:beforeAutospacing="0" w:after="0" w:afterAutospacing="0"/>
              <w:ind w:left="0" w:right="86" w:rightChars="36" w:firstLine="420" w:firstLineChars="200"/>
              <w:jc w:val="center"/>
              <w:rPr>
                <w:rFonts w:hint="default" w:ascii="Times New Roman" w:hAnsi="Times New Roman" w:cs="Times New Roman"/>
                <w:b/>
                <w:bCs/>
                <w:color w:val="auto"/>
                <w:highlight w:val="none"/>
              </w:rPr>
            </w:pPr>
            <w:r>
              <w:rPr>
                <w:rFonts w:hint="default" w:ascii="Times New Roman" w:hAnsi="Times New Roman" w:cs="Times New Roman"/>
                <w:b/>
                <w:bCs/>
                <w:color w:val="auto"/>
                <w:sz w:val="21"/>
                <w:szCs w:val="21"/>
                <w:highlight w:val="none"/>
              </w:rPr>
              <w:t>表1-</w:t>
            </w:r>
            <w:r>
              <w:rPr>
                <w:rFonts w:hint="eastAsia" w:cs="Times New Roman"/>
                <w:b/>
                <w:bCs/>
                <w:color w:val="auto"/>
                <w:sz w:val="21"/>
                <w:szCs w:val="21"/>
                <w:highlight w:val="none"/>
                <w:lang w:val="en-US" w:eastAsia="zh-CN"/>
              </w:rPr>
              <w:t>5</w:t>
            </w:r>
            <w:r>
              <w:rPr>
                <w:rFonts w:hint="default" w:ascii="Times New Roman" w:hAnsi="Times New Roman" w:cs="Times New Roman"/>
                <w:b/>
                <w:bCs/>
                <w:color w:val="auto"/>
                <w:sz w:val="21"/>
                <w:szCs w:val="21"/>
                <w:highlight w:val="none"/>
              </w:rPr>
              <w:t>相符性分析一览表</w:t>
            </w:r>
          </w:p>
          <w:tbl>
            <w:tblPr>
              <w:tblStyle w:val="45"/>
              <w:tblW w:w="78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3648"/>
              <w:gridCol w:w="3511"/>
            </w:tblGrid>
            <w:tr w14:paraId="3F96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tcPr>
                <w:p w14:paraId="600C02FB">
                  <w:pPr>
                    <w:pStyle w:val="19"/>
                    <w:keepNext/>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内容</w:t>
                  </w:r>
                </w:p>
              </w:tc>
              <w:tc>
                <w:tcPr>
                  <w:tcW w:w="3648" w:type="dxa"/>
                </w:tcPr>
                <w:p w14:paraId="1AC72E7A">
                  <w:pPr>
                    <w:pStyle w:val="19"/>
                    <w:keepNext/>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要求</w:t>
                  </w:r>
                </w:p>
              </w:tc>
              <w:tc>
                <w:tcPr>
                  <w:tcW w:w="3511" w:type="dxa"/>
                </w:tcPr>
                <w:p w14:paraId="13E7EF25">
                  <w:pPr>
                    <w:pStyle w:val="19"/>
                    <w:keepNext/>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相符性分析</w:t>
                  </w:r>
                </w:p>
              </w:tc>
            </w:tr>
            <w:tr w14:paraId="32C49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tcPr>
                <w:p w14:paraId="20D3F0B9">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收集和运输污染控制要求</w:t>
                  </w:r>
                </w:p>
              </w:tc>
              <w:tc>
                <w:tcPr>
                  <w:tcW w:w="3648" w:type="dxa"/>
                </w:tcPr>
                <w:p w14:paraId="2FF049A0">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sz w:val="21"/>
                      <w:szCs w:val="21"/>
                      <w:highlight w:val="none"/>
                      <w:vertAlign w:val="baseline"/>
                      <w:lang w:eastAsia="zh-CN"/>
                    </w:rPr>
                  </w:pPr>
                  <w:r>
                    <w:rPr>
                      <w:rFonts w:hint="eastAsia" w:cs="Times New Roman"/>
                      <w:color w:val="auto"/>
                      <w:sz w:val="21"/>
                      <w:szCs w:val="21"/>
                      <w:highlight w:val="none"/>
                      <w:vertAlign w:val="baseline"/>
                      <w:lang w:val="en-US" w:eastAsia="zh-CN"/>
                    </w:rPr>
                    <w:t>6.1</w:t>
                  </w:r>
                  <w:r>
                    <w:rPr>
                      <w:rFonts w:hint="default" w:ascii="Times New Roman" w:hAnsi="Times New Roman" w:cs="Times New Roman"/>
                      <w:color w:val="auto"/>
                      <w:sz w:val="21"/>
                      <w:szCs w:val="21"/>
                      <w:highlight w:val="none"/>
                      <w:vertAlign w:val="baseline"/>
                    </w:rPr>
                    <w:t>收集要求</w:t>
                  </w:r>
                  <w:r>
                    <w:rPr>
                      <w:rFonts w:hint="eastAsia" w:cs="Times New Roman"/>
                      <w:color w:val="auto"/>
                      <w:sz w:val="21"/>
                      <w:szCs w:val="21"/>
                      <w:highlight w:val="none"/>
                      <w:vertAlign w:val="baseline"/>
                      <w:lang w:eastAsia="zh-CN"/>
                    </w:rPr>
                    <w:t>：</w:t>
                  </w:r>
                </w:p>
                <w:p w14:paraId="3397924B">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6.1.1 废塑料收集企业应参照GB/T37547，根据废塑料来源、特性及使用过程对废塑料进行分类收集。</w:t>
                  </w:r>
                </w:p>
                <w:p w14:paraId="5C3D5DCC">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6.1.2 废塑料收集过程中应避免扬散，不得随意倾倒残液及清洗。</w:t>
                  </w:r>
                </w:p>
                <w:p w14:paraId="394C74F3">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eastAsia" w:cs="Times New Roman"/>
                      <w:color w:val="auto"/>
                      <w:sz w:val="21"/>
                      <w:szCs w:val="21"/>
                      <w:highlight w:val="none"/>
                      <w:vertAlign w:val="baseline"/>
                      <w:lang w:val="en-US" w:eastAsia="zh-CN"/>
                    </w:rPr>
                    <w:t>6.2</w:t>
                  </w:r>
                  <w:r>
                    <w:rPr>
                      <w:rFonts w:hint="default" w:ascii="Times New Roman" w:hAnsi="Times New Roman" w:cs="Times New Roman"/>
                      <w:color w:val="auto"/>
                      <w:sz w:val="21"/>
                      <w:szCs w:val="21"/>
                      <w:highlight w:val="none"/>
                      <w:vertAlign w:val="baseline"/>
                    </w:rPr>
                    <w:t>运输要求</w:t>
                  </w:r>
                  <w:r>
                    <w:rPr>
                      <w:rFonts w:hint="eastAsia" w:cs="Times New Roman"/>
                      <w:color w:val="auto"/>
                      <w:sz w:val="21"/>
                      <w:szCs w:val="21"/>
                      <w:highlight w:val="none"/>
                      <w:vertAlign w:val="baseline"/>
                      <w:lang w:eastAsia="zh-CN"/>
                    </w:rPr>
                    <w:t>：</w:t>
                  </w:r>
                  <w:r>
                    <w:rPr>
                      <w:rFonts w:hint="default" w:ascii="Times New Roman" w:hAnsi="Times New Roman" w:cs="Times New Roman"/>
                      <w:color w:val="auto"/>
                      <w:sz w:val="21"/>
                      <w:szCs w:val="21"/>
                      <w:highlight w:val="none"/>
                      <w:vertAlign w:val="baseline"/>
                    </w:rPr>
                    <w:t>废塑料及其预处理产物的装卸及运输过程中，应采取必要的防扬散、防渗漏措施，应保持运输车辆的洁净，避免二次污染。</w:t>
                  </w:r>
                </w:p>
              </w:tc>
              <w:tc>
                <w:tcPr>
                  <w:tcW w:w="3511" w:type="dxa"/>
                </w:tcPr>
                <w:p w14:paraId="7BE2A504">
                  <w:pPr>
                    <w:pStyle w:val="19"/>
                    <w:keepNext/>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本项目将</w:t>
                  </w:r>
                  <w:r>
                    <w:rPr>
                      <w:rFonts w:hint="default" w:ascii="Times New Roman" w:hAnsi="Times New Roman" w:cs="Times New Roman"/>
                      <w:color w:val="auto"/>
                      <w:sz w:val="21"/>
                      <w:szCs w:val="21"/>
                      <w:highlight w:val="none"/>
                      <w:vertAlign w:val="baseline"/>
                    </w:rPr>
                    <w:t>根据废塑料来源、特性及使用过程对废塑料进行</w:t>
                  </w:r>
                  <w:r>
                    <w:rPr>
                      <w:rFonts w:hint="eastAsia" w:cs="Times New Roman"/>
                      <w:color w:val="auto"/>
                      <w:sz w:val="21"/>
                      <w:szCs w:val="21"/>
                      <w:highlight w:val="none"/>
                      <w:vertAlign w:val="baseline"/>
                      <w:lang w:val="en-US" w:eastAsia="zh-CN"/>
                    </w:rPr>
                    <w:t>分拣、压实</w:t>
                  </w:r>
                  <w:r>
                    <w:rPr>
                      <w:rFonts w:hint="default" w:ascii="Times New Roman" w:hAnsi="Times New Roman" w:cs="Times New Roman"/>
                      <w:color w:val="auto"/>
                      <w:sz w:val="21"/>
                      <w:szCs w:val="21"/>
                      <w:highlight w:val="none"/>
                      <w:vertAlign w:val="baseline"/>
                    </w:rPr>
                    <w:t>。</w:t>
                  </w:r>
                  <w:r>
                    <w:rPr>
                      <w:rFonts w:hint="eastAsia" w:cs="Times New Roman"/>
                      <w:color w:val="auto"/>
                      <w:sz w:val="21"/>
                      <w:szCs w:val="21"/>
                      <w:highlight w:val="none"/>
                      <w:vertAlign w:val="baseline"/>
                      <w:lang w:val="en-US" w:eastAsia="zh-CN"/>
                    </w:rPr>
                    <w:t>在收集过程中避免</w:t>
                  </w:r>
                  <w:r>
                    <w:rPr>
                      <w:rFonts w:hint="default" w:ascii="Times New Roman" w:hAnsi="Times New Roman" w:cs="Times New Roman"/>
                      <w:color w:val="auto"/>
                      <w:sz w:val="21"/>
                      <w:szCs w:val="21"/>
                      <w:highlight w:val="none"/>
                      <w:vertAlign w:val="baseline"/>
                    </w:rPr>
                    <w:t>扬散</w:t>
                  </w:r>
                  <w:r>
                    <w:rPr>
                      <w:rFonts w:hint="eastAsia" w:cs="Times New Roman"/>
                      <w:color w:val="auto"/>
                      <w:sz w:val="21"/>
                      <w:szCs w:val="21"/>
                      <w:highlight w:val="none"/>
                      <w:vertAlign w:val="baseline"/>
                      <w:lang w:eastAsia="zh-CN"/>
                    </w:rPr>
                    <w:t>。</w:t>
                  </w:r>
                  <w:r>
                    <w:rPr>
                      <w:rFonts w:hint="eastAsia" w:cs="Times New Roman"/>
                      <w:color w:val="auto"/>
                      <w:sz w:val="21"/>
                      <w:szCs w:val="21"/>
                      <w:highlight w:val="none"/>
                      <w:vertAlign w:val="baseline"/>
                      <w:lang w:val="en-US" w:eastAsia="zh-CN"/>
                    </w:rPr>
                    <w:t>运输废塑料的车辆做到</w:t>
                  </w:r>
                  <w:r>
                    <w:rPr>
                      <w:rFonts w:hint="default" w:ascii="Times New Roman" w:hAnsi="Times New Roman" w:cs="Times New Roman"/>
                      <w:color w:val="auto"/>
                      <w:sz w:val="21"/>
                      <w:szCs w:val="21"/>
                      <w:highlight w:val="none"/>
                      <w:vertAlign w:val="baseline"/>
                    </w:rPr>
                    <w:t>防扬散、防渗漏</w:t>
                  </w:r>
                  <w:r>
                    <w:rPr>
                      <w:rFonts w:hint="eastAsia" w:cs="Times New Roman"/>
                      <w:color w:val="auto"/>
                      <w:sz w:val="21"/>
                      <w:szCs w:val="21"/>
                      <w:highlight w:val="none"/>
                      <w:vertAlign w:val="baseline"/>
                      <w:lang w:eastAsia="zh-CN"/>
                    </w:rPr>
                    <w:t>。</w:t>
                  </w:r>
                </w:p>
              </w:tc>
            </w:tr>
            <w:tr w14:paraId="70F96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restart"/>
                </w:tcPr>
                <w:p w14:paraId="65EBD424">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预处理污染控制要求</w:t>
                  </w:r>
                </w:p>
              </w:tc>
              <w:tc>
                <w:tcPr>
                  <w:tcW w:w="3648" w:type="dxa"/>
                </w:tcPr>
                <w:p w14:paraId="730DC985">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7.1 一般性要求</w:t>
                  </w:r>
                </w:p>
                <w:p w14:paraId="1E1E04EC">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7.1.1 应根据废塑料的来源、特性、污染情况以及后续再生利用或处置的要求，选择合理的预处理方式。</w:t>
                  </w:r>
                </w:p>
                <w:p w14:paraId="368C8E27">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7.1.2 废塑料的预处理应控制二次污染。大气污染物排放应符合GB31572或GB16297、GB37822等标准的规定。恶臭污染物排放应符合GB14554的规定。废水控制应根据出水受纳水体的功能要求或纳管要求，执行国家和地方相关排放标准，重点控制的污染物指标包括悬浮物、pH值、色度、石油类和化学需氧量等。噪声排放应符合GB12348的规定。</w:t>
                  </w:r>
                </w:p>
              </w:tc>
              <w:tc>
                <w:tcPr>
                  <w:tcW w:w="3511" w:type="dxa"/>
                </w:tcPr>
                <w:p w14:paraId="5293FE91">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废塑料进场后将对废塑料进行人工分拣。分拣、压实过程中产生颗粒物与臭气浓度。其中颗粒物执行广东省《大气污染物排放限值》（DB44/27-2001）第二时段排放限值，臭气浓度执行《恶臭污染物排放标准》（GB14554-93）中表1恶臭污染物厂界标准值二级新扩改建标准要求。本项目无生产废水产生，噪声排放执行《工业企业厂界环境噪声排放标准》（GB12348-2008）3类标准。</w:t>
                  </w:r>
                </w:p>
              </w:tc>
            </w:tr>
            <w:tr w14:paraId="2BCB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tcPr>
                <w:p w14:paraId="17F9C68B">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p>
              </w:tc>
              <w:tc>
                <w:tcPr>
                  <w:tcW w:w="3648" w:type="dxa"/>
                </w:tcPr>
                <w:p w14:paraId="2D1A4583">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7.2 分选要求</w:t>
                  </w:r>
                </w:p>
                <w:p w14:paraId="5F244038">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7.2.1 应采用预分选工艺，将废塑料与其他废物分开，提高下游自动化分选的效率。</w:t>
                  </w:r>
                </w:p>
                <w:p w14:paraId="32EE35F5">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7.2.2 废塑料分选应遵循稳定、二次污染可控的原则，根据废塑料特性，宜采用气流分选、静电分选、X射线荧光分选、近红外分选、熔融过滤分选、低温破碎分选及其他新型的自动化分选等单一或集成化分选技术。</w:t>
                  </w:r>
                </w:p>
              </w:tc>
              <w:tc>
                <w:tcPr>
                  <w:tcW w:w="3511" w:type="dxa"/>
                </w:tcPr>
                <w:p w14:paraId="29F40C51">
                  <w:pPr>
                    <w:pStyle w:val="19"/>
                    <w:keepNext/>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废塑料进场后即进行人工分拣，不与其他固体废物混合贮存。</w:t>
                  </w:r>
                </w:p>
              </w:tc>
            </w:tr>
            <w:tr w14:paraId="2478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tcPr>
                <w:p w14:paraId="30FC6413">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p>
              </w:tc>
              <w:tc>
                <w:tcPr>
                  <w:tcW w:w="3648" w:type="dxa"/>
                </w:tcPr>
                <w:p w14:paraId="474A0F42">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7.3 破碎要求</w:t>
                  </w:r>
                </w:p>
                <w:p w14:paraId="0D115FCD">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7.4 清洗要求</w:t>
                  </w:r>
                </w:p>
                <w:p w14:paraId="06FBB51D">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7.5 干燥要求</w:t>
                  </w:r>
                </w:p>
              </w:tc>
              <w:tc>
                <w:tcPr>
                  <w:tcW w:w="3511" w:type="dxa"/>
                </w:tcPr>
                <w:p w14:paraId="69090FD3">
                  <w:pPr>
                    <w:pStyle w:val="19"/>
                    <w:keepNext/>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本项目为一般工业固体废物分拣、压实，不涉及破碎、清洗、干燥。</w:t>
                  </w:r>
                </w:p>
              </w:tc>
            </w:tr>
            <w:tr w14:paraId="345C7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6" w:type="dxa"/>
                  <w:gridSpan w:val="2"/>
                </w:tcPr>
                <w:p w14:paraId="2FA35EB0">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8 再生利用和处置污染控制要求</w:t>
                  </w:r>
                </w:p>
              </w:tc>
              <w:tc>
                <w:tcPr>
                  <w:tcW w:w="3511" w:type="dxa"/>
                </w:tcPr>
                <w:p w14:paraId="1C44D6DF">
                  <w:pPr>
                    <w:pStyle w:val="19"/>
                    <w:keepNext/>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本项目不涉及废塑料的再生利用与处置。</w:t>
                  </w:r>
                </w:p>
              </w:tc>
            </w:tr>
            <w:tr w14:paraId="1159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tcPr>
                <w:p w14:paraId="5462A95F">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运行环境管理要求</w:t>
                  </w:r>
                </w:p>
              </w:tc>
              <w:tc>
                <w:tcPr>
                  <w:tcW w:w="3648" w:type="dxa"/>
                </w:tcPr>
                <w:p w14:paraId="540AFAF2">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9.1 一般性要求</w:t>
                  </w:r>
                </w:p>
                <w:p w14:paraId="39544B55">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9.1.1 废塑料的产生、收集、运输、贮存和再生利用企业，应按照GB/T19001、GB/T24001、GB/T45001</w:t>
                  </w:r>
                </w:p>
                <w:p w14:paraId="12DC43B8">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等标准建立管理体系，设置专门的部门或者专（兼）职人员，负责废塑料收集和再生利用过程中的相关环境管理工作。</w:t>
                  </w:r>
                </w:p>
                <w:p w14:paraId="74E99318">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9.1.2 废塑料的产生和再生利用企业，应按照排污许可证规定严格控制污染物排放。</w:t>
                  </w:r>
                </w:p>
                <w:p w14:paraId="1395BFA6">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9.1.3 废塑料的产生、收集、运输、贮存和再生利用企业，应对从业人员进行环境保护培训。</w:t>
                  </w:r>
                </w:p>
              </w:tc>
              <w:tc>
                <w:tcPr>
                  <w:tcW w:w="3511" w:type="dxa"/>
                </w:tcPr>
                <w:p w14:paraId="32EB2DB1">
                  <w:pPr>
                    <w:pStyle w:val="19"/>
                    <w:keepNext/>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本项目</w:t>
                  </w:r>
                  <w:r>
                    <w:rPr>
                      <w:rFonts w:hint="default" w:ascii="Times New Roman" w:hAnsi="Times New Roman" w:cs="Times New Roman"/>
                      <w:color w:val="auto"/>
                      <w:sz w:val="21"/>
                      <w:szCs w:val="21"/>
                      <w:highlight w:val="none"/>
                      <w:vertAlign w:val="baseline"/>
                    </w:rPr>
                    <w:t>建立环保专人管理制度，负责全厂环境保护的管理，并对从业人员进行定期的环境保护培训</w:t>
                  </w:r>
                  <w:r>
                    <w:rPr>
                      <w:rFonts w:hint="eastAsia" w:cs="Times New Roman"/>
                      <w:color w:val="auto"/>
                      <w:sz w:val="21"/>
                      <w:szCs w:val="21"/>
                      <w:highlight w:val="none"/>
                      <w:vertAlign w:val="baseline"/>
                      <w:lang w:eastAsia="zh-CN"/>
                    </w:rPr>
                    <w:t>。</w:t>
                  </w:r>
                  <w:r>
                    <w:rPr>
                      <w:rFonts w:hint="eastAsia" w:cs="Times New Roman"/>
                      <w:color w:val="auto"/>
                      <w:sz w:val="21"/>
                      <w:szCs w:val="21"/>
                      <w:highlight w:val="none"/>
                      <w:vertAlign w:val="baseline"/>
                      <w:lang w:val="en-US" w:eastAsia="zh-CN"/>
                    </w:rPr>
                    <w:t>根据规定严格控制污染物排放。</w:t>
                  </w:r>
                </w:p>
              </w:tc>
            </w:tr>
            <w:tr w14:paraId="319D8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tcPr>
                <w:p w14:paraId="7707D8C7">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p>
              </w:tc>
              <w:tc>
                <w:tcPr>
                  <w:tcW w:w="3648" w:type="dxa"/>
                </w:tcPr>
                <w:p w14:paraId="5DC1E3F0">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9.2 项目建设的环境管理要求</w:t>
                  </w:r>
                </w:p>
                <w:p w14:paraId="3AE536F0">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9.2.1 废塑料的再生利用项目应严格执行环境影响评价和“三同时”制度。</w:t>
                  </w:r>
                </w:p>
                <w:p w14:paraId="6CB34B5A">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9.2.2 新建和改扩建废塑料再生利用项目的选址应符合当地城市总体发展规划、用地规划、生态环境分区管控方案、规划环评及其他环境保护要求。</w:t>
                  </w:r>
                </w:p>
                <w:p w14:paraId="644E592D">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9.2.3 废塑料再生利用项目应按功能划分厂区，包括管理区、原料贮存区、生产区、产品贮存区、不可利用废物的贮存和处理区等，各功能区应有明显的界线或标识。</w:t>
                  </w:r>
                </w:p>
              </w:tc>
              <w:tc>
                <w:tcPr>
                  <w:tcW w:w="3511" w:type="dxa"/>
                </w:tcPr>
                <w:p w14:paraId="424F291D">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sz w:val="21"/>
                      <w:szCs w:val="21"/>
                      <w:highlight w:val="none"/>
                      <w:vertAlign w:val="baseline"/>
                      <w:lang w:eastAsia="zh-CN"/>
                    </w:rPr>
                  </w:pPr>
                  <w:r>
                    <w:rPr>
                      <w:rFonts w:hint="default" w:ascii="Times New Roman" w:hAnsi="Times New Roman" w:cs="Times New Roman"/>
                      <w:color w:val="auto"/>
                      <w:sz w:val="21"/>
                      <w:szCs w:val="21"/>
                      <w:highlight w:val="none"/>
                      <w:vertAlign w:val="baseline"/>
                    </w:rPr>
                    <w:t>本项目严格执行环境影响评价和“三同时"制度。本项目选址为工业用地，符合规划及其他环境保护要求。本项目对厂区进行严格划分</w:t>
                  </w:r>
                  <w:r>
                    <w:rPr>
                      <w:rFonts w:hint="eastAsia" w:cs="Times New Roman"/>
                      <w:color w:val="auto"/>
                      <w:sz w:val="21"/>
                      <w:szCs w:val="21"/>
                      <w:highlight w:val="none"/>
                      <w:vertAlign w:val="baseline"/>
                      <w:lang w:eastAsia="zh-CN"/>
                    </w:rPr>
                    <w:t>。</w:t>
                  </w:r>
                </w:p>
              </w:tc>
            </w:tr>
          </w:tbl>
          <w:p w14:paraId="1840CE7D">
            <w:pPr>
              <w:keepNext/>
              <w:keepLines w:val="0"/>
              <w:pageBreakBefore w:val="0"/>
              <w:suppressLineNumbers w:val="0"/>
              <w:spacing w:before="0" w:beforeAutospacing="0" w:after="0" w:afterAutospacing="0"/>
              <w:ind w:left="0" w:right="0" w:firstLine="482"/>
              <w:rPr>
                <w:color w:val="auto"/>
              </w:rPr>
            </w:pPr>
            <w:r>
              <w:rPr>
                <w:rFonts w:hint="eastAsia" w:cs="Times New Roman"/>
                <w:b/>
                <w:bCs/>
                <w:color w:val="auto"/>
                <w:sz w:val="24"/>
                <w:szCs w:val="24"/>
                <w:highlight w:val="none"/>
                <w:lang w:val="en-US" w:eastAsia="zh-CN"/>
              </w:rPr>
              <w:t>6、</w:t>
            </w:r>
            <w:r>
              <w:rPr>
                <w:rFonts w:hint="default" w:ascii="Times New Roman" w:hAnsi="Times New Roman" w:cs="Times New Roman"/>
                <w:b/>
                <w:bCs/>
                <w:color w:val="auto"/>
                <w:sz w:val="24"/>
                <w:szCs w:val="24"/>
                <w:highlight w:val="none"/>
              </w:rPr>
              <w:t>与《</w:t>
            </w:r>
            <w:r>
              <w:rPr>
                <w:rFonts w:hint="eastAsia" w:cs="Times New Roman"/>
                <w:b/>
                <w:bCs/>
                <w:color w:val="auto"/>
                <w:sz w:val="24"/>
                <w:szCs w:val="24"/>
                <w:highlight w:val="none"/>
                <w:lang w:val="en-US" w:eastAsia="zh-CN"/>
              </w:rPr>
              <w:t>废塑料回收技术规范</w:t>
            </w:r>
            <w:r>
              <w:rPr>
                <w:rFonts w:hint="default" w:ascii="Times New Roman" w:hAnsi="Times New Roman" w:cs="Times New Roman"/>
                <w:b/>
                <w:bCs/>
                <w:color w:val="auto"/>
                <w:sz w:val="24"/>
                <w:szCs w:val="24"/>
                <w:highlight w:val="none"/>
              </w:rPr>
              <w:t>》（</w:t>
            </w:r>
            <w:r>
              <w:rPr>
                <w:rFonts w:hint="eastAsia" w:cs="Times New Roman"/>
                <w:b/>
                <w:bCs/>
                <w:color w:val="auto"/>
                <w:sz w:val="24"/>
                <w:szCs w:val="24"/>
                <w:highlight w:val="none"/>
                <w:lang w:val="en-US" w:eastAsia="zh-CN"/>
              </w:rPr>
              <w:t>GB/T39171</w:t>
            </w:r>
            <w:r>
              <w:rPr>
                <w:rFonts w:hint="default" w:ascii="Times New Roman" w:hAnsi="Times New Roman" w:cs="Times New Roman"/>
                <w:b/>
                <w:bCs/>
                <w:color w:val="auto"/>
                <w:sz w:val="24"/>
                <w:szCs w:val="24"/>
                <w:highlight w:val="none"/>
              </w:rPr>
              <w:t>-20</w:t>
            </w:r>
            <w:r>
              <w:rPr>
                <w:rFonts w:hint="eastAsia" w:cs="Times New Roman"/>
                <w:b/>
                <w:bCs/>
                <w:color w:val="auto"/>
                <w:sz w:val="24"/>
                <w:szCs w:val="24"/>
                <w:highlight w:val="none"/>
                <w:lang w:val="en-US" w:eastAsia="zh-CN"/>
              </w:rPr>
              <w:t>20</w:t>
            </w:r>
            <w:r>
              <w:rPr>
                <w:rFonts w:hint="default" w:ascii="Times New Roman" w:hAnsi="Times New Roman" w:cs="Times New Roman"/>
                <w:b/>
                <w:bCs/>
                <w:color w:val="auto"/>
                <w:sz w:val="24"/>
                <w:szCs w:val="24"/>
                <w:highlight w:val="none"/>
              </w:rPr>
              <w:t>）的相符性分析</w:t>
            </w:r>
          </w:p>
          <w:p w14:paraId="748FDDB8">
            <w:pPr>
              <w:keepNext/>
              <w:keepLines w:val="0"/>
              <w:pageBreakBefore w:val="0"/>
              <w:suppressLineNumbers w:val="0"/>
              <w:spacing w:before="0" w:beforeAutospacing="0" w:after="0" w:afterAutospacing="0"/>
              <w:ind w:left="0" w:right="0" w:firstLine="0"/>
              <w:jc w:val="center"/>
              <w:rPr>
                <w:rFonts w:hint="default" w:ascii="Times New Roman" w:hAnsi="Times New Roman" w:cs="Times New Roman"/>
                <w:b/>
                <w:bCs/>
                <w:color w:val="auto"/>
                <w:highlight w:val="none"/>
              </w:rPr>
            </w:pPr>
            <w:r>
              <w:rPr>
                <w:rFonts w:hint="default" w:ascii="Times New Roman" w:hAnsi="Times New Roman" w:cs="Times New Roman"/>
                <w:b/>
                <w:bCs/>
                <w:color w:val="auto"/>
                <w:sz w:val="21"/>
                <w:szCs w:val="21"/>
                <w:highlight w:val="none"/>
              </w:rPr>
              <w:t>表1-</w:t>
            </w:r>
            <w:r>
              <w:rPr>
                <w:rFonts w:hint="eastAsia" w:cs="Times New Roman"/>
                <w:b/>
                <w:bCs/>
                <w:color w:val="auto"/>
                <w:sz w:val="21"/>
                <w:szCs w:val="21"/>
                <w:highlight w:val="none"/>
                <w:lang w:val="en-US" w:eastAsia="zh-CN"/>
              </w:rPr>
              <w:t>6</w:t>
            </w:r>
            <w:r>
              <w:rPr>
                <w:rFonts w:hint="default" w:ascii="Times New Roman" w:hAnsi="Times New Roman" w:cs="Times New Roman"/>
                <w:b/>
                <w:bCs/>
                <w:color w:val="auto"/>
                <w:sz w:val="21"/>
                <w:szCs w:val="21"/>
                <w:highlight w:val="none"/>
              </w:rPr>
              <w:t>相符性分析一览表</w:t>
            </w:r>
          </w:p>
          <w:tbl>
            <w:tblPr>
              <w:tblStyle w:val="45"/>
              <w:tblW w:w="78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3648"/>
              <w:gridCol w:w="3511"/>
            </w:tblGrid>
            <w:tr w14:paraId="6AD6D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tcPr>
                <w:p w14:paraId="63EDC5AB">
                  <w:pPr>
                    <w:pStyle w:val="19"/>
                    <w:keepNext/>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rPr>
                  </w:pPr>
                  <w:r>
                    <w:rPr>
                      <w:rFonts w:hint="eastAsia" w:cs="Times New Roman"/>
                      <w:color w:val="auto"/>
                      <w:sz w:val="21"/>
                      <w:szCs w:val="21"/>
                      <w:highlight w:val="none"/>
                      <w:vertAlign w:val="baseline"/>
                      <w:lang w:val="en-US" w:eastAsia="zh-CN"/>
                    </w:rPr>
                    <w:t>内容</w:t>
                  </w:r>
                </w:p>
              </w:tc>
              <w:tc>
                <w:tcPr>
                  <w:tcW w:w="3648" w:type="dxa"/>
                </w:tcPr>
                <w:p w14:paraId="10DAA44E">
                  <w:pPr>
                    <w:pStyle w:val="19"/>
                    <w:keepNext/>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rPr>
                  </w:pPr>
                  <w:r>
                    <w:rPr>
                      <w:rFonts w:hint="eastAsia" w:cs="Times New Roman"/>
                      <w:color w:val="auto"/>
                      <w:sz w:val="21"/>
                      <w:szCs w:val="21"/>
                      <w:highlight w:val="none"/>
                      <w:vertAlign w:val="baseline"/>
                      <w:lang w:val="en-US" w:eastAsia="zh-CN"/>
                    </w:rPr>
                    <w:t>要求</w:t>
                  </w:r>
                </w:p>
              </w:tc>
              <w:tc>
                <w:tcPr>
                  <w:tcW w:w="3511" w:type="dxa"/>
                </w:tcPr>
                <w:p w14:paraId="4897B62E">
                  <w:pPr>
                    <w:pStyle w:val="19"/>
                    <w:keepNext/>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rPr>
                  </w:pPr>
                  <w:r>
                    <w:rPr>
                      <w:rFonts w:hint="eastAsia" w:cs="Times New Roman"/>
                      <w:color w:val="auto"/>
                      <w:sz w:val="21"/>
                      <w:szCs w:val="21"/>
                      <w:highlight w:val="none"/>
                      <w:vertAlign w:val="baseline"/>
                      <w:lang w:val="en-US" w:eastAsia="zh-CN"/>
                    </w:rPr>
                    <w:t>相符性分析</w:t>
                  </w:r>
                </w:p>
              </w:tc>
            </w:tr>
            <w:tr w14:paraId="34695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tcPr>
                <w:p w14:paraId="58742FF9">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收集</w:t>
                  </w:r>
                </w:p>
              </w:tc>
              <w:tc>
                <w:tcPr>
                  <w:tcW w:w="3648" w:type="dxa"/>
                </w:tcPr>
                <w:p w14:paraId="1ABFC663">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5.1</w:t>
                  </w:r>
                  <w:r>
                    <w:rPr>
                      <w:rFonts w:hint="eastAsia" w:cs="Times New Roman"/>
                      <w:color w:val="auto"/>
                      <w:sz w:val="21"/>
                      <w:szCs w:val="21"/>
                      <w:highlight w:val="none"/>
                      <w:vertAlign w:val="baseline"/>
                      <w:lang w:val="en-US" w:eastAsia="zh-CN"/>
                    </w:rPr>
                    <w:t xml:space="preserve"> </w:t>
                  </w:r>
                  <w:r>
                    <w:rPr>
                      <w:rFonts w:hint="default" w:ascii="Times New Roman" w:hAnsi="Times New Roman" w:cs="Times New Roman"/>
                      <w:color w:val="auto"/>
                      <w:sz w:val="21"/>
                      <w:szCs w:val="21"/>
                      <w:highlight w:val="none"/>
                      <w:vertAlign w:val="baseline"/>
                    </w:rPr>
                    <w:t>应按废塑料的种类进行分类收集。废塑料分类及相应原生塑料应用参见附录A的表A.1。</w:t>
                  </w:r>
                </w:p>
                <w:p w14:paraId="1C470A04">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rPr>
                    <w:t>5.2</w:t>
                  </w:r>
                  <w:r>
                    <w:rPr>
                      <w:rFonts w:hint="eastAsia" w:cs="Times New Roman"/>
                      <w:color w:val="auto"/>
                      <w:sz w:val="21"/>
                      <w:szCs w:val="21"/>
                      <w:highlight w:val="none"/>
                      <w:vertAlign w:val="baseline"/>
                      <w:lang w:val="en-US" w:eastAsia="zh-CN"/>
                    </w:rPr>
                    <w:t xml:space="preserve"> </w:t>
                  </w:r>
                  <w:r>
                    <w:rPr>
                      <w:rFonts w:hint="default" w:ascii="Times New Roman" w:hAnsi="Times New Roman" w:cs="Times New Roman"/>
                      <w:color w:val="auto"/>
                      <w:sz w:val="21"/>
                      <w:szCs w:val="21"/>
                      <w:highlight w:val="none"/>
                      <w:vertAlign w:val="baseline"/>
                    </w:rPr>
                    <w:t>废塑料收集过程中应包装完整，避免遗撒</w:t>
                  </w:r>
                  <w:r>
                    <w:rPr>
                      <w:rFonts w:hint="eastAsia" w:cs="Times New Roman"/>
                      <w:color w:val="auto"/>
                      <w:sz w:val="21"/>
                      <w:szCs w:val="21"/>
                      <w:highlight w:val="none"/>
                      <w:vertAlign w:val="baseline"/>
                      <w:lang w:eastAsia="zh-CN"/>
                    </w:rPr>
                    <w:t>。</w:t>
                  </w:r>
                </w:p>
                <w:p w14:paraId="478F50DE">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sz w:val="21"/>
                      <w:szCs w:val="21"/>
                      <w:highlight w:val="none"/>
                      <w:vertAlign w:val="baseline"/>
                      <w:lang w:eastAsia="zh-CN"/>
                    </w:rPr>
                  </w:pPr>
                  <w:r>
                    <w:rPr>
                      <w:rFonts w:hint="default" w:ascii="Times New Roman" w:hAnsi="Times New Roman" w:cs="Times New Roman"/>
                      <w:color w:val="auto"/>
                      <w:sz w:val="21"/>
                      <w:szCs w:val="21"/>
                      <w:highlight w:val="none"/>
                      <w:vertAlign w:val="baseline"/>
                    </w:rPr>
                    <w:t>5.3</w:t>
                  </w:r>
                  <w:r>
                    <w:rPr>
                      <w:rFonts w:hint="eastAsia" w:cs="Times New Roman"/>
                      <w:color w:val="auto"/>
                      <w:sz w:val="21"/>
                      <w:szCs w:val="21"/>
                      <w:highlight w:val="none"/>
                      <w:vertAlign w:val="baseline"/>
                      <w:lang w:val="en-US" w:eastAsia="zh-CN"/>
                    </w:rPr>
                    <w:t xml:space="preserve"> </w:t>
                  </w:r>
                  <w:r>
                    <w:rPr>
                      <w:rFonts w:hint="default" w:ascii="Times New Roman" w:hAnsi="Times New Roman" w:cs="Times New Roman"/>
                      <w:color w:val="auto"/>
                      <w:sz w:val="21"/>
                      <w:szCs w:val="21"/>
                      <w:highlight w:val="none"/>
                      <w:vertAlign w:val="baseline"/>
                    </w:rPr>
                    <w:t>废塑料收集过程中不得就地清洗</w:t>
                  </w:r>
                  <w:r>
                    <w:rPr>
                      <w:rFonts w:hint="eastAsia" w:cs="Times New Roman"/>
                      <w:color w:val="auto"/>
                      <w:sz w:val="21"/>
                      <w:szCs w:val="21"/>
                      <w:highlight w:val="none"/>
                      <w:vertAlign w:val="baseline"/>
                      <w:lang w:eastAsia="zh-CN"/>
                    </w:rPr>
                    <w:t>。</w:t>
                  </w:r>
                </w:p>
                <w:p w14:paraId="7F97F235">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5.4</w:t>
                  </w:r>
                  <w:r>
                    <w:rPr>
                      <w:rFonts w:hint="eastAsia" w:cs="Times New Roman"/>
                      <w:color w:val="auto"/>
                      <w:sz w:val="21"/>
                      <w:szCs w:val="21"/>
                      <w:highlight w:val="none"/>
                      <w:vertAlign w:val="baseline"/>
                      <w:lang w:val="en-US" w:eastAsia="zh-CN"/>
                    </w:rPr>
                    <w:t xml:space="preserve"> </w:t>
                  </w:r>
                  <w:r>
                    <w:rPr>
                      <w:rFonts w:hint="default" w:ascii="Times New Roman" w:hAnsi="Times New Roman" w:cs="Times New Roman"/>
                      <w:color w:val="auto"/>
                      <w:sz w:val="21"/>
                      <w:szCs w:val="21"/>
                      <w:highlight w:val="none"/>
                      <w:vertAlign w:val="baseline"/>
                    </w:rPr>
                    <w:t>废塑料收集过程中应使用机械破碎技术进行减容处理，并配备相应的防尘、防噪声措施。</w:t>
                  </w:r>
                </w:p>
              </w:tc>
              <w:tc>
                <w:tcPr>
                  <w:tcW w:w="3511" w:type="dxa"/>
                </w:tcPr>
                <w:p w14:paraId="60AF0783">
                  <w:pPr>
                    <w:pStyle w:val="19"/>
                    <w:keepNext/>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本项目按种类对废塑料进行分拣，在收集过程中包装完整、避免洒落。本项目对废塑料进行压实，不进行破碎。</w:t>
                  </w:r>
                </w:p>
              </w:tc>
            </w:tr>
            <w:tr w14:paraId="4F75F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tcPr>
                <w:p w14:paraId="7A5B4138">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分拣</w:t>
                  </w:r>
                </w:p>
              </w:tc>
              <w:tc>
                <w:tcPr>
                  <w:tcW w:w="3648" w:type="dxa"/>
                </w:tcPr>
                <w:p w14:paraId="1A6F658B">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6.1 废塑料宜按废通用塑料、废通用工程塑料、废特种工程塑料、废塑料合金(共混物)和废热固性塑料进行分类，并按国家相关规定分别进行处理。</w:t>
                  </w:r>
                </w:p>
                <w:p w14:paraId="34C6705A">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6.2 废塑料分选应遵循稳定、无二次污染的原则，根据废塑料特点，宜使用静电分选、近红外分选、X-射线荧光分选、气流分选、重介质分选、熔融过滤分选、低温破碎分选及其他新型的自动化分选等单一和集成化分选技术。</w:t>
                  </w:r>
                </w:p>
                <w:p w14:paraId="7F4E98D6">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6.3 废塑料分拣过程中如使用强酸脱除废塑料表面涂层或镀层，应配套酸碱中和工艺和污水处理设施</w:t>
                  </w:r>
                </w:p>
                <w:p w14:paraId="132242B4">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6.4 废塑料分选过程中宜选出单一组分，达到后期高值化再生利用的要求;不能选出单一组分的，以不影响整体再利用为限;现有方法完全不能分离的，作为不可利用固体废物进行处置。6.5 破碎废塑料应</w:t>
                  </w:r>
                  <w:r>
                    <w:rPr>
                      <w:rFonts w:hint="eastAsia" w:cs="Times New Roman"/>
                      <w:color w:val="auto"/>
                      <w:sz w:val="21"/>
                      <w:szCs w:val="21"/>
                      <w:highlight w:val="none"/>
                      <w:vertAlign w:val="baseline"/>
                      <w:lang w:val="en-US" w:eastAsia="zh-CN"/>
                    </w:rPr>
                    <w:t>采取</w:t>
                  </w:r>
                  <w:r>
                    <w:rPr>
                      <w:rFonts w:hint="default" w:ascii="Times New Roman" w:hAnsi="Times New Roman" w:cs="Times New Roman"/>
                      <w:color w:val="auto"/>
                      <w:sz w:val="21"/>
                      <w:szCs w:val="21"/>
                      <w:highlight w:val="none"/>
                      <w:vertAlign w:val="baseline"/>
                    </w:rPr>
                    <w:t>干法破碎技术:并采取相应的防尘、防噪声措施产生的噪声应符合GB12348的有关规定，处理后的粉尘应符合GB16297的有关规定;湿法破碎应配套污水收集处理设施。</w:t>
                  </w:r>
                </w:p>
                <w:p w14:paraId="5A24EC75">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6.6废塑料的清洗场地应做防水、防渗漏处理，有特殊要求的地面应做防腐蚀处理，</w:t>
                  </w:r>
                </w:p>
                <w:p w14:paraId="7AF3435E">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6.7废塑料的清洗方法可分为物理清洗和化学清洗，应根据废塑料来源和污染情况选择清洗工艺;宜采用高效节水的机械清洗技术和无磷清洗剂，不得使用有毒有害的化学清洗剂。</w:t>
                  </w:r>
                </w:p>
                <w:p w14:paraId="17262DE4">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6.8分拣后的废塑料应采用独立完整的包装。</w:t>
                  </w:r>
                </w:p>
                <w:p w14:paraId="561682EF">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6.9放应符合GB8978或地方相关标准的有关规定。废塑料分拣过程中产生的废水，应进行污水净化处理，处理后的水应作为中水循环再利用</w:t>
                  </w:r>
                  <w:r>
                    <w:rPr>
                      <w:rFonts w:hint="eastAsia" w:cs="Times New Roman"/>
                      <w:color w:val="auto"/>
                      <w:sz w:val="21"/>
                      <w:szCs w:val="21"/>
                      <w:highlight w:val="none"/>
                      <w:vertAlign w:val="baseline"/>
                      <w:lang w:eastAsia="zh-CN"/>
                    </w:rPr>
                    <w:t>；</w:t>
                  </w:r>
                  <w:r>
                    <w:rPr>
                      <w:rFonts w:hint="default" w:ascii="Times New Roman" w:hAnsi="Times New Roman" w:cs="Times New Roman"/>
                      <w:color w:val="auto"/>
                      <w:sz w:val="21"/>
                      <w:szCs w:val="21"/>
                      <w:highlight w:val="none"/>
                      <w:vertAlign w:val="baseline"/>
                    </w:rPr>
                    <w:t>污水排放应符合GB8978或地方相关标准的有关规定。</w:t>
                  </w:r>
                </w:p>
              </w:tc>
              <w:tc>
                <w:tcPr>
                  <w:tcW w:w="3511" w:type="dxa"/>
                </w:tcPr>
                <w:p w14:paraId="50991C58">
                  <w:pPr>
                    <w:pStyle w:val="19"/>
                    <w:keepNext/>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rPr>
                    <w:t>废塑料分类后按</w:t>
                  </w:r>
                  <w:r>
                    <w:rPr>
                      <w:rFonts w:hint="eastAsia" w:cs="Times New Roman"/>
                      <w:color w:val="auto"/>
                      <w:sz w:val="21"/>
                      <w:szCs w:val="21"/>
                      <w:highlight w:val="none"/>
                      <w:vertAlign w:val="baseline"/>
                      <w:lang w:eastAsia="zh-CN"/>
                    </w:rPr>
                    <w:t>规定</w:t>
                  </w:r>
                  <w:r>
                    <w:rPr>
                      <w:rFonts w:hint="default" w:ascii="Times New Roman" w:hAnsi="Times New Roman" w:cs="Times New Roman"/>
                      <w:color w:val="auto"/>
                      <w:sz w:val="21"/>
                      <w:szCs w:val="21"/>
                      <w:highlight w:val="none"/>
                      <w:vertAlign w:val="baseline"/>
                    </w:rPr>
                    <w:t>处理。本项目采用人工分拣，不使用强酸脱除废塑料表面涂层或镀层。不涉及分选</w:t>
                  </w:r>
                  <w:r>
                    <w:rPr>
                      <w:rFonts w:hint="eastAsia" w:cs="Times New Roman"/>
                      <w:color w:val="auto"/>
                      <w:sz w:val="21"/>
                      <w:szCs w:val="21"/>
                      <w:highlight w:val="none"/>
                      <w:vertAlign w:val="baseline"/>
                      <w:lang w:eastAsia="zh-CN"/>
                    </w:rPr>
                    <w:t>、</w:t>
                  </w:r>
                  <w:r>
                    <w:rPr>
                      <w:rFonts w:hint="eastAsia" w:cs="Times New Roman"/>
                      <w:color w:val="auto"/>
                      <w:sz w:val="21"/>
                      <w:szCs w:val="21"/>
                      <w:highlight w:val="none"/>
                      <w:vertAlign w:val="baseline"/>
                      <w:lang w:val="en-US" w:eastAsia="zh-CN"/>
                    </w:rPr>
                    <w:t>破碎、清洗</w:t>
                  </w:r>
                  <w:r>
                    <w:rPr>
                      <w:rFonts w:hint="default" w:ascii="Times New Roman" w:hAnsi="Times New Roman" w:cs="Times New Roman"/>
                      <w:color w:val="auto"/>
                      <w:sz w:val="21"/>
                      <w:szCs w:val="21"/>
                      <w:highlight w:val="none"/>
                      <w:vertAlign w:val="baseline"/>
                    </w:rPr>
                    <w:t>过程</w:t>
                  </w:r>
                  <w:r>
                    <w:rPr>
                      <w:rFonts w:hint="eastAsia" w:cs="Times New Roman"/>
                      <w:color w:val="auto"/>
                      <w:sz w:val="21"/>
                      <w:szCs w:val="21"/>
                      <w:highlight w:val="none"/>
                      <w:vertAlign w:val="baseline"/>
                      <w:lang w:eastAsia="zh-CN"/>
                    </w:rPr>
                    <w:t>，</w:t>
                  </w:r>
                  <w:r>
                    <w:rPr>
                      <w:rFonts w:hint="eastAsia" w:cs="Times New Roman"/>
                      <w:color w:val="auto"/>
                      <w:sz w:val="21"/>
                      <w:szCs w:val="21"/>
                      <w:highlight w:val="none"/>
                      <w:vertAlign w:val="baseline"/>
                      <w:lang w:val="en-US" w:eastAsia="zh-CN"/>
                    </w:rPr>
                    <w:t>且无生产废水产生。</w:t>
                  </w:r>
                </w:p>
                <w:p w14:paraId="7A43B00B">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p>
              </w:tc>
            </w:tr>
            <w:tr w14:paraId="15FE0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tcPr>
                <w:p w14:paraId="2E772F1D">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贮存</w:t>
                  </w:r>
                </w:p>
              </w:tc>
              <w:tc>
                <w:tcPr>
                  <w:tcW w:w="3648" w:type="dxa"/>
                </w:tcPr>
                <w:p w14:paraId="2C5855F6">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7.1</w:t>
                  </w:r>
                  <w:r>
                    <w:rPr>
                      <w:rFonts w:hint="eastAsia" w:cs="Times New Roman"/>
                      <w:color w:val="auto"/>
                      <w:sz w:val="21"/>
                      <w:szCs w:val="21"/>
                      <w:highlight w:val="none"/>
                      <w:vertAlign w:val="baseline"/>
                      <w:lang w:val="en-US" w:eastAsia="zh-CN"/>
                    </w:rPr>
                    <w:t xml:space="preserve"> </w:t>
                  </w:r>
                  <w:r>
                    <w:rPr>
                      <w:rFonts w:hint="default" w:ascii="Times New Roman" w:hAnsi="Times New Roman" w:cs="Times New Roman"/>
                      <w:color w:val="auto"/>
                      <w:sz w:val="21"/>
                      <w:szCs w:val="21"/>
                      <w:highlight w:val="none"/>
                      <w:vertAlign w:val="baseline"/>
                    </w:rPr>
                    <w:t>废塑料贮存场地应符合GB18599的有关规定。</w:t>
                  </w:r>
                </w:p>
                <w:p w14:paraId="0C9EADFF">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7.2</w:t>
                  </w:r>
                  <w:r>
                    <w:rPr>
                      <w:rFonts w:hint="eastAsia" w:cs="Times New Roman"/>
                      <w:color w:val="auto"/>
                      <w:sz w:val="21"/>
                      <w:szCs w:val="21"/>
                      <w:highlight w:val="none"/>
                      <w:vertAlign w:val="baseline"/>
                      <w:lang w:val="en-US" w:eastAsia="zh-CN"/>
                    </w:rPr>
                    <w:t xml:space="preserve"> </w:t>
                  </w:r>
                  <w:r>
                    <w:rPr>
                      <w:rFonts w:hint="default" w:ascii="Times New Roman" w:hAnsi="Times New Roman" w:cs="Times New Roman"/>
                      <w:color w:val="auto"/>
                      <w:sz w:val="21"/>
                      <w:szCs w:val="21"/>
                      <w:highlight w:val="none"/>
                      <w:vertAlign w:val="baseline"/>
                    </w:rPr>
                    <w:t>不同种类的废塑料应分开存放，并在显著位置设有标识。</w:t>
                  </w:r>
                </w:p>
                <w:p w14:paraId="4FA006BC">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7.3</w:t>
                  </w:r>
                  <w:r>
                    <w:rPr>
                      <w:rFonts w:hint="eastAsia" w:cs="Times New Roman"/>
                      <w:color w:val="auto"/>
                      <w:sz w:val="21"/>
                      <w:szCs w:val="21"/>
                      <w:highlight w:val="none"/>
                      <w:vertAlign w:val="baseline"/>
                      <w:lang w:val="en-US" w:eastAsia="zh-CN"/>
                    </w:rPr>
                    <w:t xml:space="preserve"> </w:t>
                  </w:r>
                  <w:r>
                    <w:rPr>
                      <w:rFonts w:hint="default" w:ascii="Times New Roman" w:hAnsi="Times New Roman" w:cs="Times New Roman"/>
                      <w:color w:val="auto"/>
                      <w:sz w:val="21"/>
                      <w:szCs w:val="21"/>
                      <w:highlight w:val="none"/>
                      <w:vertAlign w:val="baseline"/>
                    </w:rPr>
                    <w:t>废塑料应存放在封闭或半封闭的环境中.并设有防火、防雨、防晒、防渗、防扬散措施，避免露天堆放。</w:t>
                  </w:r>
                </w:p>
                <w:p w14:paraId="667F2291">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7.4 废塑料贮存场所应符合GB 50016的有关规定。</w:t>
                  </w:r>
                </w:p>
                <w:p w14:paraId="3FDAE93F">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7.5 废塑料贮存场所应配备消防设施，消防器材配备应按GB 50140的有关规定执行,消防供水网和消防</w:t>
                  </w:r>
                  <w:r>
                    <w:rPr>
                      <w:rFonts w:hint="eastAsia" w:cs="Times New Roman"/>
                      <w:color w:val="auto"/>
                      <w:sz w:val="21"/>
                      <w:szCs w:val="21"/>
                      <w:highlight w:val="none"/>
                      <w:vertAlign w:val="baseline"/>
                      <w:lang w:val="en-US" w:eastAsia="zh-CN"/>
                    </w:rPr>
                    <w:t>栓</w:t>
                  </w:r>
                  <w:r>
                    <w:rPr>
                      <w:rFonts w:hint="default" w:ascii="Times New Roman" w:hAnsi="Times New Roman" w:cs="Times New Roman"/>
                      <w:color w:val="auto"/>
                      <w:sz w:val="21"/>
                      <w:szCs w:val="21"/>
                      <w:highlight w:val="none"/>
                      <w:vertAlign w:val="baseline"/>
                    </w:rPr>
                    <w:t>应采取防冻措施，应安装消防报警设备。</w:t>
                  </w:r>
                </w:p>
              </w:tc>
              <w:tc>
                <w:tcPr>
                  <w:tcW w:w="3511" w:type="dxa"/>
                </w:tcPr>
                <w:p w14:paraId="3C5C343C">
                  <w:pPr>
                    <w:pStyle w:val="19"/>
                    <w:keepNext/>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废塑料贮存场地执行GB 18599、GB50016有关规定。不同种类的废塑料分开存放，并在显著位置设有标识。废塑料存放在半封闭的环境中，并设有防火、防雨、防晒、防渗、防扬散措施，避免露天堆放。废塑料贮存场所应配备消防设施，消防器材配备执行 GB50140规定，消防供水网和消防栓采取防冻措施，安装消防报警设备。</w:t>
                  </w:r>
                </w:p>
                <w:p w14:paraId="4F474617">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p>
              </w:tc>
            </w:tr>
            <w:tr w14:paraId="76F8E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tcPr>
                <w:p w14:paraId="62998B10">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运输</w:t>
                  </w:r>
                </w:p>
              </w:tc>
              <w:tc>
                <w:tcPr>
                  <w:tcW w:w="3648" w:type="dxa"/>
                </w:tcPr>
                <w:p w14:paraId="0E00F54A">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8.1</w:t>
                  </w:r>
                  <w:r>
                    <w:rPr>
                      <w:rFonts w:hint="eastAsia" w:cs="Times New Roman"/>
                      <w:color w:val="auto"/>
                      <w:sz w:val="21"/>
                      <w:szCs w:val="21"/>
                      <w:highlight w:val="none"/>
                      <w:vertAlign w:val="baseline"/>
                      <w:lang w:val="en-US" w:eastAsia="zh-CN"/>
                    </w:rPr>
                    <w:t xml:space="preserve"> </w:t>
                  </w:r>
                  <w:r>
                    <w:rPr>
                      <w:rFonts w:hint="default" w:ascii="Times New Roman" w:hAnsi="Times New Roman" w:cs="Times New Roman"/>
                      <w:color w:val="auto"/>
                      <w:sz w:val="21"/>
                      <w:szCs w:val="21"/>
                      <w:highlight w:val="none"/>
                      <w:vertAlign w:val="baseline"/>
                    </w:rPr>
                    <w:t>废塑料运输过程中应打包完整或采用封闭的运输工具，防止遗撤。</w:t>
                  </w:r>
                </w:p>
                <w:p w14:paraId="2346AF52">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8.2</w:t>
                  </w:r>
                  <w:r>
                    <w:rPr>
                      <w:rFonts w:hint="eastAsia" w:cs="Times New Roman"/>
                      <w:color w:val="auto"/>
                      <w:sz w:val="21"/>
                      <w:szCs w:val="21"/>
                      <w:highlight w:val="none"/>
                      <w:vertAlign w:val="baseline"/>
                      <w:lang w:val="en-US" w:eastAsia="zh-CN"/>
                    </w:rPr>
                    <w:t xml:space="preserve"> </w:t>
                  </w:r>
                  <w:r>
                    <w:rPr>
                      <w:rFonts w:hint="default" w:ascii="Times New Roman" w:hAnsi="Times New Roman" w:cs="Times New Roman"/>
                      <w:color w:val="auto"/>
                      <w:sz w:val="21"/>
                      <w:szCs w:val="21"/>
                      <w:highlight w:val="none"/>
                      <w:vertAlign w:val="baseline"/>
                    </w:rPr>
                    <w:t>废塑料包装物应防晒、防火、防高温，并在装卸、运输过程中应确保包装完好，无遗撒。</w:t>
                  </w:r>
                </w:p>
                <w:p w14:paraId="64B06951">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8.3</w:t>
                  </w:r>
                  <w:r>
                    <w:rPr>
                      <w:rFonts w:hint="eastAsia" w:cs="Times New Roman"/>
                      <w:color w:val="auto"/>
                      <w:sz w:val="21"/>
                      <w:szCs w:val="21"/>
                      <w:highlight w:val="none"/>
                      <w:vertAlign w:val="baseline"/>
                      <w:lang w:val="en-US" w:eastAsia="zh-CN"/>
                    </w:rPr>
                    <w:t xml:space="preserve"> 废</w:t>
                  </w:r>
                  <w:r>
                    <w:rPr>
                      <w:rFonts w:hint="default" w:ascii="Times New Roman" w:hAnsi="Times New Roman" w:cs="Times New Roman"/>
                      <w:color w:val="auto"/>
                      <w:sz w:val="21"/>
                      <w:szCs w:val="21"/>
                      <w:highlight w:val="none"/>
                      <w:vertAlign w:val="baseline"/>
                    </w:rPr>
                    <w:t>塑料包装物表面应有标明种类、来源、原用途和去向等信息的标识，标识应清晰、易于识别、不易</w:t>
                  </w:r>
                </w:p>
                <w:p w14:paraId="69DDA28C">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擦掉。</w:t>
                  </w:r>
                </w:p>
                <w:p w14:paraId="79771E16">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8.4 废塑料运输工具在运输途中不得超高、超宽、超载。</w:t>
                  </w:r>
                </w:p>
              </w:tc>
              <w:tc>
                <w:tcPr>
                  <w:tcW w:w="3511" w:type="dxa"/>
                </w:tcPr>
                <w:p w14:paraId="41AB3FE8">
                  <w:pPr>
                    <w:pStyle w:val="19"/>
                    <w:keepNext/>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运输过程中严格执行相关要求。</w:t>
                  </w:r>
                </w:p>
              </w:tc>
            </w:tr>
          </w:tbl>
          <w:p w14:paraId="769693DB">
            <w:pPr>
              <w:keepNext/>
              <w:pageBreakBefore w:val="0"/>
              <w:ind w:firstLine="480" w:firstLineChars="200"/>
              <w:rPr>
                <w:rFonts w:hint="default" w:ascii="Times New Roman" w:hAnsi="Times New Roman" w:cs="Times New Roman"/>
                <w:b/>
                <w:bCs/>
                <w:color w:val="auto"/>
                <w:sz w:val="24"/>
                <w:szCs w:val="24"/>
                <w:highlight w:val="none"/>
              </w:rPr>
            </w:pPr>
            <w:r>
              <w:rPr>
                <w:rFonts w:hint="eastAsia" w:cs="Times New Roman"/>
                <w:b/>
                <w:bCs/>
                <w:color w:val="auto"/>
                <w:sz w:val="24"/>
                <w:szCs w:val="24"/>
                <w:highlight w:val="none"/>
                <w:lang w:val="en-US" w:eastAsia="zh-CN"/>
              </w:rPr>
              <w:t>7</w:t>
            </w:r>
            <w:r>
              <w:rPr>
                <w:rFonts w:hint="default" w:ascii="Times New Roman" w:hAnsi="Times New Roman" w:cs="Times New Roman"/>
                <w:b/>
                <w:bCs/>
                <w:color w:val="auto"/>
                <w:sz w:val="24"/>
                <w:szCs w:val="24"/>
                <w:highlight w:val="none"/>
              </w:rPr>
              <w:t>、与《</w:t>
            </w:r>
            <w:r>
              <w:rPr>
                <w:rFonts w:hint="eastAsia" w:cs="Times New Roman"/>
                <w:b/>
                <w:bCs/>
                <w:color w:val="auto"/>
                <w:sz w:val="24"/>
                <w:szCs w:val="24"/>
                <w:highlight w:val="none"/>
                <w:lang w:val="en-US" w:eastAsia="zh-CN"/>
              </w:rPr>
              <w:t>废玻璃回收技术规范</w:t>
            </w:r>
            <w:r>
              <w:rPr>
                <w:rFonts w:hint="default" w:ascii="Times New Roman" w:hAnsi="Times New Roman" w:cs="Times New Roman"/>
                <w:b/>
                <w:bCs/>
                <w:color w:val="auto"/>
                <w:sz w:val="24"/>
                <w:szCs w:val="24"/>
                <w:highlight w:val="none"/>
              </w:rPr>
              <w:t>》（</w:t>
            </w:r>
            <w:r>
              <w:rPr>
                <w:rFonts w:hint="eastAsia" w:cs="Times New Roman"/>
                <w:b/>
                <w:bCs/>
                <w:color w:val="auto"/>
                <w:sz w:val="24"/>
                <w:szCs w:val="24"/>
                <w:highlight w:val="none"/>
                <w:lang w:val="en-US" w:eastAsia="zh-CN"/>
              </w:rPr>
              <w:t>GB/T39196</w:t>
            </w:r>
            <w:r>
              <w:rPr>
                <w:rFonts w:hint="default" w:ascii="Times New Roman" w:hAnsi="Times New Roman" w:cs="Times New Roman"/>
                <w:b/>
                <w:bCs/>
                <w:color w:val="auto"/>
                <w:sz w:val="24"/>
                <w:szCs w:val="24"/>
                <w:highlight w:val="none"/>
              </w:rPr>
              <w:t>-202</w:t>
            </w:r>
            <w:r>
              <w:rPr>
                <w:rFonts w:hint="eastAsia" w:cs="Times New Roman"/>
                <w:b/>
                <w:bCs/>
                <w:color w:val="auto"/>
                <w:sz w:val="24"/>
                <w:szCs w:val="24"/>
                <w:highlight w:val="none"/>
                <w:lang w:val="en-US" w:eastAsia="zh-CN"/>
              </w:rPr>
              <w:t>0</w:t>
            </w:r>
            <w:r>
              <w:rPr>
                <w:rFonts w:hint="default" w:ascii="Times New Roman" w:hAnsi="Times New Roman" w:cs="Times New Roman"/>
                <w:b/>
                <w:bCs/>
                <w:color w:val="auto"/>
                <w:sz w:val="24"/>
                <w:szCs w:val="24"/>
                <w:highlight w:val="none"/>
              </w:rPr>
              <w:t>）的相符性分析</w:t>
            </w:r>
          </w:p>
          <w:p w14:paraId="5B45FDD6">
            <w:pPr>
              <w:keepNext/>
              <w:pageBreakBefore w:val="0"/>
              <w:ind w:firstLine="0" w:firstLineChars="0"/>
              <w:jc w:val="center"/>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1"/>
                <w:szCs w:val="21"/>
                <w:highlight w:val="none"/>
              </w:rPr>
              <w:t>表1-</w:t>
            </w:r>
            <w:r>
              <w:rPr>
                <w:rFonts w:hint="eastAsia" w:cs="Times New Roman"/>
                <w:b/>
                <w:bCs/>
                <w:color w:val="auto"/>
                <w:sz w:val="21"/>
                <w:szCs w:val="21"/>
                <w:highlight w:val="none"/>
                <w:lang w:val="en-US" w:eastAsia="zh-CN"/>
              </w:rPr>
              <w:t>7</w:t>
            </w:r>
            <w:r>
              <w:rPr>
                <w:rFonts w:hint="default" w:ascii="Times New Roman" w:hAnsi="Times New Roman" w:cs="Times New Roman"/>
                <w:b/>
                <w:bCs/>
                <w:color w:val="auto"/>
                <w:sz w:val="21"/>
                <w:szCs w:val="21"/>
                <w:highlight w:val="none"/>
              </w:rPr>
              <w:t>相符性分析一览表</w:t>
            </w:r>
          </w:p>
          <w:tbl>
            <w:tblPr>
              <w:tblStyle w:val="45"/>
              <w:tblW w:w="78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3648"/>
              <w:gridCol w:w="3511"/>
            </w:tblGrid>
            <w:tr w14:paraId="06881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tcPr>
                <w:p w14:paraId="6138A643">
                  <w:pPr>
                    <w:pStyle w:val="19"/>
                    <w:keepNext/>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rPr>
                  </w:pPr>
                  <w:r>
                    <w:rPr>
                      <w:rFonts w:hint="eastAsia" w:cs="Times New Roman"/>
                      <w:color w:val="auto"/>
                      <w:sz w:val="21"/>
                      <w:szCs w:val="21"/>
                      <w:highlight w:val="none"/>
                      <w:vertAlign w:val="baseline"/>
                      <w:lang w:val="en-US" w:eastAsia="zh-CN"/>
                    </w:rPr>
                    <w:t>内容</w:t>
                  </w:r>
                </w:p>
              </w:tc>
              <w:tc>
                <w:tcPr>
                  <w:tcW w:w="3648" w:type="dxa"/>
                </w:tcPr>
                <w:p w14:paraId="01C92DD5">
                  <w:pPr>
                    <w:pStyle w:val="19"/>
                    <w:keepNext/>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rPr>
                  </w:pPr>
                  <w:r>
                    <w:rPr>
                      <w:rFonts w:hint="eastAsia" w:cs="Times New Roman"/>
                      <w:color w:val="auto"/>
                      <w:sz w:val="21"/>
                      <w:szCs w:val="21"/>
                      <w:highlight w:val="none"/>
                      <w:vertAlign w:val="baseline"/>
                      <w:lang w:val="en-US" w:eastAsia="zh-CN"/>
                    </w:rPr>
                    <w:t>要求</w:t>
                  </w:r>
                </w:p>
              </w:tc>
              <w:tc>
                <w:tcPr>
                  <w:tcW w:w="3511" w:type="dxa"/>
                </w:tcPr>
                <w:p w14:paraId="1CF36642">
                  <w:pPr>
                    <w:pStyle w:val="19"/>
                    <w:keepNext/>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rPr>
                  </w:pPr>
                  <w:r>
                    <w:rPr>
                      <w:rFonts w:hint="eastAsia" w:cs="Times New Roman"/>
                      <w:color w:val="auto"/>
                      <w:sz w:val="21"/>
                      <w:szCs w:val="21"/>
                      <w:highlight w:val="none"/>
                      <w:vertAlign w:val="baseline"/>
                      <w:lang w:val="en-US" w:eastAsia="zh-CN"/>
                    </w:rPr>
                    <w:t>相符性分析</w:t>
                  </w:r>
                </w:p>
              </w:tc>
            </w:tr>
            <w:tr w14:paraId="149F9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tcPr>
                <w:p w14:paraId="7691B20D">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总体要求</w:t>
                  </w:r>
                </w:p>
              </w:tc>
              <w:tc>
                <w:tcPr>
                  <w:tcW w:w="3648" w:type="dxa"/>
                </w:tcPr>
                <w:p w14:paraId="4681BC12">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4.1</w:t>
                  </w:r>
                  <w:r>
                    <w:rPr>
                      <w:rFonts w:hint="eastAsia" w:cs="Times New Roman"/>
                      <w:color w:val="auto"/>
                      <w:sz w:val="21"/>
                      <w:szCs w:val="21"/>
                      <w:highlight w:val="none"/>
                      <w:vertAlign w:val="baseline"/>
                      <w:lang w:val="en-US" w:eastAsia="zh-CN"/>
                    </w:rPr>
                    <w:t xml:space="preserve"> </w:t>
                  </w:r>
                  <w:r>
                    <w:rPr>
                      <w:rFonts w:hint="default" w:ascii="Times New Roman" w:hAnsi="Times New Roman" w:cs="Times New Roman"/>
                      <w:color w:val="auto"/>
                      <w:sz w:val="21"/>
                      <w:szCs w:val="21"/>
                      <w:highlight w:val="none"/>
                      <w:vertAlign w:val="baseline"/>
                    </w:rPr>
                    <w:t>废玻璃回收经营者应建立劳动保护、消防安全责任管理制度和环境保护管理制度。</w:t>
                  </w:r>
                </w:p>
                <w:p w14:paraId="6CFD9784">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4.2 废玻璃回收经营者应按照GB/T19001,GB/T24001,GB/T45001等建立管理体系。</w:t>
                  </w:r>
                </w:p>
                <w:p w14:paraId="562620CB">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4.3 废玻璃回收经营者应建立健全环境保护管理责任制度，设置环境保护部门或专(兼)职人员，负责监督废玻璃回收分拣过程中的环境保护及相关管理工作。</w:t>
                  </w:r>
                </w:p>
                <w:p w14:paraId="6E0F2249">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4.4 回收人员回收废玻璃前，应进行岗前培训。</w:t>
                  </w:r>
                </w:p>
                <w:p w14:paraId="4FB04D1D">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4.5 废玻璃回收经营者应建立信息管理制度，内容包括每批次废玻璃的回收</w:t>
                  </w:r>
                  <w:r>
                    <w:rPr>
                      <w:rFonts w:hint="eastAsia" w:cs="Times New Roman"/>
                      <w:color w:val="auto"/>
                      <w:sz w:val="21"/>
                      <w:szCs w:val="21"/>
                      <w:highlight w:val="none"/>
                      <w:vertAlign w:val="baseline"/>
                      <w:lang w:val="en-US" w:eastAsia="zh-CN"/>
                    </w:rPr>
                    <w:t>时间</w:t>
                  </w:r>
                  <w:r>
                    <w:rPr>
                      <w:rFonts w:hint="default" w:ascii="Times New Roman" w:hAnsi="Times New Roman" w:cs="Times New Roman"/>
                      <w:color w:val="auto"/>
                      <w:sz w:val="21"/>
                      <w:szCs w:val="21"/>
                      <w:highlight w:val="none"/>
                      <w:vertAlign w:val="baseline"/>
                    </w:rPr>
                    <w:t>、地点、来源、数量、种类、分拣后废玻璃流向等相关内容，信息保存时间不少于两年。</w:t>
                  </w:r>
                </w:p>
                <w:p w14:paraId="0D18CEE8">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4.6 废玻璃回收经营者应建立污染预防机制和处理环境污染事故的应急预案制度。</w:t>
                  </w:r>
                </w:p>
                <w:p w14:paraId="40ECCCD3">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4.7 废玻璃回收经营者宜具备排污许可证。</w:t>
                  </w:r>
                </w:p>
              </w:tc>
              <w:tc>
                <w:tcPr>
                  <w:tcW w:w="3511" w:type="dxa"/>
                </w:tcPr>
                <w:p w14:paraId="48FD285B">
                  <w:pPr>
                    <w:pStyle w:val="19"/>
                    <w:keepNext/>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本项目严格执行相关要求。</w:t>
                  </w:r>
                </w:p>
              </w:tc>
            </w:tr>
            <w:tr w14:paraId="2EB5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tcPr>
                <w:p w14:paraId="5A0DBD3C">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收集</w:t>
                  </w:r>
                </w:p>
              </w:tc>
              <w:tc>
                <w:tcPr>
                  <w:tcW w:w="3648" w:type="dxa"/>
                </w:tcPr>
                <w:p w14:paraId="0AED6EE7">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5.1 废玻璃收集应按照来源、颜色、品种进行粗分类。</w:t>
                  </w:r>
                </w:p>
                <w:p w14:paraId="4D460120">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sz w:val="21"/>
                      <w:szCs w:val="21"/>
                      <w:highlight w:val="none"/>
                      <w:vertAlign w:val="baseline"/>
                      <w:lang w:eastAsia="zh-CN"/>
                    </w:rPr>
                  </w:pPr>
                  <w:r>
                    <w:rPr>
                      <w:rFonts w:hint="default" w:ascii="Times New Roman" w:hAnsi="Times New Roman" w:cs="Times New Roman"/>
                      <w:color w:val="auto"/>
                      <w:sz w:val="21"/>
                      <w:szCs w:val="21"/>
                      <w:highlight w:val="none"/>
                      <w:vertAlign w:val="baseline"/>
                    </w:rPr>
                    <w:t>5.2</w:t>
                  </w:r>
                  <w:r>
                    <w:rPr>
                      <w:rFonts w:hint="eastAsia" w:cs="Times New Roman"/>
                      <w:color w:val="auto"/>
                      <w:sz w:val="21"/>
                      <w:szCs w:val="21"/>
                      <w:highlight w:val="none"/>
                      <w:vertAlign w:val="baseline"/>
                      <w:lang w:val="en-US" w:eastAsia="zh-CN"/>
                    </w:rPr>
                    <w:t xml:space="preserve"> </w:t>
                  </w:r>
                  <w:r>
                    <w:rPr>
                      <w:rFonts w:hint="default" w:ascii="Times New Roman" w:hAnsi="Times New Roman" w:cs="Times New Roman"/>
                      <w:color w:val="auto"/>
                      <w:sz w:val="21"/>
                      <w:szCs w:val="21"/>
                      <w:highlight w:val="none"/>
                      <w:vertAlign w:val="baseline"/>
                    </w:rPr>
                    <w:t>废玻璃收集过程中应避免遗撒</w:t>
                  </w:r>
                  <w:r>
                    <w:rPr>
                      <w:rFonts w:hint="eastAsia" w:cs="Times New Roman"/>
                      <w:color w:val="auto"/>
                      <w:sz w:val="21"/>
                      <w:szCs w:val="21"/>
                      <w:highlight w:val="none"/>
                      <w:vertAlign w:val="baseline"/>
                      <w:lang w:eastAsia="zh-CN"/>
                    </w:rPr>
                    <w:t>。</w:t>
                  </w:r>
                </w:p>
                <w:p w14:paraId="115F5F95">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rPr>
                    <w:t>5.3</w:t>
                  </w:r>
                  <w:r>
                    <w:rPr>
                      <w:rFonts w:hint="eastAsia" w:cs="Times New Roman"/>
                      <w:color w:val="auto"/>
                      <w:sz w:val="21"/>
                      <w:szCs w:val="21"/>
                      <w:highlight w:val="none"/>
                      <w:vertAlign w:val="baseline"/>
                      <w:lang w:val="en-US" w:eastAsia="zh-CN"/>
                    </w:rPr>
                    <w:t xml:space="preserve"> </w:t>
                  </w:r>
                  <w:r>
                    <w:rPr>
                      <w:rFonts w:hint="default" w:ascii="Times New Roman" w:hAnsi="Times New Roman" w:cs="Times New Roman"/>
                      <w:color w:val="auto"/>
                      <w:sz w:val="21"/>
                      <w:szCs w:val="21"/>
                      <w:highlight w:val="none"/>
                      <w:vertAlign w:val="baseline"/>
                    </w:rPr>
                    <w:t>废玻璃收集过程中不得就地清洗</w:t>
                  </w:r>
                  <w:r>
                    <w:rPr>
                      <w:rFonts w:hint="eastAsia" w:cs="Times New Roman"/>
                      <w:color w:val="auto"/>
                      <w:sz w:val="21"/>
                      <w:szCs w:val="21"/>
                      <w:highlight w:val="none"/>
                      <w:vertAlign w:val="baseline"/>
                      <w:lang w:eastAsia="zh-CN"/>
                    </w:rPr>
                    <w:t>。</w:t>
                  </w:r>
                </w:p>
                <w:p w14:paraId="191DB3C3">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rPr>
                    <w:t>5.4</w:t>
                  </w:r>
                  <w:r>
                    <w:rPr>
                      <w:rFonts w:hint="eastAsia" w:cs="Times New Roman"/>
                      <w:color w:val="auto"/>
                      <w:sz w:val="21"/>
                      <w:szCs w:val="21"/>
                      <w:highlight w:val="none"/>
                      <w:vertAlign w:val="baseline"/>
                      <w:lang w:val="en-US" w:eastAsia="zh-CN"/>
                    </w:rPr>
                    <w:t xml:space="preserve"> </w:t>
                  </w:r>
                  <w:r>
                    <w:rPr>
                      <w:rFonts w:hint="default" w:ascii="Times New Roman" w:hAnsi="Times New Roman" w:cs="Times New Roman"/>
                      <w:color w:val="auto"/>
                      <w:sz w:val="21"/>
                      <w:szCs w:val="21"/>
                      <w:highlight w:val="none"/>
                      <w:vertAlign w:val="baseline"/>
                    </w:rPr>
                    <w:t>废玻璃收集过程中应使用机械破碎技术进行减容处理，并配备相应的防尘、防噪</w:t>
                  </w:r>
                  <w:r>
                    <w:rPr>
                      <w:rFonts w:hint="eastAsia" w:cs="Times New Roman"/>
                      <w:color w:val="auto"/>
                      <w:sz w:val="21"/>
                      <w:szCs w:val="21"/>
                      <w:highlight w:val="none"/>
                      <w:vertAlign w:val="baseline"/>
                      <w:lang w:val="en-US" w:eastAsia="zh-CN"/>
                    </w:rPr>
                    <w:t>声</w:t>
                  </w:r>
                  <w:r>
                    <w:rPr>
                      <w:rFonts w:hint="default" w:ascii="Times New Roman" w:hAnsi="Times New Roman" w:cs="Times New Roman"/>
                      <w:color w:val="auto"/>
                      <w:sz w:val="21"/>
                      <w:szCs w:val="21"/>
                      <w:highlight w:val="none"/>
                      <w:vertAlign w:val="baseline"/>
                    </w:rPr>
                    <w:t>措施。</w:t>
                  </w:r>
                </w:p>
                <w:p w14:paraId="301AB2EC">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5.5</w:t>
                  </w:r>
                  <w:r>
                    <w:rPr>
                      <w:rFonts w:hint="eastAsia" w:cs="Times New Roman"/>
                      <w:color w:val="auto"/>
                      <w:sz w:val="21"/>
                      <w:szCs w:val="21"/>
                      <w:highlight w:val="none"/>
                      <w:vertAlign w:val="baseline"/>
                      <w:lang w:val="en-US" w:eastAsia="zh-CN"/>
                    </w:rPr>
                    <w:t xml:space="preserve"> </w:t>
                  </w:r>
                  <w:r>
                    <w:rPr>
                      <w:rFonts w:hint="default" w:ascii="Times New Roman" w:hAnsi="Times New Roman" w:cs="Times New Roman"/>
                      <w:color w:val="auto"/>
                      <w:sz w:val="21"/>
                      <w:szCs w:val="21"/>
                      <w:highlight w:val="none"/>
                      <w:vertAlign w:val="baseline"/>
                    </w:rPr>
                    <w:t>收集的废玻璃中不得混有危险废物、医疗废物等夹杂物。</w:t>
                  </w:r>
                </w:p>
              </w:tc>
              <w:tc>
                <w:tcPr>
                  <w:tcW w:w="3511" w:type="dxa"/>
                </w:tcPr>
                <w:p w14:paraId="3282DD3C">
                  <w:pPr>
                    <w:pStyle w:val="19"/>
                    <w:keepNext/>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本项目对废玻璃进行人工分拣，过程中避免遗散，不对废玻璃进行清洗和破碎，不混有危险废物、医疗废物。</w:t>
                  </w:r>
                </w:p>
              </w:tc>
            </w:tr>
            <w:tr w14:paraId="4D67F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tcPr>
                <w:p w14:paraId="2C4EFEB8">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分拣</w:t>
                  </w:r>
                </w:p>
              </w:tc>
              <w:tc>
                <w:tcPr>
                  <w:tcW w:w="3648" w:type="dxa"/>
                </w:tcPr>
                <w:p w14:paraId="24EE2550">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6.1</w:t>
                  </w:r>
                  <w:r>
                    <w:rPr>
                      <w:rFonts w:hint="eastAsia" w:cs="Times New Roman"/>
                      <w:color w:val="auto"/>
                      <w:sz w:val="21"/>
                      <w:szCs w:val="21"/>
                      <w:highlight w:val="none"/>
                      <w:vertAlign w:val="baseline"/>
                      <w:lang w:val="en-US" w:eastAsia="zh-CN"/>
                    </w:rPr>
                    <w:t xml:space="preserve"> </w:t>
                  </w:r>
                  <w:r>
                    <w:rPr>
                      <w:rFonts w:hint="default" w:ascii="Times New Roman" w:hAnsi="Times New Roman" w:cs="Times New Roman"/>
                      <w:color w:val="auto"/>
                      <w:sz w:val="21"/>
                      <w:szCs w:val="21"/>
                      <w:highlight w:val="none"/>
                      <w:vertAlign w:val="baseline"/>
                    </w:rPr>
                    <w:t>废玻璃分类应符合GB/T36577要求。</w:t>
                  </w:r>
                </w:p>
                <w:p w14:paraId="01911560">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s="Times New Roman"/>
                      <w:color w:val="auto"/>
                      <w:sz w:val="21"/>
                      <w:szCs w:val="21"/>
                      <w:highlight w:val="none"/>
                      <w:vertAlign w:val="baseline"/>
                      <w:lang w:eastAsia="zh-CN"/>
                    </w:rPr>
                  </w:pPr>
                  <w:r>
                    <w:rPr>
                      <w:rFonts w:hint="default" w:ascii="Times New Roman" w:hAnsi="Times New Roman" w:cs="Times New Roman"/>
                      <w:color w:val="auto"/>
                      <w:sz w:val="21"/>
                      <w:szCs w:val="21"/>
                      <w:highlight w:val="none"/>
                      <w:vertAlign w:val="baseline"/>
                    </w:rPr>
                    <w:t>6.2</w:t>
                  </w:r>
                  <w:r>
                    <w:rPr>
                      <w:rFonts w:hint="eastAsia" w:cs="Times New Roman"/>
                      <w:color w:val="auto"/>
                      <w:sz w:val="21"/>
                      <w:szCs w:val="21"/>
                      <w:highlight w:val="none"/>
                      <w:vertAlign w:val="baseline"/>
                      <w:lang w:val="en-US" w:eastAsia="zh-CN"/>
                    </w:rPr>
                    <w:t xml:space="preserve"> </w:t>
                  </w:r>
                  <w:r>
                    <w:rPr>
                      <w:rFonts w:hint="default" w:ascii="Times New Roman" w:hAnsi="Times New Roman" w:cs="Times New Roman"/>
                      <w:color w:val="auto"/>
                      <w:sz w:val="21"/>
                      <w:szCs w:val="21"/>
                      <w:highlight w:val="none"/>
                      <w:vertAlign w:val="baseline"/>
                    </w:rPr>
                    <w:t>废玻璃分拣过程中应进行除臭处理</w:t>
                  </w:r>
                  <w:r>
                    <w:rPr>
                      <w:rFonts w:hint="eastAsia" w:cs="Times New Roman"/>
                      <w:color w:val="auto"/>
                      <w:sz w:val="21"/>
                      <w:szCs w:val="21"/>
                      <w:highlight w:val="none"/>
                      <w:vertAlign w:val="baseline"/>
                      <w:lang w:eastAsia="zh-CN"/>
                    </w:rPr>
                    <w:t>。</w:t>
                  </w:r>
                </w:p>
                <w:p w14:paraId="32F22609">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6.3</w:t>
                  </w:r>
                  <w:r>
                    <w:rPr>
                      <w:rFonts w:hint="eastAsia" w:cs="Times New Roman"/>
                      <w:color w:val="auto"/>
                      <w:sz w:val="21"/>
                      <w:szCs w:val="21"/>
                      <w:highlight w:val="none"/>
                      <w:vertAlign w:val="baseline"/>
                      <w:lang w:val="en-US" w:eastAsia="zh-CN"/>
                    </w:rPr>
                    <w:t xml:space="preserve"> </w:t>
                  </w:r>
                  <w:r>
                    <w:rPr>
                      <w:rFonts w:hint="default" w:ascii="Times New Roman" w:hAnsi="Times New Roman" w:cs="Times New Roman"/>
                      <w:color w:val="auto"/>
                      <w:sz w:val="21"/>
                      <w:szCs w:val="21"/>
                      <w:highlight w:val="none"/>
                      <w:vertAlign w:val="baseline"/>
                    </w:rPr>
                    <w:t>废玻璃分拣过程中应去除废玻璃中的石头、金属、陶瓷、有机物等夹杂物。</w:t>
                  </w:r>
                </w:p>
                <w:p w14:paraId="7D3C4C45">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rPr>
                    <w:t>6.4</w:t>
                  </w:r>
                  <w:r>
                    <w:rPr>
                      <w:rFonts w:hint="eastAsia" w:cs="Times New Roman"/>
                      <w:color w:val="auto"/>
                      <w:sz w:val="21"/>
                      <w:szCs w:val="21"/>
                      <w:highlight w:val="none"/>
                      <w:vertAlign w:val="baseline"/>
                      <w:lang w:val="en-US" w:eastAsia="zh-CN"/>
                    </w:rPr>
                    <w:t xml:space="preserve"> </w:t>
                  </w:r>
                  <w:r>
                    <w:rPr>
                      <w:rFonts w:hint="default" w:ascii="Times New Roman" w:hAnsi="Times New Roman" w:cs="Times New Roman"/>
                      <w:color w:val="auto"/>
                      <w:sz w:val="21"/>
                      <w:szCs w:val="21"/>
                      <w:highlight w:val="none"/>
                      <w:vertAlign w:val="baseline"/>
                    </w:rPr>
                    <w:t>废玻璃分拣过程中废玻璃筛分粒度宜参照GB/T36577的相关规定或合同约定执行。</w:t>
                  </w:r>
                </w:p>
                <w:p w14:paraId="2FF15C4B">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rPr>
                    <w:t>6.5</w:t>
                  </w:r>
                  <w:r>
                    <w:rPr>
                      <w:rFonts w:hint="eastAsia" w:cs="Times New Roman"/>
                      <w:color w:val="auto"/>
                      <w:sz w:val="21"/>
                      <w:szCs w:val="21"/>
                      <w:highlight w:val="none"/>
                      <w:vertAlign w:val="baseline"/>
                      <w:lang w:val="en-US" w:eastAsia="zh-CN"/>
                    </w:rPr>
                    <w:t xml:space="preserve"> </w:t>
                  </w:r>
                  <w:r>
                    <w:rPr>
                      <w:rFonts w:hint="default" w:ascii="Times New Roman" w:hAnsi="Times New Roman" w:cs="Times New Roman"/>
                      <w:color w:val="auto"/>
                      <w:sz w:val="21"/>
                      <w:szCs w:val="21"/>
                      <w:highlight w:val="none"/>
                      <w:vertAlign w:val="baseline"/>
                    </w:rPr>
                    <w:t>废玻璃分拣应采用节水、节能、高效、低污染的机械化和自动化技术和设备。</w:t>
                  </w:r>
                </w:p>
                <w:p w14:paraId="7E539789">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6.6 废玻璃分拣企业应具备污水收集和处理系统:清洗废水处理后应循环使用。废水排放应符合GB8978或地方水污染物排放标准。</w:t>
                  </w:r>
                </w:p>
                <w:p w14:paraId="148A142C">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6.7 废玻璃宜选用物理脱水方法干燥，不宜使用高能耗干燥方式。</w:t>
                  </w:r>
                </w:p>
                <w:p w14:paraId="546667D0">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6.8</w:t>
                  </w:r>
                  <w:r>
                    <w:rPr>
                      <w:rFonts w:hint="eastAsia" w:cs="Times New Roman"/>
                      <w:color w:val="auto"/>
                      <w:sz w:val="21"/>
                      <w:szCs w:val="21"/>
                      <w:highlight w:val="none"/>
                      <w:vertAlign w:val="baseline"/>
                      <w:lang w:val="en-US" w:eastAsia="zh-CN"/>
                    </w:rPr>
                    <w:t xml:space="preserve"> </w:t>
                  </w:r>
                  <w:r>
                    <w:rPr>
                      <w:rFonts w:hint="default" w:ascii="Times New Roman" w:hAnsi="Times New Roman" w:cs="Times New Roman"/>
                      <w:color w:val="auto"/>
                      <w:sz w:val="21"/>
                      <w:szCs w:val="21"/>
                      <w:highlight w:val="none"/>
                      <w:vertAlign w:val="baseline"/>
                    </w:rPr>
                    <w:t>废玻璃分拣过程产生的污泥应交由有资质单位处置。</w:t>
                  </w:r>
                </w:p>
              </w:tc>
              <w:tc>
                <w:tcPr>
                  <w:tcW w:w="3511" w:type="dxa"/>
                </w:tcPr>
                <w:p w14:paraId="748AE359">
                  <w:pPr>
                    <w:pStyle w:val="19"/>
                    <w:keepNext/>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本项目仅对属于一般固废的废玻璃进行人工分拣，按 GB/T 36577要求进行分类。回收的废玻璃不含液态物质。废玻璃分拣过程不涉及清洗、干燥，不产生污泥。</w:t>
                  </w:r>
                </w:p>
              </w:tc>
            </w:tr>
            <w:tr w14:paraId="3BDDE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tcPr>
                <w:p w14:paraId="18195969">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运输和贮存</w:t>
                  </w:r>
                </w:p>
              </w:tc>
              <w:tc>
                <w:tcPr>
                  <w:tcW w:w="3648" w:type="dxa"/>
                </w:tcPr>
                <w:p w14:paraId="70CB804B">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7.1</w:t>
                  </w:r>
                  <w:r>
                    <w:rPr>
                      <w:rFonts w:hint="eastAsia" w:cs="Times New Roman"/>
                      <w:color w:val="auto"/>
                      <w:sz w:val="21"/>
                      <w:szCs w:val="21"/>
                      <w:highlight w:val="none"/>
                      <w:vertAlign w:val="baseline"/>
                      <w:lang w:val="en-US" w:eastAsia="zh-CN"/>
                    </w:rPr>
                    <w:t xml:space="preserve"> </w:t>
                  </w:r>
                  <w:r>
                    <w:rPr>
                      <w:rFonts w:hint="default" w:ascii="Times New Roman" w:hAnsi="Times New Roman" w:cs="Times New Roman"/>
                      <w:color w:val="auto"/>
                      <w:sz w:val="21"/>
                      <w:szCs w:val="21"/>
                      <w:highlight w:val="none"/>
                      <w:vertAlign w:val="baseline"/>
                    </w:rPr>
                    <w:t>废玻璃运输车辆或船舶应采用篷布遮盖:防止遗撒。</w:t>
                  </w:r>
                </w:p>
                <w:p w14:paraId="6678F57A">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rPr>
                    <w:t>7.2</w:t>
                  </w:r>
                  <w:r>
                    <w:rPr>
                      <w:rFonts w:hint="eastAsia" w:cs="Times New Roman"/>
                      <w:color w:val="auto"/>
                      <w:sz w:val="21"/>
                      <w:szCs w:val="21"/>
                      <w:highlight w:val="none"/>
                      <w:vertAlign w:val="baseline"/>
                      <w:lang w:val="en-US" w:eastAsia="zh-CN"/>
                    </w:rPr>
                    <w:t xml:space="preserve"> </w:t>
                  </w:r>
                  <w:r>
                    <w:rPr>
                      <w:rFonts w:hint="default" w:ascii="Times New Roman" w:hAnsi="Times New Roman" w:cs="Times New Roman"/>
                      <w:color w:val="auto"/>
                      <w:sz w:val="21"/>
                      <w:szCs w:val="21"/>
                      <w:highlight w:val="none"/>
                      <w:vertAlign w:val="baseline"/>
                    </w:rPr>
                    <w:t>运输车辆或船舶应清理干净后再运输废玻璃，防止混杂其他。</w:t>
                  </w:r>
                </w:p>
                <w:p w14:paraId="3D9997D0">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rPr>
                    <w:t>7.3</w:t>
                  </w:r>
                  <w:r>
                    <w:rPr>
                      <w:rFonts w:hint="eastAsia" w:cs="Times New Roman"/>
                      <w:color w:val="auto"/>
                      <w:sz w:val="21"/>
                      <w:szCs w:val="21"/>
                      <w:highlight w:val="none"/>
                      <w:vertAlign w:val="baseline"/>
                      <w:lang w:val="en-US" w:eastAsia="zh-CN"/>
                    </w:rPr>
                    <w:t xml:space="preserve"> </w:t>
                  </w:r>
                  <w:r>
                    <w:rPr>
                      <w:rFonts w:hint="default" w:ascii="Times New Roman" w:hAnsi="Times New Roman" w:cs="Times New Roman"/>
                      <w:color w:val="auto"/>
                      <w:sz w:val="21"/>
                      <w:szCs w:val="21"/>
                      <w:highlight w:val="none"/>
                      <w:vertAlign w:val="baseline"/>
                    </w:rPr>
                    <w:t>废玻璃贮存场地应符合GB18599的相关要求。</w:t>
                  </w:r>
                </w:p>
                <w:p w14:paraId="7F0CA2F7">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rPr>
                    <w:t>7.4</w:t>
                  </w:r>
                  <w:r>
                    <w:rPr>
                      <w:rFonts w:hint="eastAsia" w:cs="Times New Roman"/>
                      <w:color w:val="auto"/>
                      <w:sz w:val="21"/>
                      <w:szCs w:val="21"/>
                      <w:highlight w:val="none"/>
                      <w:vertAlign w:val="baseline"/>
                      <w:lang w:val="en-US" w:eastAsia="zh-CN"/>
                    </w:rPr>
                    <w:t xml:space="preserve"> </w:t>
                  </w:r>
                  <w:r>
                    <w:rPr>
                      <w:rFonts w:hint="default" w:ascii="Times New Roman" w:hAnsi="Times New Roman" w:cs="Times New Roman"/>
                      <w:color w:val="auto"/>
                      <w:sz w:val="21"/>
                      <w:szCs w:val="21"/>
                      <w:highlight w:val="none"/>
                      <w:vertAlign w:val="baseline"/>
                    </w:rPr>
                    <w:t>不同种类的废玻璃应分开存放。</w:t>
                  </w:r>
                </w:p>
                <w:p w14:paraId="478F316B">
                  <w:pPr>
                    <w:pStyle w:val="19"/>
                    <w:keepNext/>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rPr>
                    <w:t>7.5</w:t>
                  </w:r>
                  <w:r>
                    <w:rPr>
                      <w:rFonts w:hint="eastAsia" w:cs="Times New Roman"/>
                      <w:color w:val="auto"/>
                      <w:sz w:val="21"/>
                      <w:szCs w:val="21"/>
                      <w:highlight w:val="none"/>
                      <w:vertAlign w:val="baseline"/>
                      <w:lang w:val="en-US" w:eastAsia="zh-CN"/>
                    </w:rPr>
                    <w:t xml:space="preserve"> </w:t>
                  </w:r>
                  <w:r>
                    <w:rPr>
                      <w:rFonts w:hint="default" w:ascii="Times New Roman" w:hAnsi="Times New Roman" w:cs="Times New Roman"/>
                      <w:color w:val="auto"/>
                      <w:sz w:val="21"/>
                      <w:szCs w:val="21"/>
                      <w:highlight w:val="none"/>
                      <w:vertAlign w:val="baseline"/>
                    </w:rPr>
                    <w:t>废玻璃应放置在有棚盖、围墙的堆场内。</w:t>
                  </w:r>
                </w:p>
              </w:tc>
              <w:tc>
                <w:tcPr>
                  <w:tcW w:w="3511" w:type="dxa"/>
                </w:tcPr>
                <w:p w14:paraId="128A43C8">
                  <w:pPr>
                    <w:pStyle w:val="19"/>
                    <w:keepNext/>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运输过程中严格执行相关要求。贮存场地符合相关要求。</w:t>
                  </w:r>
                </w:p>
              </w:tc>
            </w:tr>
          </w:tbl>
          <w:p w14:paraId="4C97A575">
            <w:pPr>
              <w:pStyle w:val="19"/>
              <w:keepNext/>
              <w:pageBreakBefore w:val="0"/>
              <w:ind w:firstLine="480"/>
              <w:rPr>
                <w:rFonts w:hint="default" w:ascii="Times New Roman" w:hAnsi="Times New Roman" w:cs="Times New Roman"/>
                <w:color w:val="auto"/>
                <w:sz w:val="24"/>
                <w:szCs w:val="28"/>
                <w:highlight w:val="none"/>
              </w:rPr>
            </w:pPr>
          </w:p>
          <w:p w14:paraId="4D5A6605">
            <w:pPr>
              <w:pStyle w:val="19"/>
              <w:keepNext/>
              <w:pageBreakBefore w:val="0"/>
              <w:ind w:firstLine="480"/>
              <w:rPr>
                <w:rFonts w:hint="default" w:ascii="Times New Roman" w:hAnsi="Times New Roman" w:cs="Times New Roman"/>
                <w:color w:val="auto"/>
                <w:sz w:val="24"/>
                <w:szCs w:val="28"/>
                <w:highlight w:val="none"/>
              </w:rPr>
            </w:pPr>
          </w:p>
          <w:p w14:paraId="15DB4DAE">
            <w:pPr>
              <w:pStyle w:val="19"/>
              <w:keepNext/>
              <w:pageBreakBefore w:val="0"/>
              <w:ind w:firstLine="480"/>
              <w:rPr>
                <w:rFonts w:hint="default" w:ascii="Times New Roman" w:hAnsi="Times New Roman" w:cs="Times New Roman"/>
                <w:color w:val="auto"/>
                <w:sz w:val="24"/>
                <w:szCs w:val="28"/>
                <w:highlight w:val="none"/>
              </w:rPr>
            </w:pPr>
          </w:p>
          <w:p w14:paraId="769CB95C">
            <w:pPr>
              <w:pStyle w:val="19"/>
              <w:keepNext/>
              <w:pageBreakBefore w:val="0"/>
              <w:ind w:firstLine="480"/>
              <w:rPr>
                <w:rFonts w:hint="default" w:ascii="Times New Roman" w:hAnsi="Times New Roman" w:cs="Times New Roman"/>
                <w:color w:val="auto"/>
                <w:sz w:val="24"/>
                <w:szCs w:val="28"/>
                <w:highlight w:val="none"/>
              </w:rPr>
            </w:pPr>
          </w:p>
        </w:tc>
      </w:tr>
    </w:tbl>
    <w:p w14:paraId="4208CA52">
      <w:pPr>
        <w:pStyle w:val="7"/>
        <w:numPr>
          <w:ilvl w:val="0"/>
          <w:numId w:val="0"/>
        </w:num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bookmarkStart w:id="9" w:name="_Toc13460"/>
      <w:bookmarkStart w:id="10" w:name="_Toc29933"/>
      <w:bookmarkStart w:id="11" w:name="_Toc25936"/>
      <w:r>
        <w:rPr>
          <w:rFonts w:hint="default" w:ascii="Times New Roman" w:hAnsi="Times New Roman" w:cs="Times New Roman"/>
          <w:color w:val="auto"/>
          <w:highlight w:val="none"/>
        </w:rPr>
        <w:t>二、建设项目工程分析</w:t>
      </w:r>
      <w:bookmarkEnd w:id="9"/>
      <w:bookmarkEnd w:id="10"/>
      <w:bookmarkEnd w:id="11"/>
    </w:p>
    <w:tbl>
      <w:tblPr>
        <w:tblStyle w:val="4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
        <w:gridCol w:w="8074"/>
      </w:tblGrid>
      <w:tr w14:paraId="2C0F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6" w:type="pct"/>
            <w:vAlign w:val="center"/>
          </w:tcPr>
          <w:p w14:paraId="4E326B3B">
            <w:pPr>
              <w:keepNext/>
              <w:keepLines w:val="0"/>
              <w:pageBreakBefore w:val="0"/>
              <w:widowControl/>
              <w:numPr>
                <w:ilvl w:val="1"/>
                <w:numId w:val="0"/>
              </w:numPr>
              <w:tabs>
                <w:tab w:val="left" w:pos="420"/>
              </w:tabs>
              <w:kinsoku/>
              <w:wordWrap/>
              <w:overflowPunct/>
              <w:topLinePunct w:val="0"/>
              <w:autoSpaceDE/>
              <w:autoSpaceDN/>
              <w:bidi w:val="0"/>
              <w:adjustRightInd/>
              <w:snapToGrid/>
              <w:textAlignment w:val="auto"/>
              <w:outlineLvl w:val="9"/>
              <w:rPr>
                <w:rFonts w:hint="default" w:ascii="Times New Roman" w:hAnsi="Times New Roman" w:cs="Times New Roman"/>
                <w:color w:val="auto"/>
                <w:highlight w:val="none"/>
              </w:rPr>
            </w:pPr>
            <w:bookmarkStart w:id="12" w:name="_Toc1786"/>
            <w:bookmarkStart w:id="13" w:name="_Toc28166"/>
            <w:bookmarkStart w:id="14" w:name="_Toc28930"/>
            <w:bookmarkStart w:id="15" w:name="_Toc23802"/>
            <w:bookmarkStart w:id="16" w:name="_Toc12660"/>
            <w:r>
              <w:rPr>
                <w:rFonts w:hint="default" w:ascii="Times New Roman" w:hAnsi="Times New Roman" w:cs="Times New Roman"/>
                <w:color w:val="auto"/>
                <w:highlight w:val="none"/>
              </w:rPr>
              <w:t>建设内容</w:t>
            </w:r>
            <w:bookmarkEnd w:id="12"/>
            <w:bookmarkEnd w:id="13"/>
            <w:bookmarkEnd w:id="14"/>
            <w:bookmarkEnd w:id="15"/>
            <w:bookmarkEnd w:id="16"/>
          </w:p>
        </w:tc>
        <w:tc>
          <w:tcPr>
            <w:tcW w:w="4733" w:type="pct"/>
          </w:tcPr>
          <w:p w14:paraId="1C9483F5">
            <w:pPr>
              <w:keepNext/>
              <w:keepLines/>
              <w:tabs>
                <w:tab w:val="left" w:pos="0"/>
              </w:tabs>
              <w:ind w:left="-2" w:firstLine="480" w:firstLineChars="200"/>
              <w:jc w:val="left"/>
              <w:outlineLvl w:val="2"/>
              <w:rPr>
                <w:rFonts w:hint="default" w:ascii="Times New Roman" w:hAnsi="Times New Roman" w:cs="Times New Roman"/>
                <w:b/>
                <w:color w:val="auto"/>
                <w:highlight w:val="none"/>
              </w:rPr>
            </w:pPr>
            <w:r>
              <w:rPr>
                <w:rFonts w:hint="default" w:ascii="Times New Roman" w:hAnsi="Times New Roman" w:cs="Times New Roman"/>
                <w:b/>
                <w:color w:val="auto"/>
                <w:highlight w:val="none"/>
              </w:rPr>
              <w:t>一、项目由来</w:t>
            </w:r>
          </w:p>
          <w:p w14:paraId="7BCA8D8F">
            <w:pPr>
              <w:widowControl/>
              <w:ind w:firstLine="480" w:firstLineChars="200"/>
              <w:rPr>
                <w:rFonts w:hint="eastAsia" w:cs="Times New Roman"/>
                <w:color w:val="auto"/>
                <w:sz w:val="24"/>
                <w:highlight w:val="none"/>
                <w:u w:val="none"/>
                <w:lang w:val="en-US" w:eastAsia="zh-CN"/>
              </w:rPr>
            </w:pPr>
            <w:r>
              <w:rPr>
                <w:rFonts w:hint="eastAsia" w:cs="Times New Roman"/>
                <w:color w:val="auto"/>
                <w:highlight w:val="none"/>
                <w:u w:val="none"/>
              </w:rPr>
              <w:t>广东省粤联昌环保再生资源科技有限公司</w:t>
            </w:r>
            <w:r>
              <w:rPr>
                <w:rFonts w:hint="default" w:ascii="Times New Roman" w:hAnsi="Times New Roman" w:cs="Times New Roman"/>
                <w:color w:val="auto"/>
                <w:highlight w:val="none"/>
              </w:rPr>
              <w:t>（以下简称“建设单位”）</w:t>
            </w:r>
            <w:r>
              <w:rPr>
                <w:rFonts w:hint="eastAsia" w:cs="Times New Roman"/>
                <w:color w:val="auto"/>
                <w:sz w:val="24"/>
                <w:highlight w:val="none"/>
                <w:u w:val="none"/>
                <w:lang w:val="en-US" w:eastAsia="zh-CN"/>
              </w:rPr>
              <w:t>于2026年6月向乐昌市发展改革局申请办理了《广东省企业投资项目备案证》，备案项目名称：“</w:t>
            </w:r>
            <w:r>
              <w:rPr>
                <w:rFonts w:hint="eastAsia" w:cs="Times New Roman"/>
                <w:color w:val="auto"/>
                <w:highlight w:val="none"/>
                <w:u w:val="none"/>
              </w:rPr>
              <w:t>广东省粤联昌环保再生资源科技有限公司一般固废贮存收集分拣项目</w:t>
            </w:r>
            <w:r>
              <w:rPr>
                <w:rFonts w:hint="eastAsia" w:cs="Times New Roman"/>
                <w:color w:val="auto"/>
                <w:sz w:val="24"/>
                <w:highlight w:val="none"/>
                <w:u w:val="none"/>
                <w:lang w:val="en-US" w:eastAsia="zh-CN"/>
              </w:rPr>
              <w:t>”。</w:t>
            </w:r>
          </w:p>
          <w:p w14:paraId="32401EFC">
            <w:pPr>
              <w:widowControl/>
              <w:ind w:firstLine="480" w:firstLineChars="200"/>
              <w:rPr>
                <w:rFonts w:hint="default" w:ascii="Times New Roman" w:hAnsi="Times New Roman" w:cs="Times New Roman"/>
                <w:color w:val="auto"/>
                <w:highlight w:val="none"/>
              </w:rPr>
            </w:pPr>
            <w:r>
              <w:rPr>
                <w:rFonts w:hint="eastAsia" w:cs="Times New Roman"/>
                <w:color w:val="auto"/>
                <w:sz w:val="24"/>
                <w:highlight w:val="none"/>
                <w:u w:val="none"/>
                <w:lang w:val="en-US" w:eastAsia="zh-CN"/>
              </w:rPr>
              <w:t>建设单位</w:t>
            </w:r>
            <w:r>
              <w:rPr>
                <w:rFonts w:hint="default" w:ascii="Times New Roman" w:hAnsi="Times New Roman" w:cs="Times New Roman"/>
                <w:color w:val="auto"/>
                <w:highlight w:val="none"/>
              </w:rPr>
              <w:t>拟于</w:t>
            </w:r>
            <w:r>
              <w:rPr>
                <w:rFonts w:hint="default" w:ascii="Times New Roman" w:hAnsi="Times New Roman" w:cs="Times New Roman"/>
                <w:bCs/>
                <w:color w:val="auto"/>
                <w:sz w:val="24"/>
                <w:highlight w:val="none"/>
                <w:lang w:eastAsia="zh-CN"/>
              </w:rPr>
              <w:t>广东省乐昌市乐廊路六公里乐昌市产业转移园鸿图工艺厂房A2</w:t>
            </w:r>
            <w:r>
              <w:rPr>
                <w:rFonts w:hint="default" w:ascii="Times New Roman" w:hAnsi="Times New Roman" w:cs="Times New Roman"/>
                <w:color w:val="auto"/>
                <w:kern w:val="0"/>
                <w:highlight w:val="none"/>
              </w:rPr>
              <w:t>，投资</w:t>
            </w:r>
            <w:r>
              <w:rPr>
                <w:rFonts w:hint="default" w:ascii="Times New Roman" w:hAnsi="Times New Roman" w:cs="Times New Roman"/>
                <w:color w:val="auto"/>
                <w:highlight w:val="none"/>
              </w:rPr>
              <w:t>建设“</w:t>
            </w:r>
            <w:r>
              <w:rPr>
                <w:rFonts w:hint="eastAsia" w:cs="Times New Roman"/>
                <w:color w:val="auto"/>
                <w:highlight w:val="none"/>
                <w:u w:val="none"/>
              </w:rPr>
              <w:t>一般固废贮存收集分拣项目</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以下简称“本项目”</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w:t>
            </w:r>
          </w:p>
          <w:p w14:paraId="2D26D381">
            <w:pPr>
              <w:widowControl/>
              <w:ind w:firstLine="48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本项目总占地面积约</w:t>
            </w:r>
            <w:r>
              <w:rPr>
                <w:rFonts w:hint="eastAsia" w:cs="Times New Roman"/>
                <w:color w:val="auto"/>
                <w:kern w:val="24"/>
                <w:highlight w:val="none"/>
                <w:lang w:val="en-US" w:eastAsia="zh-CN"/>
              </w:rPr>
              <w:t>3420</w:t>
            </w:r>
            <w:r>
              <w:rPr>
                <w:rFonts w:hint="default" w:ascii="Times New Roman" w:hAnsi="Times New Roman" w:cs="Times New Roman"/>
                <w:color w:val="auto"/>
                <w:kern w:val="24"/>
                <w:highlight w:val="none"/>
              </w:rPr>
              <w:t>m</w:t>
            </w:r>
            <w:r>
              <w:rPr>
                <w:rFonts w:hint="default" w:ascii="Times New Roman" w:hAnsi="Times New Roman" w:cs="Times New Roman"/>
                <w:color w:val="auto"/>
                <w:kern w:val="24"/>
                <w:highlight w:val="none"/>
                <w:vertAlign w:val="superscript"/>
                <w:lang w:val="en-US" w:eastAsia="zh-CN"/>
              </w:rPr>
              <w:t>2</w:t>
            </w:r>
            <w:r>
              <w:rPr>
                <w:rFonts w:hint="default" w:ascii="Times New Roman" w:hAnsi="Times New Roman" w:cs="Times New Roman"/>
                <w:color w:val="auto"/>
                <w:highlight w:val="none"/>
              </w:rPr>
              <w:t>，总建筑面积</w:t>
            </w:r>
            <w:r>
              <w:rPr>
                <w:rFonts w:hint="eastAsia" w:cs="Times New Roman"/>
                <w:color w:val="auto"/>
                <w:kern w:val="24"/>
                <w:highlight w:val="none"/>
                <w:lang w:val="en-US" w:eastAsia="zh-CN"/>
              </w:rPr>
              <w:t>3420</w:t>
            </w:r>
            <w:r>
              <w:rPr>
                <w:rFonts w:hint="default" w:ascii="Times New Roman" w:hAnsi="Times New Roman" w:cs="Times New Roman"/>
                <w:color w:val="auto"/>
                <w:kern w:val="24"/>
                <w:highlight w:val="none"/>
              </w:rPr>
              <w:t>m</w:t>
            </w:r>
            <w:r>
              <w:rPr>
                <w:rFonts w:hint="default" w:ascii="Times New Roman" w:hAnsi="Times New Roman" w:cs="Times New Roman"/>
                <w:color w:val="auto"/>
                <w:kern w:val="24"/>
                <w:highlight w:val="none"/>
                <w:vertAlign w:val="superscript"/>
                <w:lang w:val="en-US" w:eastAsia="zh-CN"/>
              </w:rPr>
              <w:t>2</w:t>
            </w:r>
            <w:r>
              <w:rPr>
                <w:rFonts w:hint="default" w:ascii="Times New Roman" w:hAnsi="Times New Roman" w:cs="Times New Roman"/>
                <w:color w:val="auto"/>
                <w:highlight w:val="none"/>
              </w:rPr>
              <w:t>。项目总投资</w:t>
            </w:r>
            <w:r>
              <w:rPr>
                <w:rFonts w:hint="eastAsia" w:cs="Times New Roman"/>
                <w:color w:val="auto"/>
                <w:highlight w:val="none"/>
                <w:lang w:val="en-US" w:eastAsia="zh-CN"/>
              </w:rPr>
              <w:t>100</w:t>
            </w:r>
            <w:r>
              <w:rPr>
                <w:rFonts w:hint="default" w:ascii="Times New Roman" w:hAnsi="Times New Roman" w:cs="Times New Roman"/>
                <w:color w:val="auto"/>
                <w:highlight w:val="none"/>
              </w:rPr>
              <w:t>万元，其中环保投资</w:t>
            </w:r>
            <w:r>
              <w:rPr>
                <w:rFonts w:hint="eastAsia" w:cs="Times New Roman"/>
                <w:color w:val="auto"/>
                <w:highlight w:val="none"/>
                <w:lang w:val="en-US" w:eastAsia="zh-CN"/>
              </w:rPr>
              <w:t>5</w:t>
            </w:r>
            <w:r>
              <w:rPr>
                <w:rFonts w:hint="default" w:ascii="Times New Roman" w:hAnsi="Times New Roman" w:cs="Times New Roman"/>
                <w:color w:val="auto"/>
                <w:highlight w:val="none"/>
              </w:rPr>
              <w:t>万元。项目</w:t>
            </w:r>
            <w:r>
              <w:rPr>
                <w:rFonts w:hint="eastAsia" w:cs="Times New Roman"/>
                <w:color w:val="auto"/>
                <w:highlight w:val="none"/>
                <w:lang w:val="en-US" w:eastAsia="zh-CN"/>
              </w:rPr>
              <w:t>租赁</w:t>
            </w:r>
            <w:r>
              <w:rPr>
                <w:rFonts w:hint="default" w:ascii="Times New Roman" w:hAnsi="Times New Roman" w:cs="Times New Roman"/>
                <w:color w:val="auto"/>
                <w:highlight w:val="none"/>
                <w:lang w:val="en-US" w:eastAsia="zh-CN"/>
              </w:rPr>
              <w:t>乐昌市华轩针织制衣有限公司位于</w:t>
            </w:r>
            <w:r>
              <w:rPr>
                <w:rFonts w:hint="default" w:ascii="Times New Roman" w:hAnsi="Times New Roman" w:cs="Times New Roman"/>
                <w:bCs/>
                <w:color w:val="auto"/>
                <w:sz w:val="24"/>
                <w:highlight w:val="none"/>
                <w:lang w:eastAsia="zh-CN"/>
              </w:rPr>
              <w:t>广东省乐昌市乐廊路六公里乐昌市产业转移园鸿图工艺厂房A2</w:t>
            </w:r>
            <w:r>
              <w:rPr>
                <w:rFonts w:hint="default" w:ascii="Times New Roman" w:hAnsi="Times New Roman" w:cs="Times New Roman"/>
                <w:bCs/>
                <w:color w:val="auto"/>
                <w:sz w:val="24"/>
                <w:highlight w:val="none"/>
                <w:lang w:val="en-US" w:eastAsia="zh-CN"/>
              </w:rPr>
              <w:t>进行生产</w:t>
            </w: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本项目的运营不影响</w:t>
            </w:r>
            <w:r>
              <w:rPr>
                <w:rFonts w:hint="default" w:ascii="Times New Roman" w:hAnsi="Times New Roman" w:cs="Times New Roman"/>
                <w:color w:val="auto"/>
                <w:highlight w:val="none"/>
                <w:lang w:val="en-US" w:eastAsia="zh-CN"/>
              </w:rPr>
              <w:t>乐昌市华轩针织制衣有限公司</w:t>
            </w:r>
            <w:r>
              <w:rPr>
                <w:rFonts w:hint="eastAsia" w:cs="Times New Roman"/>
                <w:color w:val="auto"/>
                <w:highlight w:val="none"/>
                <w:lang w:val="en-US" w:eastAsia="zh-CN"/>
              </w:rPr>
              <w:t>的正常生产。</w:t>
            </w:r>
          </w:p>
          <w:p w14:paraId="224C3795">
            <w:pPr>
              <w:widowControl/>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t>本项目</w:t>
            </w:r>
            <w:r>
              <w:rPr>
                <w:rFonts w:hint="default" w:ascii="Times New Roman" w:hAnsi="Times New Roman" w:cs="Times New Roman"/>
                <w:color w:val="auto"/>
                <w:highlight w:val="none"/>
                <w:lang w:val="en-US" w:eastAsia="zh-CN"/>
              </w:rPr>
              <w:t>主要从事</w:t>
            </w:r>
            <w:r>
              <w:rPr>
                <w:rFonts w:hint="eastAsia" w:cs="Times New Roman"/>
                <w:color w:val="auto"/>
                <w:highlight w:val="none"/>
                <w:lang w:val="en-US" w:eastAsia="zh-CN"/>
              </w:rPr>
              <w:t>一般工业固体废物分拣、压实</w:t>
            </w:r>
            <w:r>
              <w:rPr>
                <w:rFonts w:hint="default" w:ascii="Times New Roman" w:hAnsi="Times New Roman" w:cs="Times New Roman"/>
                <w:color w:val="auto"/>
                <w:highlight w:val="none"/>
                <w:lang w:val="en-US" w:eastAsia="zh-CN"/>
              </w:rPr>
              <w:t>，预计年</w:t>
            </w:r>
            <w:r>
              <w:rPr>
                <w:rFonts w:hint="eastAsia" w:cs="Times New Roman"/>
                <w:color w:val="auto"/>
                <w:highlight w:val="none"/>
                <w:lang w:val="en-US" w:eastAsia="zh-CN"/>
              </w:rPr>
              <w:t>处理8万吨一般工业固体废物</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szCs w:val="24"/>
                <w:highlight w:val="none"/>
              </w:rPr>
              <w:t>行业类别为N7723 固体废物治理，根据《中华人民共和国环境影响评价法》、国务院令第682号《国务院关于修改〈建设项目环境保护管理条例〉的决定》及《建设项目环境影响评价分类管理名录》(2021年版)，本项目属于四十七、生态保护和环境治理业-103一般工业固体废物（含污水处理污泥）、建筑施工废弃物处置及综合利用-其他，应当编制环境影响报告表。评价单位在建设单位大力支持下，立即开展了详细的现场调查、资料收集工作，在对本项目的环境现状和可能造成的环境影响进行分析后，依照《建设项目环境影响报告表编制技术指南(污染影响类)(试行)》的要求编制了本项目环境影响报告表。</w:t>
            </w:r>
          </w:p>
          <w:p w14:paraId="14A14F00">
            <w:pPr>
              <w:pStyle w:val="9"/>
              <w:numPr>
                <w:ilvl w:val="0"/>
                <w:numId w:val="0"/>
              </w:numPr>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二、项目内容及规模</w:t>
            </w:r>
          </w:p>
          <w:p w14:paraId="4F2772D2">
            <w:pPr>
              <w:pStyle w:val="10"/>
              <w:numPr>
                <w:ilvl w:val="3"/>
                <w:numId w:val="0"/>
              </w:numPr>
              <w:ind w:left="-960" w:firstLine="1440"/>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t>1、</w:t>
            </w:r>
            <w:r>
              <w:rPr>
                <w:rFonts w:hint="default" w:ascii="Times New Roman" w:hAnsi="Times New Roman" w:cs="Times New Roman"/>
                <w:color w:val="auto"/>
                <w:highlight w:val="none"/>
              </w:rPr>
              <w:t>工程规模</w:t>
            </w:r>
          </w:p>
          <w:p w14:paraId="5CA75543">
            <w:pPr>
              <w:ind w:firstLine="480" w:firstLineChars="200"/>
              <w:rPr>
                <w:rFonts w:hint="default" w:ascii="Times New Roman" w:hAnsi="Times New Roman" w:cs="Times New Roman"/>
                <w:color w:val="auto"/>
                <w:highlight w:val="none"/>
              </w:rPr>
            </w:pPr>
            <w:r>
              <w:rPr>
                <w:rFonts w:hint="default" w:ascii="Times New Roman" w:hAnsi="Times New Roman" w:cs="Times New Roman"/>
                <w:bCs/>
                <w:color w:val="auto"/>
                <w:sz w:val="24"/>
                <w:highlight w:val="none"/>
                <w:lang w:val="en-US" w:eastAsia="zh-CN"/>
              </w:rPr>
              <w:t>本项目</w:t>
            </w:r>
            <w:r>
              <w:rPr>
                <w:rFonts w:hint="eastAsia" w:cs="Times New Roman"/>
                <w:bCs/>
                <w:color w:val="auto"/>
                <w:sz w:val="24"/>
                <w:highlight w:val="none"/>
                <w:lang w:val="en-US" w:eastAsia="zh-CN"/>
              </w:rPr>
              <w:t>租赁</w:t>
            </w:r>
            <w:r>
              <w:rPr>
                <w:rFonts w:hint="default" w:ascii="Times New Roman" w:hAnsi="Times New Roman" w:cs="Times New Roman"/>
                <w:bCs/>
                <w:color w:val="auto"/>
                <w:sz w:val="24"/>
                <w:highlight w:val="none"/>
                <w:lang w:val="en-US" w:eastAsia="zh-CN"/>
              </w:rPr>
              <w:t>位于</w:t>
            </w:r>
            <w:r>
              <w:rPr>
                <w:rFonts w:hint="default" w:ascii="Times New Roman" w:hAnsi="Times New Roman" w:cs="Times New Roman"/>
                <w:bCs/>
                <w:color w:val="auto"/>
                <w:sz w:val="24"/>
                <w:highlight w:val="none"/>
                <w:lang w:eastAsia="zh-CN"/>
              </w:rPr>
              <w:t>广东省乐昌市乐廊路六公里乐昌市产业转移园鸿图工艺厂房A2</w:t>
            </w:r>
            <w:r>
              <w:rPr>
                <w:rFonts w:hint="default" w:ascii="Times New Roman" w:hAnsi="Times New Roman" w:cs="Times New Roman"/>
                <w:color w:val="auto"/>
                <w:highlight w:val="none"/>
                <w:lang w:val="en-US" w:eastAsia="zh-CN"/>
              </w:rPr>
              <w:t>进行生产活动。厂区</w:t>
            </w:r>
            <w:r>
              <w:rPr>
                <w:rFonts w:hint="default" w:ascii="Times New Roman" w:hAnsi="Times New Roman" w:cs="Times New Roman"/>
                <w:color w:val="auto"/>
                <w:highlight w:val="none"/>
              </w:rPr>
              <w:t>面布置图见附图</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zh-CN"/>
              </w:rPr>
              <w:t>工程组成见表</w:t>
            </w:r>
            <w:r>
              <w:rPr>
                <w:rFonts w:hint="default" w:ascii="Times New Roman" w:hAnsi="Times New Roman" w:cs="Times New Roman"/>
                <w:color w:val="auto"/>
                <w:highlight w:val="none"/>
              </w:rPr>
              <w:t>2-</w:t>
            </w: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lang w:val="zh-CN"/>
              </w:rPr>
              <w:t>。</w:t>
            </w:r>
          </w:p>
          <w:p w14:paraId="6F816D30">
            <w:pPr>
              <w:spacing w:line="360" w:lineRule="auto"/>
              <w:jc w:val="center"/>
              <w:rPr>
                <w:rFonts w:hint="default" w:ascii="Times New Roman" w:hAnsi="Times New Roman" w:cs="Times New Roman"/>
                <w:b/>
                <w:bCs/>
                <w:color w:val="auto"/>
                <w:sz w:val="21"/>
                <w:szCs w:val="21"/>
                <w:highlight w:val="none"/>
              </w:rPr>
            </w:pPr>
          </w:p>
          <w:p w14:paraId="69E57A29">
            <w:pPr>
              <w:spacing w:line="360" w:lineRule="auto"/>
              <w:jc w:val="center"/>
              <w:rPr>
                <w:rFonts w:hint="default" w:ascii="Times New Roman" w:hAnsi="Times New Roman" w:cs="Times New Roman"/>
                <w:b/>
                <w:bCs/>
                <w:color w:val="auto"/>
                <w:sz w:val="21"/>
                <w:szCs w:val="21"/>
                <w:highlight w:val="none"/>
              </w:rPr>
            </w:pPr>
          </w:p>
          <w:p w14:paraId="53A1CC5C">
            <w:pPr>
              <w:spacing w:line="360" w:lineRule="auto"/>
              <w:jc w:val="center"/>
              <w:rPr>
                <w:rFonts w:hint="default" w:ascii="Times New Roman" w:hAnsi="Times New Roman" w:cs="Times New Roman"/>
                <w:b/>
                <w:bCs/>
                <w:color w:val="auto"/>
                <w:sz w:val="21"/>
                <w:szCs w:val="21"/>
                <w:highlight w:val="none"/>
              </w:rPr>
            </w:pPr>
          </w:p>
          <w:p w14:paraId="75B02A5B">
            <w:pPr>
              <w:spacing w:line="36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rPr>
              <w:fldChar w:fldCharType="begin"/>
            </w:r>
            <w:r>
              <w:rPr>
                <w:rFonts w:hint="default" w:ascii="Times New Roman" w:hAnsi="Times New Roman" w:cs="Times New Roman"/>
                <w:b/>
                <w:bCs/>
                <w:color w:val="auto"/>
                <w:sz w:val="21"/>
                <w:szCs w:val="21"/>
                <w:highlight w:val="none"/>
              </w:rPr>
              <w:instrText xml:space="preserve"> STYLEREF 1 \s </w:instrText>
            </w:r>
            <w:r>
              <w:rPr>
                <w:rFonts w:hint="default" w:ascii="Times New Roman" w:hAnsi="Times New Roman" w:cs="Times New Roman"/>
                <w:b/>
                <w:bCs/>
                <w:color w:val="auto"/>
                <w:sz w:val="21"/>
                <w:szCs w:val="21"/>
                <w:highlight w:val="none"/>
              </w:rPr>
              <w:fldChar w:fldCharType="separate"/>
            </w:r>
            <w:r>
              <w:rPr>
                <w:rFonts w:hint="default" w:ascii="Times New Roman" w:hAnsi="Times New Roman" w:cs="Times New Roman"/>
                <w:b/>
                <w:bCs/>
                <w:color w:val="auto"/>
                <w:sz w:val="21"/>
                <w:szCs w:val="21"/>
                <w:highlight w:val="none"/>
              </w:rPr>
              <w:t>2</w:t>
            </w:r>
            <w:r>
              <w:rPr>
                <w:rFonts w:hint="default" w:ascii="Times New Roman" w:hAnsi="Times New Roman" w:cs="Times New Roman"/>
                <w:b/>
                <w:bCs/>
                <w:color w:val="auto"/>
                <w:sz w:val="21"/>
                <w:szCs w:val="21"/>
                <w:highlight w:val="none"/>
              </w:rPr>
              <w:fldChar w:fldCharType="end"/>
            </w:r>
            <w:r>
              <w:rPr>
                <w:rFonts w:hint="default" w:ascii="Times New Roman" w:hAnsi="Times New Roman" w:cs="Times New Roman"/>
                <w:b/>
                <w:bCs/>
                <w:color w:val="auto"/>
                <w:sz w:val="21"/>
                <w:szCs w:val="21"/>
                <w:highlight w:val="none"/>
              </w:rPr>
              <w:t>-</w:t>
            </w:r>
            <w:r>
              <w:rPr>
                <w:rFonts w:hint="default" w:ascii="Times New Roman" w:hAnsi="Times New Roman" w:cs="Times New Roman"/>
                <w:b/>
                <w:bCs/>
                <w:color w:val="auto"/>
                <w:sz w:val="21"/>
                <w:szCs w:val="21"/>
                <w:highlight w:val="none"/>
                <w:lang w:val="en-US" w:eastAsia="zh-CN"/>
              </w:rPr>
              <w:t>1</w:t>
            </w:r>
            <w:r>
              <w:rPr>
                <w:rFonts w:hint="default" w:ascii="Times New Roman" w:hAnsi="Times New Roman" w:cs="Times New Roman"/>
                <w:b/>
                <w:bCs/>
                <w:color w:val="auto"/>
                <w:sz w:val="21"/>
                <w:szCs w:val="21"/>
                <w:highlight w:val="none"/>
              </w:rPr>
              <w:t>工程组成一览表</w:t>
            </w:r>
          </w:p>
          <w:tbl>
            <w:tblPr>
              <w:tblStyle w:val="45"/>
              <w:tblW w:w="80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603"/>
              <w:gridCol w:w="1116"/>
              <w:gridCol w:w="4464"/>
              <w:gridCol w:w="236"/>
            </w:tblGrid>
            <w:tr w14:paraId="7C1D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6" w:hRule="atLeast"/>
              </w:trPr>
              <w:tc>
                <w:tcPr>
                  <w:tcW w:w="2268" w:type="dxa"/>
                  <w:gridSpan w:val="2"/>
                  <w:vAlign w:val="center"/>
                </w:tcPr>
                <w:p w14:paraId="4D1F9192">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工程类别</w:t>
                  </w:r>
                </w:p>
              </w:tc>
              <w:tc>
                <w:tcPr>
                  <w:tcW w:w="1116" w:type="dxa"/>
                  <w:vAlign w:val="center"/>
                </w:tcPr>
                <w:p w14:paraId="0858CD04">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eastAsia="zh-CN"/>
                    </w:rPr>
                    <w:t>工程组成</w:t>
                  </w:r>
                </w:p>
              </w:tc>
              <w:tc>
                <w:tcPr>
                  <w:tcW w:w="4700" w:type="dxa"/>
                  <w:gridSpan w:val="2"/>
                  <w:vAlign w:val="center"/>
                </w:tcPr>
                <w:p w14:paraId="2A0B3F92">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工程建设规模及内容</w:t>
                  </w:r>
                </w:p>
              </w:tc>
            </w:tr>
            <w:tr w14:paraId="16F8D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665" w:type="dxa"/>
                  <w:vAlign w:val="center"/>
                </w:tcPr>
                <w:p w14:paraId="2C408CE2">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主体工程</w:t>
                  </w:r>
                </w:p>
              </w:tc>
              <w:tc>
                <w:tcPr>
                  <w:tcW w:w="1603" w:type="dxa"/>
                  <w:vAlign w:val="center"/>
                </w:tcPr>
                <w:p w14:paraId="2D4220FF">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厂房</w:t>
                  </w:r>
                </w:p>
              </w:tc>
              <w:tc>
                <w:tcPr>
                  <w:tcW w:w="1116" w:type="dxa"/>
                  <w:vAlign w:val="center"/>
                </w:tcPr>
                <w:p w14:paraId="5B5F8FE4">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F</w:t>
                  </w:r>
                </w:p>
              </w:tc>
              <w:tc>
                <w:tcPr>
                  <w:tcW w:w="4700" w:type="dxa"/>
                  <w:gridSpan w:val="2"/>
                  <w:vAlign w:val="center"/>
                </w:tcPr>
                <w:p w14:paraId="37186BCD">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建筑面积</w:t>
                  </w:r>
                  <w:r>
                    <w:rPr>
                      <w:rFonts w:hint="eastAsia" w:cs="Times New Roman"/>
                      <w:color w:val="auto"/>
                      <w:sz w:val="21"/>
                      <w:szCs w:val="21"/>
                      <w:highlight w:val="none"/>
                      <w:lang w:val="en-US" w:eastAsia="zh-CN"/>
                    </w:rPr>
                    <w:t>3420</w:t>
                  </w:r>
                  <w:r>
                    <w:rPr>
                      <w:rFonts w:hint="default" w:ascii="Times New Roman" w:hAnsi="Times New Roman" w:cs="Times New Roman"/>
                      <w:color w:val="auto"/>
                      <w:sz w:val="21"/>
                      <w:szCs w:val="21"/>
                      <w:highlight w:val="none"/>
                      <w:lang w:val="en-US" w:eastAsia="zh-CN"/>
                    </w:rPr>
                    <w:t>平方米，层高</w:t>
                  </w:r>
                  <w:r>
                    <w:rPr>
                      <w:rFonts w:hint="eastAsia" w:cs="Times New Roman"/>
                      <w:color w:val="auto"/>
                      <w:sz w:val="21"/>
                      <w:szCs w:val="21"/>
                      <w:highlight w:val="none"/>
                      <w:lang w:val="en-US" w:eastAsia="zh-CN"/>
                    </w:rPr>
                    <w:t>8</w:t>
                  </w:r>
                  <w:r>
                    <w:rPr>
                      <w:rFonts w:hint="default" w:ascii="Times New Roman" w:hAnsi="Times New Roman" w:cs="Times New Roman"/>
                      <w:color w:val="auto"/>
                      <w:sz w:val="21"/>
                      <w:szCs w:val="21"/>
                      <w:highlight w:val="none"/>
                      <w:lang w:val="en-US" w:eastAsia="zh-CN"/>
                    </w:rPr>
                    <w:t>m，</w:t>
                  </w:r>
                  <w:r>
                    <w:rPr>
                      <w:rFonts w:hint="eastAsia" w:cs="Times New Roman"/>
                      <w:color w:val="auto"/>
                      <w:sz w:val="21"/>
                      <w:szCs w:val="21"/>
                      <w:highlight w:val="none"/>
                      <w:lang w:val="en-US" w:eastAsia="zh-CN"/>
                    </w:rPr>
                    <w:t>为人工分拣区、堆放点、贮存区，有一台立式液压打包机</w:t>
                  </w:r>
                </w:p>
              </w:tc>
            </w:tr>
            <w:tr w14:paraId="7A99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665" w:type="dxa"/>
                  <w:vAlign w:val="center"/>
                </w:tcPr>
                <w:p w14:paraId="15C9C28B">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辅助工程</w:t>
                  </w:r>
                </w:p>
              </w:tc>
              <w:tc>
                <w:tcPr>
                  <w:tcW w:w="1603" w:type="dxa"/>
                  <w:vAlign w:val="center"/>
                </w:tcPr>
                <w:p w14:paraId="2575F554">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办公区</w:t>
                  </w:r>
                </w:p>
              </w:tc>
              <w:tc>
                <w:tcPr>
                  <w:tcW w:w="5816" w:type="dxa"/>
                  <w:gridSpan w:val="3"/>
                  <w:vAlign w:val="center"/>
                </w:tcPr>
                <w:p w14:paraId="74A44055">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auto"/>
                      <w:sz w:val="21"/>
                      <w:szCs w:val="21"/>
                      <w:highlight w:val="none"/>
                      <w:lang w:val="en-US" w:eastAsia="zh-CN"/>
                    </w:rPr>
                  </w:pPr>
                  <w:r>
                    <w:rPr>
                      <w:rFonts w:hint="default"/>
                      <w:color w:val="auto"/>
                      <w:highlight w:val="none"/>
                    </w:rPr>
                    <w:t>员工办公区，位于厂房内</w:t>
                  </w:r>
                  <w:r>
                    <w:rPr>
                      <w:rFonts w:hint="eastAsia"/>
                      <w:color w:val="auto"/>
                      <w:highlight w:val="none"/>
                      <w:lang w:eastAsia="zh-CN"/>
                    </w:rPr>
                    <w:t>西</w:t>
                  </w:r>
                  <w:r>
                    <w:rPr>
                      <w:rFonts w:hint="default"/>
                      <w:color w:val="auto"/>
                      <w:highlight w:val="none"/>
                    </w:rPr>
                    <w:t>南角</w:t>
                  </w:r>
                </w:p>
              </w:tc>
            </w:tr>
            <w:tr w14:paraId="729F6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6" w:type="dxa"/>
                <w:trHeight w:val="283" w:hRule="atLeast"/>
              </w:trPr>
              <w:tc>
                <w:tcPr>
                  <w:tcW w:w="665" w:type="dxa"/>
                  <w:vMerge w:val="restart"/>
                  <w:vAlign w:val="center"/>
                </w:tcPr>
                <w:p w14:paraId="27086996">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公用工程</w:t>
                  </w:r>
                </w:p>
              </w:tc>
              <w:tc>
                <w:tcPr>
                  <w:tcW w:w="1603" w:type="dxa"/>
                  <w:vAlign w:val="center"/>
                </w:tcPr>
                <w:p w14:paraId="502AECA4">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给排水</w:t>
                  </w:r>
                </w:p>
              </w:tc>
              <w:tc>
                <w:tcPr>
                  <w:tcW w:w="5580" w:type="dxa"/>
                  <w:gridSpan w:val="2"/>
                  <w:vAlign w:val="center"/>
                </w:tcPr>
                <w:p w14:paraId="63963E46">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市政给水</w:t>
                  </w:r>
                </w:p>
              </w:tc>
            </w:tr>
            <w:tr w14:paraId="455AF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6" w:type="dxa"/>
                <w:trHeight w:val="283" w:hRule="atLeast"/>
              </w:trPr>
              <w:tc>
                <w:tcPr>
                  <w:tcW w:w="665" w:type="dxa"/>
                  <w:vMerge w:val="continue"/>
                  <w:vAlign w:val="center"/>
                </w:tcPr>
                <w:p w14:paraId="1CC06EA4">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auto"/>
                      <w:highlight w:val="none"/>
                    </w:rPr>
                  </w:pPr>
                </w:p>
              </w:tc>
              <w:tc>
                <w:tcPr>
                  <w:tcW w:w="1603" w:type="dxa"/>
                  <w:vAlign w:val="center"/>
                </w:tcPr>
                <w:p w14:paraId="16A8F74B">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bCs/>
                      <w:color w:val="auto"/>
                      <w:kern w:val="2"/>
                      <w:sz w:val="21"/>
                      <w:szCs w:val="24"/>
                      <w:highlight w:val="none"/>
                      <w:lang w:val="zh-CN" w:eastAsia="zh-CN" w:bidi="ar-SA"/>
                    </w:rPr>
                  </w:pPr>
                  <w:r>
                    <w:rPr>
                      <w:rFonts w:hint="default" w:ascii="Times New Roman" w:hAnsi="Times New Roman" w:cs="Times New Roman"/>
                      <w:color w:val="auto"/>
                      <w:highlight w:val="none"/>
                    </w:rPr>
                    <w:t>供电</w:t>
                  </w:r>
                </w:p>
              </w:tc>
              <w:tc>
                <w:tcPr>
                  <w:tcW w:w="5580" w:type="dxa"/>
                  <w:gridSpan w:val="2"/>
                  <w:vAlign w:val="center"/>
                </w:tcPr>
                <w:p w14:paraId="2275BA8A">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bCs/>
                      <w:color w:val="auto"/>
                      <w:kern w:val="2"/>
                      <w:sz w:val="21"/>
                      <w:szCs w:val="24"/>
                      <w:highlight w:val="none"/>
                      <w:lang w:val="en-US" w:eastAsia="zh-CN" w:bidi="ar-SA"/>
                    </w:rPr>
                  </w:pPr>
                  <w:r>
                    <w:rPr>
                      <w:rFonts w:hint="default" w:ascii="Times New Roman" w:hAnsi="Times New Roman" w:cs="Times New Roman"/>
                      <w:color w:val="auto"/>
                      <w:highlight w:val="none"/>
                    </w:rPr>
                    <w:t>市政供电</w:t>
                  </w:r>
                </w:p>
              </w:tc>
            </w:tr>
            <w:tr w14:paraId="725CA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6" w:type="dxa"/>
                <w:trHeight w:val="541" w:hRule="atLeast"/>
              </w:trPr>
              <w:tc>
                <w:tcPr>
                  <w:tcW w:w="665" w:type="dxa"/>
                  <w:vMerge w:val="restart"/>
                  <w:vAlign w:val="center"/>
                </w:tcPr>
                <w:p w14:paraId="179E87CA">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环保工程</w:t>
                  </w:r>
                </w:p>
              </w:tc>
              <w:tc>
                <w:tcPr>
                  <w:tcW w:w="1603" w:type="dxa"/>
                  <w:vAlign w:val="center"/>
                </w:tcPr>
                <w:p w14:paraId="006FAD0F">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废气处理设施</w:t>
                  </w:r>
                </w:p>
              </w:tc>
              <w:tc>
                <w:tcPr>
                  <w:tcW w:w="5580" w:type="dxa"/>
                  <w:gridSpan w:val="2"/>
                  <w:vAlign w:val="center"/>
                </w:tcPr>
                <w:p w14:paraId="1C9F8C10">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bCs/>
                      <w:color w:val="auto"/>
                      <w:kern w:val="2"/>
                      <w:sz w:val="21"/>
                      <w:szCs w:val="24"/>
                      <w:highlight w:val="none"/>
                      <w:lang w:val="en-US" w:eastAsia="zh-CN" w:bidi="ar-SA"/>
                    </w:rPr>
                  </w:pPr>
                  <w:r>
                    <w:rPr>
                      <w:rFonts w:hint="eastAsia" w:cs="Times New Roman"/>
                      <w:color w:val="auto"/>
                      <w:highlight w:val="none"/>
                      <w:lang w:val="en-US" w:eastAsia="zh-CN"/>
                    </w:rPr>
                    <w:t>分拣、压实工序产生的少量颗粒物与臭气浓度，通过加强厂房通风，减少无组织排放产生的污染</w:t>
                  </w:r>
                </w:p>
              </w:tc>
            </w:tr>
            <w:tr w14:paraId="3459A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6" w:type="dxa"/>
                <w:trHeight w:val="541" w:hRule="atLeast"/>
              </w:trPr>
              <w:tc>
                <w:tcPr>
                  <w:tcW w:w="665" w:type="dxa"/>
                  <w:vMerge w:val="continue"/>
                  <w:vAlign w:val="center"/>
                </w:tcPr>
                <w:p w14:paraId="4E959163">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auto"/>
                      <w:highlight w:val="none"/>
                    </w:rPr>
                  </w:pPr>
                </w:p>
              </w:tc>
              <w:tc>
                <w:tcPr>
                  <w:tcW w:w="1603" w:type="dxa"/>
                  <w:vAlign w:val="center"/>
                </w:tcPr>
                <w:p w14:paraId="35A7AF91">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废水处理设施</w:t>
                  </w:r>
                </w:p>
              </w:tc>
              <w:tc>
                <w:tcPr>
                  <w:tcW w:w="5580" w:type="dxa"/>
                  <w:gridSpan w:val="2"/>
                  <w:vAlign w:val="center"/>
                </w:tcPr>
                <w:p w14:paraId="21F65FB6">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cs="Times New Roman"/>
                      <w:color w:val="auto"/>
                      <w:highlight w:val="none"/>
                      <w:lang w:val="en-US" w:eastAsia="zh-CN"/>
                    </w:rPr>
                  </w:pPr>
                  <w:r>
                    <w:rPr>
                      <w:rFonts w:hint="eastAsia" w:cs="Times New Roman"/>
                      <w:color w:val="auto"/>
                      <w:highlight w:val="none"/>
                      <w:lang w:val="en-US" w:eastAsia="zh-CN"/>
                    </w:rPr>
                    <w:t>生活污水经三级化粪池（依托乐昌市华轩针织制衣有限公司）预处理后，</w:t>
                  </w:r>
                  <w:r>
                    <w:rPr>
                      <w:rFonts w:hint="default" w:ascii="Times New Roman" w:hAnsi="Times New Roman" w:cs="Times New Roman"/>
                      <w:color w:val="auto"/>
                      <w:sz w:val="21"/>
                      <w:szCs w:val="21"/>
                      <w:highlight w:val="none"/>
                    </w:rPr>
                    <w:t>排入园区污水处理厂进一步处理</w:t>
                  </w:r>
                </w:p>
              </w:tc>
            </w:tr>
            <w:tr w14:paraId="5F0D6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6" w:type="dxa"/>
                <w:trHeight w:val="276" w:hRule="atLeast"/>
              </w:trPr>
              <w:tc>
                <w:tcPr>
                  <w:tcW w:w="665" w:type="dxa"/>
                  <w:vMerge w:val="continue"/>
                  <w:vAlign w:val="center"/>
                </w:tcPr>
                <w:p w14:paraId="04C287BD">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auto"/>
                      <w:highlight w:val="none"/>
                    </w:rPr>
                  </w:pPr>
                </w:p>
              </w:tc>
              <w:tc>
                <w:tcPr>
                  <w:tcW w:w="1603" w:type="dxa"/>
                  <w:vAlign w:val="center"/>
                </w:tcPr>
                <w:p w14:paraId="1DCFD4DC">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噪声处理设施</w:t>
                  </w:r>
                </w:p>
              </w:tc>
              <w:tc>
                <w:tcPr>
                  <w:tcW w:w="5580" w:type="dxa"/>
                  <w:gridSpan w:val="2"/>
                  <w:vAlign w:val="center"/>
                </w:tcPr>
                <w:p w14:paraId="649DD083">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减震、隔声措施</w:t>
                  </w:r>
                </w:p>
              </w:tc>
            </w:tr>
            <w:tr w14:paraId="50364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6" w:type="dxa"/>
                <w:trHeight w:val="279" w:hRule="atLeast"/>
              </w:trPr>
              <w:tc>
                <w:tcPr>
                  <w:tcW w:w="665" w:type="dxa"/>
                  <w:vMerge w:val="continue"/>
                  <w:vAlign w:val="center"/>
                </w:tcPr>
                <w:p w14:paraId="1E3E28E3">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auto"/>
                      <w:highlight w:val="none"/>
                    </w:rPr>
                  </w:pPr>
                </w:p>
              </w:tc>
              <w:tc>
                <w:tcPr>
                  <w:tcW w:w="1603" w:type="dxa"/>
                  <w:vMerge w:val="restart"/>
                  <w:vAlign w:val="center"/>
                </w:tcPr>
                <w:p w14:paraId="39F45062">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固废处理设施</w:t>
                  </w:r>
                </w:p>
              </w:tc>
              <w:tc>
                <w:tcPr>
                  <w:tcW w:w="5580" w:type="dxa"/>
                  <w:gridSpan w:val="2"/>
                  <w:vAlign w:val="center"/>
                </w:tcPr>
                <w:p w14:paraId="0B8629ED">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auto"/>
                      <w:highlight w:val="none"/>
                    </w:rPr>
                  </w:pPr>
                  <w:r>
                    <w:rPr>
                      <w:rFonts w:hint="eastAsia" w:cs="Times New Roman"/>
                      <w:color w:val="auto"/>
                      <w:highlight w:val="none"/>
                      <w:lang w:val="en-US" w:eastAsia="zh-CN"/>
                    </w:rPr>
                    <w:t>设</w:t>
                  </w:r>
                  <w:r>
                    <w:rPr>
                      <w:rFonts w:hint="default" w:ascii="Times New Roman" w:hAnsi="Times New Roman" w:cs="Times New Roman"/>
                      <w:color w:val="auto"/>
                      <w:highlight w:val="none"/>
                      <w:lang w:eastAsia="zh-CN"/>
                    </w:rPr>
                    <w:t>一般固废暂存</w:t>
                  </w:r>
                  <w:r>
                    <w:rPr>
                      <w:rFonts w:hint="eastAsia" w:cs="Times New Roman"/>
                      <w:color w:val="auto"/>
                      <w:highlight w:val="none"/>
                      <w:lang w:val="en-US" w:eastAsia="zh-CN"/>
                    </w:rPr>
                    <w:t>区</w:t>
                  </w:r>
                  <w:r>
                    <w:rPr>
                      <w:rFonts w:hint="default" w:ascii="Times New Roman" w:hAnsi="Times New Roman" w:cs="Times New Roman"/>
                      <w:color w:val="auto"/>
                      <w:highlight w:val="none"/>
                      <w:lang w:eastAsia="zh-CN"/>
                    </w:rPr>
                    <w:t>，一般固废收集后交由专业公司回收处理</w:t>
                  </w:r>
                </w:p>
              </w:tc>
            </w:tr>
            <w:tr w14:paraId="1341A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6" w:type="dxa"/>
                <w:trHeight w:val="807" w:hRule="atLeast"/>
              </w:trPr>
              <w:tc>
                <w:tcPr>
                  <w:tcW w:w="665" w:type="dxa"/>
                  <w:vMerge w:val="continue"/>
                  <w:vAlign w:val="center"/>
                </w:tcPr>
                <w:p w14:paraId="13DE0613">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auto"/>
                      <w:highlight w:val="none"/>
                    </w:rPr>
                  </w:pPr>
                </w:p>
              </w:tc>
              <w:tc>
                <w:tcPr>
                  <w:tcW w:w="1603" w:type="dxa"/>
                  <w:vMerge w:val="continue"/>
                  <w:vAlign w:val="center"/>
                </w:tcPr>
                <w:p w14:paraId="4FA5F404">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auto"/>
                      <w:highlight w:val="none"/>
                    </w:rPr>
                  </w:pPr>
                </w:p>
              </w:tc>
              <w:tc>
                <w:tcPr>
                  <w:tcW w:w="5580" w:type="dxa"/>
                  <w:gridSpan w:val="2"/>
                  <w:vAlign w:val="center"/>
                </w:tcPr>
                <w:p w14:paraId="1E841557">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auto"/>
                      <w:highlight w:val="none"/>
                      <w:lang w:val="en-US"/>
                    </w:rPr>
                  </w:pPr>
                  <w:r>
                    <w:rPr>
                      <w:rFonts w:hint="eastAsia" w:cs="Times New Roman"/>
                      <w:color w:val="auto"/>
                      <w:highlight w:val="none"/>
                      <w:lang w:val="en-US" w:eastAsia="zh-CN"/>
                    </w:rPr>
                    <w:t>危废</w:t>
                  </w:r>
                  <w:r>
                    <w:rPr>
                      <w:rFonts w:hint="default" w:ascii="Times New Roman" w:hAnsi="Times New Roman" w:cs="Times New Roman"/>
                      <w:color w:val="auto"/>
                      <w:highlight w:val="none"/>
                      <w:lang w:eastAsia="zh-CN"/>
                    </w:rPr>
                    <w:t>暂存间位</w:t>
                  </w:r>
                  <w:r>
                    <w:rPr>
                      <w:rFonts w:hint="default" w:ascii="Times New Roman" w:hAnsi="Times New Roman" w:cs="Times New Roman"/>
                      <w:color w:val="auto"/>
                      <w:highlight w:val="none"/>
                      <w:lang w:val="en-US" w:eastAsia="zh-CN"/>
                    </w:rPr>
                    <w:t>于厂房</w:t>
                  </w:r>
                  <w:r>
                    <w:rPr>
                      <w:rFonts w:hint="eastAsia" w:cs="Times New Roman"/>
                      <w:color w:val="auto"/>
                      <w:highlight w:val="none"/>
                      <w:lang w:val="en-US" w:eastAsia="zh-CN"/>
                    </w:rPr>
                    <w:t>东</w:t>
                  </w:r>
                  <w:r>
                    <w:rPr>
                      <w:rFonts w:hint="default" w:ascii="Times New Roman" w:hAnsi="Times New Roman" w:cs="Times New Roman"/>
                      <w:color w:val="auto"/>
                      <w:highlight w:val="none"/>
                      <w:lang w:val="en-US" w:eastAsia="zh-CN"/>
                    </w:rPr>
                    <w:t>侧</w:t>
                  </w:r>
                  <w:r>
                    <w:rPr>
                      <w:rFonts w:hint="default" w:ascii="Times New Roman" w:hAnsi="Times New Roman" w:cs="Times New Roman"/>
                      <w:color w:val="auto"/>
                      <w:highlight w:val="none"/>
                      <w:lang w:eastAsia="zh-CN"/>
                    </w:rPr>
                    <w:t>，占地面积约</w:t>
                  </w:r>
                  <w:r>
                    <w:rPr>
                      <w:rFonts w:hint="eastAsia" w:cs="Times New Roman"/>
                      <w:color w:val="auto"/>
                      <w:highlight w:val="none"/>
                      <w:lang w:val="en-US" w:eastAsia="zh-CN"/>
                    </w:rPr>
                    <w:t>5</w:t>
                  </w:r>
                  <w:r>
                    <w:rPr>
                      <w:rFonts w:hint="default" w:ascii="Times New Roman" w:hAnsi="Times New Roman" w:cs="Times New Roman"/>
                      <w:color w:val="auto"/>
                      <w:highlight w:val="none"/>
                      <w:lang w:eastAsia="zh-CN"/>
                    </w:rPr>
                    <w:t>m</w:t>
                  </w:r>
                  <w:r>
                    <w:rPr>
                      <w:rFonts w:hint="default" w:ascii="Times New Roman" w:hAnsi="Times New Roman" w:cs="Times New Roman"/>
                      <w:color w:val="auto"/>
                      <w:highlight w:val="none"/>
                      <w:vertAlign w:val="superscript"/>
                      <w:lang w:eastAsia="zh-CN"/>
                    </w:rPr>
                    <w:t>2</w:t>
                  </w:r>
                  <w:r>
                    <w:rPr>
                      <w:rFonts w:hint="default" w:ascii="Times New Roman" w:hAnsi="Times New Roman" w:cs="Times New Roman"/>
                      <w:color w:val="auto"/>
                      <w:highlight w:val="none"/>
                      <w:lang w:eastAsia="zh-CN"/>
                    </w:rPr>
                    <w:t>，危险废物收集后交由有危险废物处理资质单位处置</w:t>
                  </w:r>
                </w:p>
              </w:tc>
            </w:tr>
            <w:tr w14:paraId="422D0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6" w:type="dxa"/>
                <w:trHeight w:val="807" w:hRule="atLeast"/>
              </w:trPr>
              <w:tc>
                <w:tcPr>
                  <w:tcW w:w="665" w:type="dxa"/>
                  <w:vMerge w:val="continue"/>
                  <w:vAlign w:val="center"/>
                </w:tcPr>
                <w:p w14:paraId="3E8E696A">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auto"/>
                      <w:highlight w:val="none"/>
                    </w:rPr>
                  </w:pPr>
                </w:p>
              </w:tc>
              <w:tc>
                <w:tcPr>
                  <w:tcW w:w="1603" w:type="dxa"/>
                  <w:vAlign w:val="center"/>
                </w:tcPr>
                <w:p w14:paraId="7273D89E">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auto"/>
                      <w:highlight w:val="none"/>
                    </w:rPr>
                  </w:pPr>
                  <w:r>
                    <w:rPr>
                      <w:rFonts w:hint="eastAsia" w:cs="Times New Roman"/>
                      <w:color w:val="auto"/>
                      <w:highlight w:val="none"/>
                      <w:lang w:val="en-US" w:eastAsia="zh-CN"/>
                    </w:rPr>
                    <w:t>风险防范应急措施</w:t>
                  </w:r>
                </w:p>
              </w:tc>
              <w:tc>
                <w:tcPr>
                  <w:tcW w:w="5580" w:type="dxa"/>
                  <w:gridSpan w:val="2"/>
                  <w:vAlign w:val="center"/>
                </w:tcPr>
                <w:p w14:paraId="1913F447">
                  <w:pPr>
                    <w:pStyle w:val="95"/>
                    <w:keepNext w:val="0"/>
                    <w:keepLines w:val="0"/>
                    <w:pageBreakBefore w:val="0"/>
                    <w:widowControl w:val="0"/>
                    <w:kinsoku/>
                    <w:wordWrap/>
                    <w:overflowPunct/>
                    <w:topLinePunct w:val="0"/>
                    <w:autoSpaceDE/>
                    <w:autoSpaceDN/>
                    <w:bidi w:val="0"/>
                    <w:adjustRightInd w:val="0"/>
                    <w:snapToGrid w:val="0"/>
                    <w:textAlignment w:val="auto"/>
                    <w:rPr>
                      <w:rFonts w:hint="default" w:cs="Times New Roman"/>
                      <w:color w:val="auto"/>
                      <w:highlight w:val="none"/>
                      <w:lang w:val="en-US" w:eastAsia="zh-CN"/>
                    </w:rPr>
                  </w:pPr>
                  <w:r>
                    <w:rPr>
                      <w:rFonts w:hint="eastAsia" w:cs="Times New Roman"/>
                      <w:color w:val="auto"/>
                      <w:highlight w:val="none"/>
                      <w:lang w:val="en-US" w:eastAsia="zh-CN"/>
                    </w:rPr>
                    <w:t>设事故应急池：220m</w:t>
                  </w:r>
                  <w:r>
                    <w:rPr>
                      <w:rFonts w:hint="eastAsia" w:cs="Times New Roman"/>
                      <w:color w:val="auto"/>
                      <w:highlight w:val="none"/>
                      <w:vertAlign w:val="superscript"/>
                      <w:lang w:val="en-US" w:eastAsia="zh-CN"/>
                    </w:rPr>
                    <w:t>3</w:t>
                  </w:r>
                </w:p>
              </w:tc>
            </w:tr>
          </w:tbl>
          <w:p w14:paraId="30611F11">
            <w:pPr>
              <w:pStyle w:val="10"/>
              <w:numPr>
                <w:ilvl w:val="3"/>
                <w:numId w:val="0"/>
              </w:numPr>
              <w:ind w:left="-960" w:firstLine="1440"/>
              <w:rPr>
                <w:rFonts w:hint="eastAsia" w:ascii="Times New Roman" w:hAnsi="Times New Roman" w:eastAsia="宋体" w:cs="Times New Roman"/>
                <w:color w:val="auto"/>
                <w:highlight w:val="none"/>
                <w:lang w:val="en-US" w:eastAsia="zh-CN"/>
              </w:rPr>
            </w:pPr>
            <w:r>
              <w:rPr>
                <w:rFonts w:hint="default" w:ascii="Times New Roman" w:hAnsi="Times New Roman" w:cs="Times New Roman"/>
                <w:color w:val="auto"/>
                <w:szCs w:val="24"/>
                <w:highlight w:val="none"/>
              </w:rPr>
              <w:t>2、</w:t>
            </w:r>
            <w:r>
              <w:rPr>
                <w:rFonts w:hint="eastAsia" w:cs="Times New Roman"/>
                <w:color w:val="auto"/>
                <w:szCs w:val="24"/>
                <w:highlight w:val="none"/>
                <w:lang w:val="en-US" w:eastAsia="zh-CN"/>
              </w:rPr>
              <w:t>建设规模</w:t>
            </w:r>
          </w:p>
          <w:p w14:paraId="4762F18F">
            <w:pPr>
              <w:tabs>
                <w:tab w:val="left" w:pos="6960"/>
              </w:tabs>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w:t>
            </w:r>
            <w:r>
              <w:rPr>
                <w:rFonts w:hint="eastAsia" w:cs="Times New Roman"/>
                <w:color w:val="auto"/>
                <w:highlight w:val="none"/>
                <w:lang w:val="en-US" w:eastAsia="zh-CN"/>
              </w:rPr>
              <w:t>建设规模</w:t>
            </w:r>
            <w:r>
              <w:rPr>
                <w:rFonts w:hint="default" w:ascii="Times New Roman" w:hAnsi="Times New Roman" w:cs="Times New Roman"/>
                <w:color w:val="auto"/>
                <w:highlight w:val="none"/>
              </w:rPr>
              <w:t>见下表。</w:t>
            </w:r>
          </w:p>
          <w:p w14:paraId="42B386E0">
            <w:pPr>
              <w:widowControl/>
              <w:spacing w:line="240" w:lineRule="auto"/>
              <w:jc w:val="center"/>
              <w:rPr>
                <w:rFonts w:hint="default" w:ascii="Times New Roman" w:hAnsi="Times New Roman" w:cs="Times New Roman"/>
                <w:b/>
                <w:color w:val="auto"/>
                <w:sz w:val="21"/>
                <w:szCs w:val="21"/>
                <w:highlight w:val="none"/>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rPr>
              <w:fldChar w:fldCharType="begin"/>
            </w:r>
            <w:r>
              <w:rPr>
                <w:rFonts w:hint="default" w:ascii="Times New Roman" w:hAnsi="Times New Roman" w:cs="Times New Roman"/>
                <w:b/>
                <w:bCs/>
                <w:color w:val="auto"/>
                <w:sz w:val="21"/>
                <w:szCs w:val="21"/>
                <w:highlight w:val="none"/>
              </w:rPr>
              <w:instrText xml:space="preserve"> STYLEREF 1 \s </w:instrText>
            </w:r>
            <w:r>
              <w:rPr>
                <w:rFonts w:hint="default" w:ascii="Times New Roman" w:hAnsi="Times New Roman" w:cs="Times New Roman"/>
                <w:b/>
                <w:bCs/>
                <w:color w:val="auto"/>
                <w:sz w:val="21"/>
                <w:szCs w:val="21"/>
                <w:highlight w:val="none"/>
              </w:rPr>
              <w:fldChar w:fldCharType="separate"/>
            </w:r>
            <w:r>
              <w:rPr>
                <w:rFonts w:hint="default" w:ascii="Times New Roman" w:hAnsi="Times New Roman" w:cs="Times New Roman"/>
                <w:b/>
                <w:bCs/>
                <w:color w:val="auto"/>
                <w:sz w:val="21"/>
                <w:szCs w:val="21"/>
                <w:highlight w:val="none"/>
              </w:rPr>
              <w:t>2</w:t>
            </w:r>
            <w:r>
              <w:rPr>
                <w:rFonts w:hint="default" w:ascii="Times New Roman" w:hAnsi="Times New Roman" w:cs="Times New Roman"/>
                <w:b/>
                <w:bCs/>
                <w:color w:val="auto"/>
                <w:sz w:val="21"/>
                <w:szCs w:val="21"/>
                <w:highlight w:val="none"/>
              </w:rPr>
              <w:fldChar w:fldCharType="end"/>
            </w:r>
            <w:r>
              <w:rPr>
                <w:rFonts w:hint="default" w:ascii="Times New Roman" w:hAnsi="Times New Roman" w:cs="Times New Roman"/>
                <w:b/>
                <w:bCs/>
                <w:color w:val="auto"/>
                <w:sz w:val="21"/>
                <w:szCs w:val="21"/>
                <w:highlight w:val="none"/>
              </w:rPr>
              <w:t>-</w:t>
            </w:r>
            <w:r>
              <w:rPr>
                <w:rFonts w:hint="default" w:ascii="Times New Roman" w:hAnsi="Times New Roman" w:cs="Times New Roman"/>
                <w:b/>
                <w:bCs/>
                <w:color w:val="auto"/>
                <w:sz w:val="21"/>
                <w:szCs w:val="21"/>
                <w:highlight w:val="none"/>
                <w:lang w:val="en-US" w:eastAsia="zh-CN"/>
              </w:rPr>
              <w:t>2</w:t>
            </w:r>
            <w:r>
              <w:rPr>
                <w:rFonts w:hint="eastAsia" w:cs="Times New Roman"/>
                <w:b/>
                <w:bCs/>
                <w:color w:val="auto"/>
                <w:sz w:val="21"/>
                <w:szCs w:val="21"/>
                <w:highlight w:val="none"/>
                <w:lang w:val="en-US" w:eastAsia="zh-CN"/>
              </w:rPr>
              <w:t>项目方</w:t>
            </w:r>
            <w:r>
              <w:rPr>
                <w:rFonts w:hint="eastAsia" w:cs="Times New Roman"/>
                <w:b/>
                <w:color w:val="auto"/>
                <w:sz w:val="21"/>
                <w:szCs w:val="21"/>
                <w:highlight w:val="none"/>
                <w:lang w:val="en-US" w:eastAsia="zh-CN"/>
              </w:rPr>
              <w:t>案</w:t>
            </w:r>
            <w:r>
              <w:rPr>
                <w:rFonts w:hint="default" w:ascii="Times New Roman" w:hAnsi="Times New Roman" w:cs="Times New Roman"/>
                <w:b/>
                <w:color w:val="auto"/>
                <w:sz w:val="21"/>
                <w:szCs w:val="21"/>
                <w:highlight w:val="none"/>
              </w:rPr>
              <w:t>一览表</w:t>
            </w:r>
          </w:p>
          <w:tbl>
            <w:tblPr>
              <w:tblStyle w:val="44"/>
              <w:tblW w:w="4998"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246"/>
              <w:gridCol w:w="3812"/>
              <w:gridCol w:w="2797"/>
            </w:tblGrid>
            <w:tr w14:paraId="050A656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9" w:hRule="atLeast"/>
                <w:jc w:val="center"/>
              </w:trPr>
              <w:tc>
                <w:tcPr>
                  <w:tcW w:w="793" w:type="pct"/>
                  <w:vAlign w:val="center"/>
                </w:tcPr>
                <w:p w14:paraId="59E4817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b/>
                      <w:bCs/>
                      <w:color w:val="auto"/>
                      <w:sz w:val="21"/>
                      <w:szCs w:val="21"/>
                    </w:rPr>
                  </w:pPr>
                  <w:r>
                    <w:rPr>
                      <w:rFonts w:hint="eastAsia"/>
                      <w:b/>
                      <w:bCs/>
                      <w:color w:val="auto"/>
                      <w:sz w:val="21"/>
                      <w:szCs w:val="21"/>
                    </w:rPr>
                    <w:t>序号</w:t>
                  </w:r>
                </w:p>
              </w:tc>
              <w:tc>
                <w:tcPr>
                  <w:tcW w:w="2426" w:type="pct"/>
                  <w:vAlign w:val="center"/>
                </w:tcPr>
                <w:p w14:paraId="2F23FCC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b/>
                      <w:bCs/>
                      <w:color w:val="auto"/>
                      <w:sz w:val="21"/>
                      <w:szCs w:val="21"/>
                    </w:rPr>
                  </w:pPr>
                  <w:r>
                    <w:rPr>
                      <w:rFonts w:hint="eastAsia"/>
                      <w:b/>
                      <w:bCs/>
                      <w:color w:val="auto"/>
                      <w:sz w:val="21"/>
                      <w:szCs w:val="21"/>
                    </w:rPr>
                    <w:t>产品名称</w:t>
                  </w:r>
                </w:p>
              </w:tc>
              <w:tc>
                <w:tcPr>
                  <w:tcW w:w="1780" w:type="pct"/>
                  <w:tcBorders>
                    <w:left w:val="single" w:color="auto" w:sz="4" w:space="0"/>
                  </w:tcBorders>
                  <w:vAlign w:val="center"/>
                </w:tcPr>
                <w:p w14:paraId="7D4F557B">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eastAsia="宋体"/>
                      <w:b/>
                      <w:bCs/>
                      <w:color w:val="auto"/>
                      <w:sz w:val="21"/>
                      <w:szCs w:val="21"/>
                      <w:lang w:val="en-US" w:eastAsia="zh-CN"/>
                    </w:rPr>
                  </w:pPr>
                  <w:r>
                    <w:rPr>
                      <w:rFonts w:hint="eastAsia"/>
                      <w:b/>
                      <w:bCs/>
                      <w:color w:val="auto"/>
                      <w:sz w:val="21"/>
                      <w:szCs w:val="21"/>
                      <w:lang w:val="en-US" w:eastAsia="zh-CN"/>
                    </w:rPr>
                    <w:t>年分拣量 t/a</w:t>
                  </w:r>
                </w:p>
              </w:tc>
            </w:tr>
            <w:tr w14:paraId="4E6632B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9" w:hRule="atLeast"/>
                <w:jc w:val="center"/>
              </w:trPr>
              <w:tc>
                <w:tcPr>
                  <w:tcW w:w="793" w:type="pct"/>
                  <w:vAlign w:val="center"/>
                </w:tcPr>
                <w:p w14:paraId="7DCAB71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color w:val="auto"/>
                      <w:kern w:val="0"/>
                      <w:sz w:val="21"/>
                      <w:szCs w:val="21"/>
                    </w:rPr>
                  </w:pPr>
                  <w:r>
                    <w:rPr>
                      <w:rFonts w:hint="eastAsia"/>
                      <w:color w:val="auto"/>
                      <w:kern w:val="0"/>
                      <w:sz w:val="21"/>
                      <w:szCs w:val="21"/>
                    </w:rPr>
                    <w:t>1</w:t>
                  </w:r>
                </w:p>
              </w:tc>
              <w:tc>
                <w:tcPr>
                  <w:tcW w:w="2426" w:type="pct"/>
                  <w:vAlign w:val="center"/>
                </w:tcPr>
                <w:p w14:paraId="62F809B5">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eastAsia="宋体"/>
                      <w:color w:val="auto"/>
                      <w:kern w:val="21"/>
                      <w:sz w:val="21"/>
                      <w:szCs w:val="21"/>
                      <w:lang w:val="en-US" w:eastAsia="zh-CN"/>
                    </w:rPr>
                  </w:pPr>
                  <w:r>
                    <w:rPr>
                      <w:rFonts w:hint="eastAsia" w:eastAsia="宋体"/>
                      <w:color w:val="auto"/>
                      <w:kern w:val="21"/>
                      <w:sz w:val="21"/>
                      <w:szCs w:val="21"/>
                      <w:lang w:val="en-US" w:eastAsia="zh-CN"/>
                    </w:rPr>
                    <w:t>废钢铁</w:t>
                  </w:r>
                </w:p>
              </w:tc>
              <w:tc>
                <w:tcPr>
                  <w:tcW w:w="1780" w:type="pct"/>
                  <w:tcBorders>
                    <w:left w:val="single" w:color="auto" w:sz="4" w:space="0"/>
                  </w:tcBorders>
                  <w:vAlign w:val="center"/>
                </w:tcPr>
                <w:p w14:paraId="40C4AF8B">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eastAsia="宋体"/>
                      <w:color w:val="auto"/>
                      <w:kern w:val="0"/>
                      <w:sz w:val="21"/>
                      <w:szCs w:val="21"/>
                      <w:lang w:val="en-US" w:eastAsia="zh-CN"/>
                    </w:rPr>
                    <w:t>5000</w:t>
                  </w:r>
                </w:p>
              </w:tc>
            </w:tr>
            <w:tr w14:paraId="75411E4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9" w:hRule="atLeast"/>
                <w:jc w:val="center"/>
              </w:trPr>
              <w:tc>
                <w:tcPr>
                  <w:tcW w:w="793" w:type="pct"/>
                  <w:vAlign w:val="center"/>
                </w:tcPr>
                <w:p w14:paraId="04C0F6F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color w:val="auto"/>
                      <w:kern w:val="0"/>
                      <w:sz w:val="21"/>
                      <w:szCs w:val="21"/>
                    </w:rPr>
                  </w:pPr>
                  <w:r>
                    <w:rPr>
                      <w:rFonts w:hint="eastAsia"/>
                      <w:color w:val="auto"/>
                      <w:kern w:val="0"/>
                      <w:sz w:val="21"/>
                      <w:szCs w:val="21"/>
                    </w:rPr>
                    <w:t>2</w:t>
                  </w:r>
                </w:p>
              </w:tc>
              <w:tc>
                <w:tcPr>
                  <w:tcW w:w="2426" w:type="pct"/>
                  <w:vAlign w:val="center"/>
                </w:tcPr>
                <w:p w14:paraId="51356C8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lang w:val="en-US" w:eastAsia="zh-CN"/>
                    </w:rPr>
                  </w:pPr>
                  <w:r>
                    <w:rPr>
                      <w:rFonts w:hint="eastAsia" w:eastAsia="宋体"/>
                      <w:color w:val="auto"/>
                      <w:sz w:val="21"/>
                      <w:szCs w:val="21"/>
                      <w:lang w:val="en-US" w:eastAsia="zh-CN"/>
                    </w:rPr>
                    <w:t>废有色金属</w:t>
                  </w:r>
                </w:p>
              </w:tc>
              <w:tc>
                <w:tcPr>
                  <w:tcW w:w="1780" w:type="pct"/>
                  <w:tcBorders>
                    <w:left w:val="single" w:color="auto" w:sz="4" w:space="0"/>
                  </w:tcBorders>
                  <w:vAlign w:val="center"/>
                </w:tcPr>
                <w:p w14:paraId="3A83BEA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eastAsia="宋体"/>
                      <w:color w:val="auto"/>
                      <w:kern w:val="0"/>
                      <w:sz w:val="21"/>
                      <w:szCs w:val="21"/>
                      <w:lang w:val="en-US" w:eastAsia="zh-CN"/>
                    </w:rPr>
                    <w:t>2000</w:t>
                  </w:r>
                </w:p>
              </w:tc>
            </w:tr>
            <w:tr w14:paraId="0693D63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9" w:hRule="atLeast"/>
                <w:jc w:val="center"/>
              </w:trPr>
              <w:tc>
                <w:tcPr>
                  <w:tcW w:w="793" w:type="pct"/>
                  <w:vAlign w:val="center"/>
                </w:tcPr>
                <w:p w14:paraId="612B2E9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color w:val="auto"/>
                      <w:kern w:val="0"/>
                      <w:sz w:val="21"/>
                      <w:szCs w:val="21"/>
                    </w:rPr>
                  </w:pPr>
                  <w:r>
                    <w:rPr>
                      <w:rFonts w:hint="eastAsia"/>
                      <w:color w:val="auto"/>
                      <w:kern w:val="0"/>
                      <w:sz w:val="21"/>
                      <w:szCs w:val="21"/>
                    </w:rPr>
                    <w:t>3</w:t>
                  </w:r>
                </w:p>
              </w:tc>
              <w:tc>
                <w:tcPr>
                  <w:tcW w:w="2426" w:type="pct"/>
                  <w:vAlign w:val="center"/>
                </w:tcPr>
                <w:p w14:paraId="03E12354">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lang w:val="en-US" w:eastAsia="zh-CN"/>
                    </w:rPr>
                  </w:pPr>
                  <w:r>
                    <w:rPr>
                      <w:rFonts w:hint="eastAsia" w:eastAsia="宋体"/>
                      <w:color w:val="auto"/>
                      <w:sz w:val="21"/>
                      <w:szCs w:val="21"/>
                      <w:lang w:val="en-US" w:eastAsia="zh-CN"/>
                    </w:rPr>
                    <w:t>废塑料</w:t>
                  </w:r>
                </w:p>
              </w:tc>
              <w:tc>
                <w:tcPr>
                  <w:tcW w:w="1780" w:type="pct"/>
                  <w:tcBorders>
                    <w:left w:val="single" w:color="auto" w:sz="4" w:space="0"/>
                  </w:tcBorders>
                  <w:vAlign w:val="center"/>
                </w:tcPr>
                <w:p w14:paraId="16034F2F">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eastAsia="宋体"/>
                      <w:color w:val="auto"/>
                      <w:kern w:val="0"/>
                      <w:sz w:val="21"/>
                      <w:szCs w:val="21"/>
                      <w:lang w:val="en-US" w:eastAsia="zh-CN"/>
                    </w:rPr>
                    <w:t>3000</w:t>
                  </w:r>
                </w:p>
              </w:tc>
            </w:tr>
            <w:tr w14:paraId="355F254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9" w:hRule="atLeast"/>
                <w:jc w:val="center"/>
              </w:trPr>
              <w:tc>
                <w:tcPr>
                  <w:tcW w:w="793" w:type="pct"/>
                  <w:vAlign w:val="center"/>
                </w:tcPr>
                <w:p w14:paraId="4FC4F62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color w:val="auto"/>
                      <w:kern w:val="0"/>
                      <w:sz w:val="21"/>
                      <w:szCs w:val="21"/>
                    </w:rPr>
                  </w:pPr>
                  <w:r>
                    <w:rPr>
                      <w:rFonts w:hint="eastAsia"/>
                      <w:color w:val="auto"/>
                      <w:kern w:val="0"/>
                      <w:sz w:val="21"/>
                      <w:szCs w:val="21"/>
                    </w:rPr>
                    <w:t>4</w:t>
                  </w:r>
                </w:p>
              </w:tc>
              <w:tc>
                <w:tcPr>
                  <w:tcW w:w="2426" w:type="pct"/>
                  <w:vAlign w:val="center"/>
                </w:tcPr>
                <w:p w14:paraId="74E9E118">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lang w:val="en-US" w:eastAsia="zh-CN"/>
                    </w:rPr>
                  </w:pPr>
                  <w:r>
                    <w:rPr>
                      <w:rFonts w:hint="eastAsia" w:eastAsia="宋体"/>
                      <w:color w:val="auto"/>
                      <w:sz w:val="21"/>
                      <w:szCs w:val="21"/>
                      <w:lang w:val="en-US" w:eastAsia="zh-CN"/>
                    </w:rPr>
                    <w:t>废玻璃</w:t>
                  </w:r>
                </w:p>
              </w:tc>
              <w:tc>
                <w:tcPr>
                  <w:tcW w:w="1780" w:type="pct"/>
                  <w:tcBorders>
                    <w:left w:val="single" w:color="auto" w:sz="4" w:space="0"/>
                  </w:tcBorders>
                  <w:vAlign w:val="center"/>
                </w:tcPr>
                <w:p w14:paraId="5855784F">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eastAsia="宋体"/>
                      <w:color w:val="auto"/>
                      <w:kern w:val="0"/>
                      <w:sz w:val="21"/>
                      <w:szCs w:val="21"/>
                      <w:lang w:val="en-US" w:eastAsia="zh-CN"/>
                    </w:rPr>
                    <w:t>4000</w:t>
                  </w:r>
                </w:p>
              </w:tc>
            </w:tr>
            <w:tr w14:paraId="35E2D30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9" w:hRule="atLeast"/>
                <w:jc w:val="center"/>
              </w:trPr>
              <w:tc>
                <w:tcPr>
                  <w:tcW w:w="793" w:type="pct"/>
                  <w:vAlign w:val="center"/>
                </w:tcPr>
                <w:p w14:paraId="5CA47C1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eastAsia="宋体"/>
                      <w:color w:val="auto"/>
                      <w:kern w:val="0"/>
                      <w:sz w:val="21"/>
                      <w:szCs w:val="21"/>
                      <w:lang w:val="en-US" w:eastAsia="zh-CN"/>
                    </w:rPr>
                  </w:pPr>
                  <w:r>
                    <w:rPr>
                      <w:rFonts w:hint="eastAsia"/>
                      <w:color w:val="auto"/>
                      <w:kern w:val="0"/>
                      <w:sz w:val="21"/>
                      <w:szCs w:val="21"/>
                      <w:lang w:val="en-US" w:eastAsia="zh-CN"/>
                    </w:rPr>
                    <w:t>5</w:t>
                  </w:r>
                </w:p>
              </w:tc>
              <w:tc>
                <w:tcPr>
                  <w:tcW w:w="2426" w:type="pct"/>
                  <w:vAlign w:val="center"/>
                </w:tcPr>
                <w:p w14:paraId="4328114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eastAsia="宋体"/>
                      <w:color w:val="auto"/>
                      <w:sz w:val="21"/>
                      <w:szCs w:val="21"/>
                      <w:lang w:val="en-US" w:eastAsia="zh-CN"/>
                    </w:rPr>
                  </w:pPr>
                  <w:r>
                    <w:rPr>
                      <w:rFonts w:hint="eastAsia"/>
                      <w:color w:val="auto"/>
                      <w:sz w:val="21"/>
                      <w:szCs w:val="21"/>
                      <w:lang w:val="en-US" w:eastAsia="zh-CN"/>
                    </w:rPr>
                    <w:t>废纸</w:t>
                  </w:r>
                </w:p>
              </w:tc>
              <w:tc>
                <w:tcPr>
                  <w:tcW w:w="1780" w:type="pct"/>
                  <w:tcBorders>
                    <w:left w:val="single" w:color="auto" w:sz="4" w:space="0"/>
                  </w:tcBorders>
                  <w:vAlign w:val="center"/>
                </w:tcPr>
                <w:p w14:paraId="7D35FFD4">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eastAsia="宋体"/>
                      <w:color w:val="auto"/>
                      <w:kern w:val="0"/>
                      <w:sz w:val="21"/>
                      <w:szCs w:val="21"/>
                      <w:lang w:val="en-US" w:eastAsia="zh-CN"/>
                    </w:rPr>
                    <w:t>3000</w:t>
                  </w:r>
                </w:p>
              </w:tc>
            </w:tr>
            <w:tr w14:paraId="1892789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9" w:hRule="atLeast"/>
                <w:jc w:val="center"/>
              </w:trPr>
              <w:tc>
                <w:tcPr>
                  <w:tcW w:w="793" w:type="pct"/>
                  <w:vAlign w:val="center"/>
                </w:tcPr>
                <w:p w14:paraId="2358EB7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eastAsia="宋体"/>
                      <w:color w:val="auto"/>
                      <w:kern w:val="0"/>
                      <w:sz w:val="21"/>
                      <w:szCs w:val="21"/>
                      <w:lang w:val="en-US" w:eastAsia="zh-CN"/>
                    </w:rPr>
                  </w:pPr>
                  <w:r>
                    <w:rPr>
                      <w:rFonts w:hint="eastAsia"/>
                      <w:color w:val="auto"/>
                      <w:kern w:val="0"/>
                      <w:sz w:val="21"/>
                      <w:szCs w:val="21"/>
                      <w:lang w:val="en-US" w:eastAsia="zh-CN"/>
                    </w:rPr>
                    <w:t>6</w:t>
                  </w:r>
                </w:p>
              </w:tc>
              <w:tc>
                <w:tcPr>
                  <w:tcW w:w="2426" w:type="pct"/>
                  <w:vAlign w:val="center"/>
                </w:tcPr>
                <w:p w14:paraId="764B328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eastAsia="宋体"/>
                      <w:color w:val="auto"/>
                      <w:sz w:val="21"/>
                      <w:szCs w:val="21"/>
                      <w:lang w:val="en-US" w:eastAsia="zh-CN"/>
                    </w:rPr>
                  </w:pPr>
                  <w:r>
                    <w:rPr>
                      <w:rFonts w:hint="eastAsia"/>
                      <w:color w:val="auto"/>
                      <w:sz w:val="21"/>
                      <w:szCs w:val="21"/>
                      <w:lang w:val="en-US" w:eastAsia="zh-CN"/>
                    </w:rPr>
                    <w:t>废橡胶</w:t>
                  </w:r>
                </w:p>
              </w:tc>
              <w:tc>
                <w:tcPr>
                  <w:tcW w:w="1780" w:type="pct"/>
                  <w:tcBorders>
                    <w:left w:val="single" w:color="auto" w:sz="4" w:space="0"/>
                  </w:tcBorders>
                  <w:vAlign w:val="center"/>
                </w:tcPr>
                <w:p w14:paraId="658C047F">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eastAsia="宋体"/>
                      <w:color w:val="auto"/>
                      <w:kern w:val="0"/>
                      <w:sz w:val="21"/>
                      <w:szCs w:val="21"/>
                      <w:lang w:val="en-US" w:eastAsia="zh-CN"/>
                    </w:rPr>
                    <w:t>3000</w:t>
                  </w:r>
                </w:p>
              </w:tc>
            </w:tr>
            <w:tr w14:paraId="2EAD760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9" w:hRule="atLeast"/>
                <w:jc w:val="center"/>
              </w:trPr>
              <w:tc>
                <w:tcPr>
                  <w:tcW w:w="793" w:type="pct"/>
                  <w:vAlign w:val="center"/>
                </w:tcPr>
                <w:p w14:paraId="2C1E456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eastAsia="宋体"/>
                      <w:color w:val="auto"/>
                      <w:kern w:val="0"/>
                      <w:sz w:val="21"/>
                      <w:szCs w:val="21"/>
                      <w:lang w:val="en-US" w:eastAsia="zh-CN"/>
                    </w:rPr>
                  </w:pPr>
                  <w:r>
                    <w:rPr>
                      <w:rFonts w:hint="eastAsia"/>
                      <w:color w:val="auto"/>
                      <w:kern w:val="0"/>
                      <w:sz w:val="21"/>
                      <w:szCs w:val="21"/>
                      <w:lang w:val="en-US" w:eastAsia="zh-CN"/>
                    </w:rPr>
                    <w:t>7</w:t>
                  </w:r>
                </w:p>
              </w:tc>
              <w:tc>
                <w:tcPr>
                  <w:tcW w:w="2426" w:type="pct"/>
                  <w:vAlign w:val="center"/>
                </w:tcPr>
                <w:p w14:paraId="263C0164">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lang w:val="en-US" w:eastAsia="zh-CN"/>
                    </w:rPr>
                  </w:pPr>
                  <w:r>
                    <w:rPr>
                      <w:rFonts w:hint="eastAsia"/>
                      <w:color w:val="auto"/>
                      <w:sz w:val="21"/>
                      <w:szCs w:val="21"/>
                      <w:lang w:val="en-US" w:eastAsia="zh-CN"/>
                    </w:rPr>
                    <w:t>废纺织品</w:t>
                  </w:r>
                </w:p>
              </w:tc>
              <w:tc>
                <w:tcPr>
                  <w:tcW w:w="1780" w:type="pct"/>
                  <w:tcBorders>
                    <w:left w:val="single" w:color="auto" w:sz="4" w:space="0"/>
                  </w:tcBorders>
                  <w:vAlign w:val="center"/>
                </w:tcPr>
                <w:p w14:paraId="28F582C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eastAsia="宋体"/>
                      <w:color w:val="auto"/>
                      <w:kern w:val="0"/>
                      <w:sz w:val="21"/>
                      <w:szCs w:val="21"/>
                      <w:lang w:val="en-US" w:eastAsia="zh-CN"/>
                    </w:rPr>
                    <w:t>2000</w:t>
                  </w:r>
                </w:p>
              </w:tc>
            </w:tr>
            <w:tr w14:paraId="2EEE931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9" w:hRule="atLeast"/>
                <w:jc w:val="center"/>
              </w:trPr>
              <w:tc>
                <w:tcPr>
                  <w:tcW w:w="793" w:type="pct"/>
                  <w:vAlign w:val="center"/>
                </w:tcPr>
                <w:p w14:paraId="1352736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eastAsia="宋体"/>
                      <w:color w:val="auto"/>
                      <w:kern w:val="0"/>
                      <w:sz w:val="21"/>
                      <w:szCs w:val="21"/>
                      <w:lang w:val="en-US" w:eastAsia="zh-CN"/>
                    </w:rPr>
                  </w:pPr>
                  <w:r>
                    <w:rPr>
                      <w:rFonts w:hint="eastAsia"/>
                      <w:color w:val="auto"/>
                      <w:kern w:val="0"/>
                      <w:sz w:val="21"/>
                      <w:szCs w:val="21"/>
                      <w:lang w:val="en-US" w:eastAsia="zh-CN"/>
                    </w:rPr>
                    <w:t>8</w:t>
                  </w:r>
                </w:p>
              </w:tc>
              <w:tc>
                <w:tcPr>
                  <w:tcW w:w="2426" w:type="pct"/>
                  <w:vAlign w:val="center"/>
                </w:tcPr>
                <w:p w14:paraId="0CDDC22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eastAsia="宋体"/>
                      <w:color w:val="auto"/>
                      <w:sz w:val="21"/>
                      <w:szCs w:val="21"/>
                      <w:lang w:val="en-US" w:eastAsia="zh-CN"/>
                    </w:rPr>
                  </w:pPr>
                  <w:r>
                    <w:rPr>
                      <w:rFonts w:hint="eastAsia"/>
                      <w:color w:val="auto"/>
                      <w:sz w:val="21"/>
                      <w:szCs w:val="21"/>
                      <w:lang w:val="en-US" w:eastAsia="zh-CN"/>
                    </w:rPr>
                    <w:t>废木材</w:t>
                  </w:r>
                </w:p>
              </w:tc>
              <w:tc>
                <w:tcPr>
                  <w:tcW w:w="1780" w:type="pct"/>
                  <w:tcBorders>
                    <w:left w:val="single" w:color="auto" w:sz="4" w:space="0"/>
                  </w:tcBorders>
                  <w:vAlign w:val="center"/>
                </w:tcPr>
                <w:p w14:paraId="5B64631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eastAsia="宋体"/>
                      <w:color w:val="auto"/>
                      <w:kern w:val="0"/>
                      <w:sz w:val="21"/>
                      <w:szCs w:val="21"/>
                      <w:lang w:val="en-US" w:eastAsia="zh-CN"/>
                    </w:rPr>
                    <w:t>1000</w:t>
                  </w:r>
                </w:p>
              </w:tc>
            </w:tr>
            <w:tr w14:paraId="4F67888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9" w:hRule="atLeast"/>
                <w:jc w:val="center"/>
              </w:trPr>
              <w:tc>
                <w:tcPr>
                  <w:tcW w:w="793" w:type="pct"/>
                  <w:vAlign w:val="center"/>
                </w:tcPr>
                <w:p w14:paraId="202946D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color w:val="auto"/>
                      <w:kern w:val="0"/>
                      <w:sz w:val="21"/>
                      <w:szCs w:val="21"/>
                      <w:lang w:val="en-US" w:eastAsia="zh-CN"/>
                    </w:rPr>
                    <w:t>9</w:t>
                  </w:r>
                </w:p>
              </w:tc>
              <w:tc>
                <w:tcPr>
                  <w:tcW w:w="2426" w:type="pct"/>
                  <w:vAlign w:val="center"/>
                </w:tcPr>
                <w:p w14:paraId="567304EA">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lang w:val="en-US" w:eastAsia="zh-CN"/>
                    </w:rPr>
                  </w:pPr>
                  <w:r>
                    <w:rPr>
                      <w:rFonts w:hint="eastAsia"/>
                      <w:color w:val="auto"/>
                      <w:sz w:val="21"/>
                      <w:szCs w:val="21"/>
                      <w:lang w:val="en-US" w:eastAsia="zh-CN"/>
                    </w:rPr>
                    <w:t>其他固体废物</w:t>
                  </w:r>
                </w:p>
              </w:tc>
              <w:tc>
                <w:tcPr>
                  <w:tcW w:w="1780" w:type="pct"/>
                  <w:tcBorders>
                    <w:left w:val="single" w:color="auto" w:sz="4" w:space="0"/>
                  </w:tcBorders>
                  <w:vAlign w:val="center"/>
                </w:tcPr>
                <w:p w14:paraId="140CD2BD">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eastAsia="宋体"/>
                      <w:color w:val="auto"/>
                      <w:kern w:val="0"/>
                      <w:sz w:val="21"/>
                      <w:szCs w:val="21"/>
                      <w:lang w:val="en-US" w:eastAsia="zh-CN"/>
                    </w:rPr>
                    <w:t>5</w:t>
                  </w:r>
                  <w:r>
                    <w:rPr>
                      <w:rFonts w:hint="eastAsia"/>
                      <w:color w:val="auto"/>
                      <w:kern w:val="0"/>
                      <w:sz w:val="21"/>
                      <w:szCs w:val="21"/>
                      <w:lang w:val="en-US" w:eastAsia="zh-CN"/>
                    </w:rPr>
                    <w:t>70</w:t>
                  </w:r>
                  <w:r>
                    <w:rPr>
                      <w:rFonts w:hint="eastAsia" w:eastAsia="宋体"/>
                      <w:color w:val="auto"/>
                      <w:kern w:val="0"/>
                      <w:sz w:val="21"/>
                      <w:szCs w:val="21"/>
                      <w:lang w:val="en-US" w:eastAsia="zh-CN"/>
                    </w:rPr>
                    <w:t>00</w:t>
                  </w:r>
                </w:p>
              </w:tc>
            </w:tr>
            <w:tr w14:paraId="3DCCB7C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9" w:hRule="atLeast"/>
                <w:jc w:val="center"/>
              </w:trPr>
              <w:tc>
                <w:tcPr>
                  <w:tcW w:w="3219" w:type="pct"/>
                  <w:gridSpan w:val="2"/>
                  <w:vAlign w:val="center"/>
                </w:tcPr>
                <w:p w14:paraId="514A50D2">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lang w:val="en-US" w:eastAsia="zh-CN"/>
                    </w:rPr>
                  </w:pPr>
                  <w:r>
                    <w:rPr>
                      <w:rFonts w:hint="eastAsia" w:eastAsia="宋体"/>
                      <w:color w:val="auto"/>
                      <w:sz w:val="21"/>
                      <w:szCs w:val="21"/>
                      <w:lang w:val="en-US" w:eastAsia="zh-CN"/>
                    </w:rPr>
                    <w:t>收集分拣一般固体废物</w:t>
                  </w:r>
                </w:p>
              </w:tc>
              <w:tc>
                <w:tcPr>
                  <w:tcW w:w="1780" w:type="pct"/>
                  <w:tcBorders>
                    <w:left w:val="single" w:color="auto" w:sz="4" w:space="0"/>
                  </w:tcBorders>
                  <w:vAlign w:val="center"/>
                </w:tcPr>
                <w:p w14:paraId="0BF206FF">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eastAsia="宋体"/>
                      <w:color w:val="auto"/>
                      <w:kern w:val="0"/>
                      <w:sz w:val="21"/>
                      <w:szCs w:val="21"/>
                      <w:lang w:val="en-US" w:eastAsia="zh-CN"/>
                    </w:rPr>
                    <w:t>80000</w:t>
                  </w:r>
                </w:p>
              </w:tc>
            </w:tr>
          </w:tbl>
          <w:p w14:paraId="1C8515D1">
            <w:pPr>
              <w:pStyle w:val="4"/>
              <w:ind w:left="0" w:leftChars="0" w:firstLine="0" w:firstLineChars="0"/>
              <w:jc w:val="center"/>
              <w:rPr>
                <w:rFonts w:hint="default"/>
                <w:color w:val="auto"/>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rPr>
              <w:fldChar w:fldCharType="begin"/>
            </w:r>
            <w:r>
              <w:rPr>
                <w:rFonts w:hint="default" w:ascii="Times New Roman" w:hAnsi="Times New Roman" w:cs="Times New Roman"/>
                <w:b/>
                <w:bCs/>
                <w:color w:val="auto"/>
                <w:sz w:val="21"/>
                <w:szCs w:val="21"/>
                <w:highlight w:val="none"/>
              </w:rPr>
              <w:instrText xml:space="preserve"> STYLEREF 1 \s </w:instrText>
            </w:r>
            <w:r>
              <w:rPr>
                <w:rFonts w:hint="default" w:ascii="Times New Roman" w:hAnsi="Times New Roman" w:cs="Times New Roman"/>
                <w:b/>
                <w:bCs/>
                <w:color w:val="auto"/>
                <w:sz w:val="21"/>
                <w:szCs w:val="21"/>
                <w:highlight w:val="none"/>
              </w:rPr>
              <w:fldChar w:fldCharType="separate"/>
            </w:r>
            <w:r>
              <w:rPr>
                <w:rFonts w:hint="default" w:ascii="Times New Roman" w:hAnsi="Times New Roman" w:cs="Times New Roman"/>
                <w:b/>
                <w:bCs/>
                <w:color w:val="auto"/>
                <w:sz w:val="21"/>
                <w:szCs w:val="21"/>
                <w:highlight w:val="none"/>
              </w:rPr>
              <w:t>2</w:t>
            </w:r>
            <w:r>
              <w:rPr>
                <w:rFonts w:hint="default" w:ascii="Times New Roman" w:hAnsi="Times New Roman" w:cs="Times New Roman"/>
                <w:b/>
                <w:bCs/>
                <w:color w:val="auto"/>
                <w:sz w:val="21"/>
                <w:szCs w:val="21"/>
                <w:highlight w:val="none"/>
              </w:rPr>
              <w:fldChar w:fldCharType="end"/>
            </w:r>
            <w:r>
              <w:rPr>
                <w:rFonts w:hint="default" w:ascii="Times New Roman" w:hAnsi="Times New Roman" w:cs="Times New Roman"/>
                <w:b/>
                <w:bCs/>
                <w:color w:val="auto"/>
                <w:sz w:val="21"/>
                <w:szCs w:val="21"/>
                <w:highlight w:val="none"/>
              </w:rPr>
              <w:t>-</w:t>
            </w:r>
            <w:r>
              <w:rPr>
                <w:rFonts w:hint="eastAsia" w:ascii="Times New Roman" w:hAnsi="Times New Roman" w:cs="Times New Roman"/>
                <w:b/>
                <w:bCs/>
                <w:color w:val="auto"/>
                <w:sz w:val="21"/>
                <w:szCs w:val="21"/>
                <w:highlight w:val="none"/>
                <w:lang w:val="en-US" w:eastAsia="zh-CN"/>
              </w:rPr>
              <w:t>3</w:t>
            </w:r>
            <w:r>
              <w:rPr>
                <w:rFonts w:hint="eastAsia" w:ascii="Times New Roman" w:cs="Times New Roman"/>
                <w:b/>
                <w:color w:val="auto"/>
                <w:sz w:val="21"/>
                <w:szCs w:val="21"/>
                <w:highlight w:val="none"/>
                <w:lang w:val="en-US" w:eastAsia="zh-CN"/>
              </w:rPr>
              <w:t>原料来源</w:t>
            </w:r>
            <w:r>
              <w:rPr>
                <w:rFonts w:hint="default" w:ascii="Times New Roman" w:hAnsi="Times New Roman" w:cs="Times New Roman"/>
                <w:b/>
                <w:color w:val="auto"/>
                <w:sz w:val="21"/>
                <w:szCs w:val="21"/>
                <w:highlight w:val="none"/>
              </w:rPr>
              <w:t>一览表</w:t>
            </w:r>
          </w:p>
          <w:tbl>
            <w:tblPr>
              <w:tblStyle w:val="4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1311"/>
              <w:gridCol w:w="718"/>
              <w:gridCol w:w="466"/>
              <w:gridCol w:w="825"/>
              <w:gridCol w:w="4063"/>
            </w:tblGrid>
            <w:tr w14:paraId="27472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 w:type="pct"/>
                  <w:vAlign w:val="center"/>
                </w:tcPr>
                <w:p w14:paraId="53885D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序号</w:t>
                  </w:r>
                </w:p>
              </w:tc>
              <w:tc>
                <w:tcPr>
                  <w:tcW w:w="835" w:type="pct"/>
                  <w:vAlign w:val="center"/>
                </w:tcPr>
                <w:p w14:paraId="610B24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废物代码</w:t>
                  </w:r>
                </w:p>
              </w:tc>
              <w:tc>
                <w:tcPr>
                  <w:tcW w:w="457" w:type="pct"/>
                  <w:vAlign w:val="center"/>
                </w:tcPr>
                <w:p w14:paraId="0D3AA9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废物名称</w:t>
                  </w:r>
                </w:p>
              </w:tc>
              <w:tc>
                <w:tcPr>
                  <w:tcW w:w="297" w:type="pct"/>
                  <w:vAlign w:val="center"/>
                </w:tcPr>
                <w:p w14:paraId="2B2C74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形态</w:t>
                  </w:r>
                </w:p>
              </w:tc>
              <w:tc>
                <w:tcPr>
                  <w:tcW w:w="525" w:type="pct"/>
                  <w:vAlign w:val="center"/>
                </w:tcPr>
                <w:p w14:paraId="2F7545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接收量 t/a</w:t>
                  </w:r>
                </w:p>
              </w:tc>
              <w:tc>
                <w:tcPr>
                  <w:tcW w:w="2587" w:type="pct"/>
                  <w:vAlign w:val="center"/>
                </w:tcPr>
                <w:p w14:paraId="6BD43E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备注</w:t>
                  </w:r>
                </w:p>
              </w:tc>
            </w:tr>
            <w:tr w14:paraId="3EFDF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 w:type="pct"/>
                  <w:vAlign w:val="center"/>
                </w:tcPr>
                <w:p w14:paraId="5885BE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1</w:t>
                  </w:r>
                </w:p>
              </w:tc>
              <w:tc>
                <w:tcPr>
                  <w:tcW w:w="835" w:type="pct"/>
                  <w:vAlign w:val="center"/>
                </w:tcPr>
                <w:p w14:paraId="39CEDB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900-001-S17</w:t>
                  </w:r>
                </w:p>
              </w:tc>
              <w:tc>
                <w:tcPr>
                  <w:tcW w:w="457" w:type="pct"/>
                  <w:vAlign w:val="center"/>
                </w:tcPr>
                <w:p w14:paraId="4069DC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eastAsia="宋体"/>
                      <w:color w:val="auto"/>
                      <w:kern w:val="21"/>
                      <w:sz w:val="21"/>
                      <w:szCs w:val="21"/>
                      <w:lang w:val="en-US" w:eastAsia="zh-CN"/>
                    </w:rPr>
                    <w:t>废钢铁</w:t>
                  </w:r>
                </w:p>
              </w:tc>
              <w:tc>
                <w:tcPr>
                  <w:tcW w:w="297" w:type="pct"/>
                  <w:vAlign w:val="center"/>
                </w:tcPr>
                <w:p w14:paraId="6EF856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固态</w:t>
                  </w:r>
                </w:p>
              </w:tc>
              <w:tc>
                <w:tcPr>
                  <w:tcW w:w="525" w:type="pct"/>
                  <w:vAlign w:val="center"/>
                </w:tcPr>
                <w:p w14:paraId="17C6B6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eastAsia="宋体"/>
                      <w:color w:val="auto"/>
                      <w:kern w:val="0"/>
                      <w:sz w:val="21"/>
                      <w:szCs w:val="21"/>
                      <w:lang w:val="en-US" w:eastAsia="zh-CN"/>
                    </w:rPr>
                    <w:t>5000</w:t>
                  </w:r>
                </w:p>
              </w:tc>
              <w:tc>
                <w:tcPr>
                  <w:tcW w:w="2587" w:type="pct"/>
                  <w:vAlign w:val="center"/>
                </w:tcPr>
                <w:p w14:paraId="3C4B0E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default"/>
                      <w:color w:val="auto"/>
                      <w:sz w:val="21"/>
                      <w:szCs w:val="21"/>
                      <w:vertAlign w:val="baseline"/>
                    </w:rPr>
                    <w:t>工业生产活动中产生的以钢铁为主要成分的边角料、残次品，以及报废机动车、报废机械设备拆解产生的以钢铁为主要成分的零部件等。</w:t>
                  </w:r>
                </w:p>
              </w:tc>
            </w:tr>
            <w:tr w14:paraId="4D34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 w:type="pct"/>
                  <w:vAlign w:val="center"/>
                </w:tcPr>
                <w:p w14:paraId="573C03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2</w:t>
                  </w:r>
                </w:p>
              </w:tc>
              <w:tc>
                <w:tcPr>
                  <w:tcW w:w="835" w:type="pct"/>
                  <w:vAlign w:val="center"/>
                </w:tcPr>
                <w:p w14:paraId="71453E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color w:val="auto"/>
                      <w:sz w:val="21"/>
                      <w:szCs w:val="21"/>
                      <w:vertAlign w:val="baseline"/>
                      <w:lang w:val="en-US" w:eastAsia="zh-CN"/>
                    </w:rPr>
                    <w:t>900-002-S17</w:t>
                  </w:r>
                </w:p>
              </w:tc>
              <w:tc>
                <w:tcPr>
                  <w:tcW w:w="457" w:type="pct"/>
                  <w:vAlign w:val="center"/>
                </w:tcPr>
                <w:p w14:paraId="754D9C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eastAsia="宋体"/>
                      <w:color w:val="auto"/>
                      <w:sz w:val="21"/>
                      <w:szCs w:val="21"/>
                      <w:lang w:val="en-US" w:eastAsia="zh-CN"/>
                    </w:rPr>
                    <w:t>废有色金属</w:t>
                  </w:r>
                </w:p>
              </w:tc>
              <w:tc>
                <w:tcPr>
                  <w:tcW w:w="297" w:type="pct"/>
                  <w:vAlign w:val="center"/>
                </w:tcPr>
                <w:p w14:paraId="7EB670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color w:val="auto"/>
                      <w:sz w:val="21"/>
                      <w:szCs w:val="21"/>
                      <w:vertAlign w:val="baseline"/>
                      <w:lang w:val="en-US" w:eastAsia="zh-CN"/>
                    </w:rPr>
                    <w:t>固态</w:t>
                  </w:r>
                </w:p>
              </w:tc>
              <w:tc>
                <w:tcPr>
                  <w:tcW w:w="525" w:type="pct"/>
                  <w:vAlign w:val="center"/>
                </w:tcPr>
                <w:p w14:paraId="5FE8CB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eastAsia="宋体"/>
                      <w:color w:val="auto"/>
                      <w:kern w:val="0"/>
                      <w:sz w:val="21"/>
                      <w:szCs w:val="21"/>
                      <w:lang w:val="en-US" w:eastAsia="zh-CN"/>
                    </w:rPr>
                    <w:t>2000</w:t>
                  </w:r>
                </w:p>
              </w:tc>
              <w:tc>
                <w:tcPr>
                  <w:tcW w:w="2587" w:type="pct"/>
                  <w:vAlign w:val="center"/>
                </w:tcPr>
                <w:p w14:paraId="5B9BE0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default"/>
                      <w:color w:val="auto"/>
                      <w:sz w:val="21"/>
                      <w:szCs w:val="21"/>
                      <w:vertAlign w:val="baseline"/>
                    </w:rPr>
                    <w:t>工业生产活动中产生的以有色金属(铜、铅、锌、</w:t>
                  </w:r>
                  <w:r>
                    <w:rPr>
                      <w:rFonts w:hint="eastAsia"/>
                      <w:color w:val="auto"/>
                      <w:sz w:val="21"/>
                      <w:szCs w:val="21"/>
                      <w:vertAlign w:val="baseline"/>
                      <w:lang w:val="en-US" w:eastAsia="zh-CN"/>
                    </w:rPr>
                    <w:t>镍</w:t>
                  </w:r>
                  <w:r>
                    <w:rPr>
                      <w:rFonts w:hint="default"/>
                      <w:color w:val="auto"/>
                      <w:sz w:val="21"/>
                      <w:szCs w:val="21"/>
                      <w:vertAlign w:val="baseline"/>
                    </w:rPr>
                    <w:t>、</w:t>
                  </w:r>
                  <w:r>
                    <w:rPr>
                      <w:rFonts w:hint="eastAsia"/>
                      <w:color w:val="auto"/>
                      <w:sz w:val="21"/>
                      <w:szCs w:val="21"/>
                      <w:vertAlign w:val="baseline"/>
                      <w:lang w:val="en-US" w:eastAsia="zh-CN"/>
                    </w:rPr>
                    <w:t>钴</w:t>
                  </w:r>
                  <w:r>
                    <w:rPr>
                      <w:rFonts w:hint="default"/>
                      <w:color w:val="auto"/>
                      <w:sz w:val="21"/>
                      <w:szCs w:val="21"/>
                      <w:vertAlign w:val="baseline"/>
                    </w:rPr>
                    <w:t>、锡、锑、铝、镁等)为主要成分的边角料、残次品，以及报废机动车和报废机械设备拆解产生的以有色金属为主要成分的零部件等。</w:t>
                  </w:r>
                </w:p>
              </w:tc>
            </w:tr>
            <w:tr w14:paraId="0A89F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 w:type="pct"/>
                  <w:vAlign w:val="center"/>
                </w:tcPr>
                <w:p w14:paraId="00D5E6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3</w:t>
                  </w:r>
                </w:p>
              </w:tc>
              <w:tc>
                <w:tcPr>
                  <w:tcW w:w="835" w:type="pct"/>
                  <w:vAlign w:val="center"/>
                </w:tcPr>
                <w:p w14:paraId="335B3A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color w:val="auto"/>
                      <w:sz w:val="21"/>
                      <w:szCs w:val="21"/>
                      <w:vertAlign w:val="baseline"/>
                      <w:lang w:val="en-US" w:eastAsia="zh-CN"/>
                    </w:rPr>
                    <w:t>900-003-S17</w:t>
                  </w:r>
                </w:p>
              </w:tc>
              <w:tc>
                <w:tcPr>
                  <w:tcW w:w="457" w:type="pct"/>
                  <w:vAlign w:val="center"/>
                </w:tcPr>
                <w:p w14:paraId="1C8C0C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eastAsia="宋体"/>
                      <w:color w:val="auto"/>
                      <w:sz w:val="21"/>
                      <w:szCs w:val="21"/>
                      <w:lang w:val="en-US" w:eastAsia="zh-CN"/>
                    </w:rPr>
                    <w:t>废塑料</w:t>
                  </w:r>
                </w:p>
              </w:tc>
              <w:tc>
                <w:tcPr>
                  <w:tcW w:w="297" w:type="pct"/>
                  <w:vAlign w:val="center"/>
                </w:tcPr>
                <w:p w14:paraId="1F7A32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color w:val="auto"/>
                      <w:sz w:val="21"/>
                      <w:szCs w:val="21"/>
                      <w:vertAlign w:val="baseline"/>
                      <w:lang w:val="en-US" w:eastAsia="zh-CN"/>
                    </w:rPr>
                    <w:t>固态</w:t>
                  </w:r>
                </w:p>
              </w:tc>
              <w:tc>
                <w:tcPr>
                  <w:tcW w:w="525" w:type="pct"/>
                  <w:vAlign w:val="center"/>
                </w:tcPr>
                <w:p w14:paraId="522009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eastAsia="宋体"/>
                      <w:color w:val="auto"/>
                      <w:kern w:val="0"/>
                      <w:sz w:val="21"/>
                      <w:szCs w:val="21"/>
                      <w:lang w:val="en-US" w:eastAsia="zh-CN"/>
                    </w:rPr>
                    <w:t>3000</w:t>
                  </w:r>
                </w:p>
              </w:tc>
              <w:tc>
                <w:tcPr>
                  <w:tcW w:w="2587" w:type="pct"/>
                  <w:vAlign w:val="center"/>
                </w:tcPr>
                <w:p w14:paraId="49F7DB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default"/>
                      <w:color w:val="auto"/>
                      <w:sz w:val="21"/>
                      <w:szCs w:val="21"/>
                      <w:vertAlign w:val="baseline"/>
                    </w:rPr>
                    <w:t>工业生产活动中产生的塑料废弃边角料、废弃塑料包装等废物。</w:t>
                  </w:r>
                </w:p>
              </w:tc>
            </w:tr>
            <w:tr w14:paraId="78C9A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 w:type="pct"/>
                  <w:vAlign w:val="center"/>
                </w:tcPr>
                <w:p w14:paraId="07E310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4</w:t>
                  </w:r>
                </w:p>
              </w:tc>
              <w:tc>
                <w:tcPr>
                  <w:tcW w:w="835" w:type="pct"/>
                  <w:vAlign w:val="center"/>
                </w:tcPr>
                <w:p w14:paraId="5CB7E9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color w:val="auto"/>
                      <w:sz w:val="21"/>
                      <w:szCs w:val="21"/>
                      <w:vertAlign w:val="baseline"/>
                      <w:lang w:val="en-US" w:eastAsia="zh-CN"/>
                    </w:rPr>
                    <w:t>900-004-S17</w:t>
                  </w:r>
                </w:p>
              </w:tc>
              <w:tc>
                <w:tcPr>
                  <w:tcW w:w="457" w:type="pct"/>
                  <w:vAlign w:val="center"/>
                </w:tcPr>
                <w:p w14:paraId="27483B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eastAsia="宋体"/>
                      <w:color w:val="auto"/>
                      <w:sz w:val="21"/>
                      <w:szCs w:val="21"/>
                      <w:lang w:val="en-US" w:eastAsia="zh-CN"/>
                    </w:rPr>
                    <w:t>废玻璃</w:t>
                  </w:r>
                </w:p>
              </w:tc>
              <w:tc>
                <w:tcPr>
                  <w:tcW w:w="297" w:type="pct"/>
                  <w:vAlign w:val="center"/>
                </w:tcPr>
                <w:p w14:paraId="20D9B5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color w:val="auto"/>
                      <w:sz w:val="21"/>
                      <w:szCs w:val="21"/>
                      <w:vertAlign w:val="baseline"/>
                      <w:lang w:val="en-US" w:eastAsia="zh-CN"/>
                    </w:rPr>
                    <w:t>固态</w:t>
                  </w:r>
                </w:p>
              </w:tc>
              <w:tc>
                <w:tcPr>
                  <w:tcW w:w="525" w:type="pct"/>
                  <w:vAlign w:val="center"/>
                </w:tcPr>
                <w:p w14:paraId="0A875B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eastAsia="宋体"/>
                      <w:color w:val="auto"/>
                      <w:kern w:val="0"/>
                      <w:sz w:val="21"/>
                      <w:szCs w:val="21"/>
                      <w:lang w:val="en-US" w:eastAsia="zh-CN"/>
                    </w:rPr>
                    <w:t>4000</w:t>
                  </w:r>
                </w:p>
              </w:tc>
              <w:tc>
                <w:tcPr>
                  <w:tcW w:w="2587" w:type="pct"/>
                  <w:vAlign w:val="center"/>
                </w:tcPr>
                <w:p w14:paraId="7B7356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default"/>
                      <w:color w:val="auto"/>
                      <w:sz w:val="21"/>
                      <w:szCs w:val="21"/>
                      <w:vertAlign w:val="baseline"/>
                    </w:rPr>
                    <w:t>工业生产活动中产生的废玻璃边角料、残次品等废物。</w:t>
                  </w:r>
                </w:p>
              </w:tc>
            </w:tr>
            <w:tr w14:paraId="00566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 w:type="pct"/>
                  <w:vAlign w:val="center"/>
                </w:tcPr>
                <w:p w14:paraId="5E19C8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5</w:t>
                  </w:r>
                </w:p>
              </w:tc>
              <w:tc>
                <w:tcPr>
                  <w:tcW w:w="835" w:type="pct"/>
                  <w:vAlign w:val="center"/>
                </w:tcPr>
                <w:p w14:paraId="198CFB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color w:val="auto"/>
                      <w:sz w:val="21"/>
                      <w:szCs w:val="21"/>
                      <w:vertAlign w:val="baseline"/>
                      <w:lang w:val="en-US" w:eastAsia="zh-CN"/>
                    </w:rPr>
                    <w:t>900-005-S17</w:t>
                  </w:r>
                </w:p>
              </w:tc>
              <w:tc>
                <w:tcPr>
                  <w:tcW w:w="457" w:type="pct"/>
                  <w:vAlign w:val="center"/>
                </w:tcPr>
                <w:p w14:paraId="27C5C7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color w:val="auto"/>
                      <w:sz w:val="21"/>
                      <w:szCs w:val="21"/>
                      <w:lang w:val="en-US" w:eastAsia="zh-CN"/>
                    </w:rPr>
                    <w:t>废纸</w:t>
                  </w:r>
                </w:p>
              </w:tc>
              <w:tc>
                <w:tcPr>
                  <w:tcW w:w="297" w:type="pct"/>
                  <w:vAlign w:val="center"/>
                </w:tcPr>
                <w:p w14:paraId="4C25DD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color w:val="auto"/>
                      <w:sz w:val="21"/>
                      <w:szCs w:val="21"/>
                      <w:vertAlign w:val="baseline"/>
                      <w:lang w:val="en-US" w:eastAsia="zh-CN"/>
                    </w:rPr>
                    <w:t>固态</w:t>
                  </w:r>
                </w:p>
              </w:tc>
              <w:tc>
                <w:tcPr>
                  <w:tcW w:w="525" w:type="pct"/>
                  <w:vAlign w:val="center"/>
                </w:tcPr>
                <w:p w14:paraId="288E0C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eastAsia="宋体"/>
                      <w:color w:val="auto"/>
                      <w:kern w:val="0"/>
                      <w:sz w:val="21"/>
                      <w:szCs w:val="21"/>
                      <w:lang w:val="en-US" w:eastAsia="zh-CN"/>
                    </w:rPr>
                    <w:t>3000</w:t>
                  </w:r>
                </w:p>
              </w:tc>
              <w:tc>
                <w:tcPr>
                  <w:tcW w:w="2587" w:type="pct"/>
                  <w:vAlign w:val="center"/>
                </w:tcPr>
                <w:p w14:paraId="1CF299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default"/>
                      <w:color w:val="auto"/>
                      <w:sz w:val="21"/>
                      <w:szCs w:val="21"/>
                      <w:vertAlign w:val="baseline"/>
                    </w:rPr>
                    <w:t>工业生产活动中产生的废纸、废纸质包装、废边角料、残次品等废物。</w:t>
                  </w:r>
                </w:p>
              </w:tc>
            </w:tr>
            <w:tr w14:paraId="679A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 w:type="pct"/>
                  <w:vAlign w:val="center"/>
                </w:tcPr>
                <w:p w14:paraId="60C306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6</w:t>
                  </w:r>
                </w:p>
              </w:tc>
              <w:tc>
                <w:tcPr>
                  <w:tcW w:w="835" w:type="pct"/>
                  <w:vAlign w:val="center"/>
                </w:tcPr>
                <w:p w14:paraId="0DB1D0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color w:val="auto"/>
                      <w:sz w:val="21"/>
                      <w:szCs w:val="21"/>
                      <w:vertAlign w:val="baseline"/>
                      <w:lang w:val="en-US" w:eastAsia="zh-CN"/>
                    </w:rPr>
                    <w:t>900-006-S17</w:t>
                  </w:r>
                </w:p>
              </w:tc>
              <w:tc>
                <w:tcPr>
                  <w:tcW w:w="457" w:type="pct"/>
                  <w:vAlign w:val="center"/>
                </w:tcPr>
                <w:p w14:paraId="1BF800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color w:val="auto"/>
                      <w:sz w:val="21"/>
                      <w:szCs w:val="21"/>
                      <w:lang w:val="en-US" w:eastAsia="zh-CN"/>
                    </w:rPr>
                    <w:t>废橡胶</w:t>
                  </w:r>
                </w:p>
              </w:tc>
              <w:tc>
                <w:tcPr>
                  <w:tcW w:w="297" w:type="pct"/>
                  <w:vAlign w:val="center"/>
                </w:tcPr>
                <w:p w14:paraId="57213E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color w:val="auto"/>
                      <w:sz w:val="21"/>
                      <w:szCs w:val="21"/>
                      <w:vertAlign w:val="baseline"/>
                      <w:lang w:val="en-US" w:eastAsia="zh-CN"/>
                    </w:rPr>
                    <w:t>固态</w:t>
                  </w:r>
                </w:p>
              </w:tc>
              <w:tc>
                <w:tcPr>
                  <w:tcW w:w="525" w:type="pct"/>
                  <w:vAlign w:val="center"/>
                </w:tcPr>
                <w:p w14:paraId="275C60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eastAsia="宋体"/>
                      <w:color w:val="auto"/>
                      <w:kern w:val="0"/>
                      <w:sz w:val="21"/>
                      <w:szCs w:val="21"/>
                      <w:lang w:val="en-US" w:eastAsia="zh-CN"/>
                    </w:rPr>
                    <w:t>3000</w:t>
                  </w:r>
                </w:p>
              </w:tc>
              <w:tc>
                <w:tcPr>
                  <w:tcW w:w="2587" w:type="pct"/>
                  <w:vAlign w:val="center"/>
                </w:tcPr>
                <w:p w14:paraId="528AAF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default"/>
                      <w:color w:val="auto"/>
                      <w:sz w:val="21"/>
                      <w:szCs w:val="21"/>
                      <w:vertAlign w:val="baseline"/>
                    </w:rPr>
                    <w:t>工业生产活动中产生的包括废轮胎在内的废橡胶制品以及机动车拆解过程中产生的废轮胎和其他废橡胶制品。</w:t>
                  </w:r>
                </w:p>
              </w:tc>
            </w:tr>
            <w:tr w14:paraId="5B2D8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 w:type="pct"/>
                  <w:vAlign w:val="center"/>
                </w:tcPr>
                <w:p w14:paraId="251488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7</w:t>
                  </w:r>
                </w:p>
              </w:tc>
              <w:tc>
                <w:tcPr>
                  <w:tcW w:w="835" w:type="pct"/>
                  <w:vAlign w:val="center"/>
                </w:tcPr>
                <w:p w14:paraId="0C30C7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color w:val="auto"/>
                      <w:sz w:val="21"/>
                      <w:szCs w:val="21"/>
                      <w:vertAlign w:val="baseline"/>
                      <w:lang w:val="en-US" w:eastAsia="zh-CN"/>
                    </w:rPr>
                    <w:t>900-007-S17</w:t>
                  </w:r>
                </w:p>
              </w:tc>
              <w:tc>
                <w:tcPr>
                  <w:tcW w:w="457" w:type="pct"/>
                  <w:vAlign w:val="center"/>
                </w:tcPr>
                <w:p w14:paraId="40E6E4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color w:val="auto"/>
                      <w:sz w:val="21"/>
                      <w:szCs w:val="21"/>
                      <w:lang w:val="en-US" w:eastAsia="zh-CN"/>
                    </w:rPr>
                    <w:t>废纺织品</w:t>
                  </w:r>
                </w:p>
              </w:tc>
              <w:tc>
                <w:tcPr>
                  <w:tcW w:w="297" w:type="pct"/>
                  <w:vAlign w:val="center"/>
                </w:tcPr>
                <w:p w14:paraId="43CB91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color w:val="auto"/>
                      <w:sz w:val="21"/>
                      <w:szCs w:val="21"/>
                      <w:vertAlign w:val="baseline"/>
                      <w:lang w:val="en-US" w:eastAsia="zh-CN"/>
                    </w:rPr>
                    <w:t>固态</w:t>
                  </w:r>
                </w:p>
              </w:tc>
              <w:tc>
                <w:tcPr>
                  <w:tcW w:w="525" w:type="pct"/>
                  <w:vAlign w:val="center"/>
                </w:tcPr>
                <w:p w14:paraId="26647A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eastAsia="宋体"/>
                      <w:color w:val="auto"/>
                      <w:kern w:val="0"/>
                      <w:sz w:val="21"/>
                      <w:szCs w:val="21"/>
                      <w:lang w:val="en-US" w:eastAsia="zh-CN"/>
                    </w:rPr>
                    <w:t>2000</w:t>
                  </w:r>
                </w:p>
              </w:tc>
              <w:tc>
                <w:tcPr>
                  <w:tcW w:w="2587" w:type="pct"/>
                  <w:vAlign w:val="center"/>
                </w:tcPr>
                <w:p w14:paraId="001EC1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default"/>
                      <w:color w:val="auto"/>
                      <w:sz w:val="21"/>
                      <w:szCs w:val="21"/>
                      <w:vertAlign w:val="baseline"/>
                    </w:rPr>
                    <w:t>工业生产活动中产生的废纺织品边角料、残次品等废物。</w:t>
                  </w:r>
                </w:p>
              </w:tc>
            </w:tr>
            <w:tr w14:paraId="00624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 w:type="pct"/>
                  <w:vAlign w:val="center"/>
                </w:tcPr>
                <w:p w14:paraId="0DC4C0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8</w:t>
                  </w:r>
                </w:p>
              </w:tc>
              <w:tc>
                <w:tcPr>
                  <w:tcW w:w="835" w:type="pct"/>
                  <w:vAlign w:val="center"/>
                </w:tcPr>
                <w:p w14:paraId="2C509F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color w:val="auto"/>
                      <w:sz w:val="21"/>
                      <w:szCs w:val="21"/>
                      <w:vertAlign w:val="baseline"/>
                      <w:lang w:val="en-US" w:eastAsia="zh-CN"/>
                    </w:rPr>
                    <w:t>900-009-S17</w:t>
                  </w:r>
                </w:p>
              </w:tc>
              <w:tc>
                <w:tcPr>
                  <w:tcW w:w="457" w:type="pct"/>
                  <w:vAlign w:val="center"/>
                </w:tcPr>
                <w:p w14:paraId="1AE5F0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 w:val="21"/>
                      <w:szCs w:val="21"/>
                      <w:lang w:val="en-US" w:eastAsia="zh-CN"/>
                    </w:rPr>
                  </w:pPr>
                  <w:r>
                    <w:rPr>
                      <w:rFonts w:hint="eastAsia"/>
                      <w:color w:val="auto"/>
                      <w:sz w:val="21"/>
                      <w:szCs w:val="21"/>
                      <w:lang w:val="en-US" w:eastAsia="zh-CN"/>
                    </w:rPr>
                    <w:t>废木材</w:t>
                  </w:r>
                </w:p>
              </w:tc>
              <w:tc>
                <w:tcPr>
                  <w:tcW w:w="297" w:type="pct"/>
                  <w:vAlign w:val="center"/>
                </w:tcPr>
                <w:p w14:paraId="62BE25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color w:val="auto"/>
                      <w:sz w:val="21"/>
                      <w:szCs w:val="21"/>
                      <w:vertAlign w:val="baseline"/>
                      <w:lang w:val="en-US" w:eastAsia="zh-CN"/>
                    </w:rPr>
                    <w:t>固态</w:t>
                  </w:r>
                </w:p>
              </w:tc>
              <w:tc>
                <w:tcPr>
                  <w:tcW w:w="525" w:type="pct"/>
                  <w:vAlign w:val="center"/>
                </w:tcPr>
                <w:p w14:paraId="362B13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eastAsia="宋体"/>
                      <w:color w:val="auto"/>
                      <w:kern w:val="0"/>
                      <w:sz w:val="21"/>
                      <w:szCs w:val="21"/>
                      <w:lang w:val="en-US" w:eastAsia="zh-CN"/>
                    </w:rPr>
                    <w:t>1000</w:t>
                  </w:r>
                </w:p>
              </w:tc>
              <w:tc>
                <w:tcPr>
                  <w:tcW w:w="2587" w:type="pct"/>
                  <w:vAlign w:val="center"/>
                </w:tcPr>
                <w:p w14:paraId="052377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default"/>
                      <w:color w:val="auto"/>
                      <w:sz w:val="21"/>
                      <w:szCs w:val="21"/>
                      <w:vertAlign w:val="baseline"/>
                    </w:rPr>
                    <w:t>工业生产活动中产生的废木材类边角料、废包装、残次品等废物</w:t>
                  </w:r>
                </w:p>
              </w:tc>
            </w:tr>
            <w:tr w14:paraId="7CF13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 w:type="pct"/>
                  <w:vAlign w:val="center"/>
                </w:tcPr>
                <w:p w14:paraId="49F87C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9</w:t>
                  </w:r>
                </w:p>
              </w:tc>
              <w:tc>
                <w:tcPr>
                  <w:tcW w:w="835" w:type="pct"/>
                  <w:vAlign w:val="center"/>
                </w:tcPr>
                <w:p w14:paraId="73B0B3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lang w:val="en-US"/>
                    </w:rPr>
                  </w:pPr>
                  <w:r>
                    <w:rPr>
                      <w:rFonts w:hint="eastAsia"/>
                      <w:color w:val="auto"/>
                      <w:sz w:val="21"/>
                      <w:szCs w:val="21"/>
                      <w:vertAlign w:val="baseline"/>
                      <w:lang w:val="en-US" w:eastAsia="zh-CN"/>
                    </w:rPr>
                    <w:t>900-099-S59</w:t>
                  </w:r>
                </w:p>
              </w:tc>
              <w:tc>
                <w:tcPr>
                  <w:tcW w:w="457" w:type="pct"/>
                  <w:vAlign w:val="center"/>
                </w:tcPr>
                <w:p w14:paraId="3D8BB1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 w:val="21"/>
                      <w:szCs w:val="21"/>
                      <w:lang w:val="en-US" w:eastAsia="zh-CN"/>
                    </w:rPr>
                  </w:pPr>
                  <w:r>
                    <w:rPr>
                      <w:rFonts w:hint="eastAsia"/>
                      <w:color w:val="auto"/>
                      <w:sz w:val="21"/>
                      <w:szCs w:val="21"/>
                      <w:lang w:val="en-US" w:eastAsia="zh-CN"/>
                    </w:rPr>
                    <w:t>其他固体废物</w:t>
                  </w:r>
                </w:p>
              </w:tc>
              <w:tc>
                <w:tcPr>
                  <w:tcW w:w="297" w:type="pct"/>
                  <w:vAlign w:val="center"/>
                </w:tcPr>
                <w:p w14:paraId="3A7214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color w:val="auto"/>
                      <w:sz w:val="21"/>
                      <w:szCs w:val="21"/>
                      <w:vertAlign w:val="baseline"/>
                      <w:lang w:val="en-US" w:eastAsia="zh-CN"/>
                    </w:rPr>
                    <w:t>固态</w:t>
                  </w:r>
                </w:p>
              </w:tc>
              <w:tc>
                <w:tcPr>
                  <w:tcW w:w="525" w:type="pct"/>
                  <w:vAlign w:val="center"/>
                </w:tcPr>
                <w:p w14:paraId="662F3D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eastAsia="宋体"/>
                      <w:color w:val="auto"/>
                      <w:kern w:val="0"/>
                      <w:sz w:val="21"/>
                      <w:szCs w:val="21"/>
                      <w:lang w:val="en-US" w:eastAsia="zh-CN"/>
                    </w:rPr>
                    <w:t>5</w:t>
                  </w:r>
                  <w:r>
                    <w:rPr>
                      <w:rFonts w:hint="eastAsia"/>
                      <w:color w:val="auto"/>
                      <w:kern w:val="0"/>
                      <w:sz w:val="21"/>
                      <w:szCs w:val="21"/>
                      <w:lang w:val="en-US" w:eastAsia="zh-CN"/>
                    </w:rPr>
                    <w:t>70</w:t>
                  </w:r>
                  <w:r>
                    <w:rPr>
                      <w:rFonts w:hint="eastAsia" w:eastAsia="宋体"/>
                      <w:color w:val="auto"/>
                      <w:kern w:val="0"/>
                      <w:sz w:val="21"/>
                      <w:szCs w:val="21"/>
                      <w:lang w:val="en-US" w:eastAsia="zh-CN"/>
                    </w:rPr>
                    <w:t>00</w:t>
                  </w:r>
                </w:p>
              </w:tc>
              <w:tc>
                <w:tcPr>
                  <w:tcW w:w="2587" w:type="pct"/>
                  <w:vAlign w:val="center"/>
                </w:tcPr>
                <w:p w14:paraId="4896C1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color w:val="auto"/>
                      <w:sz w:val="21"/>
                      <w:szCs w:val="21"/>
                      <w:vertAlign w:val="baseline"/>
                      <w:lang w:val="en-US" w:eastAsia="zh-CN"/>
                    </w:rPr>
                    <w:t>其</w:t>
                  </w:r>
                  <w:r>
                    <w:rPr>
                      <w:rFonts w:hint="default"/>
                      <w:color w:val="auto"/>
                      <w:sz w:val="21"/>
                      <w:szCs w:val="21"/>
                      <w:vertAlign w:val="baseline"/>
                    </w:rPr>
                    <w:t>他工业生产过程中产生的固体废物</w:t>
                  </w:r>
                  <w:r>
                    <w:rPr>
                      <w:rFonts w:hint="default"/>
                      <w:color w:val="auto"/>
                      <w:sz w:val="21"/>
                      <w:szCs w:val="21"/>
                      <w:lang w:eastAsia="zh-CN"/>
                    </w:rPr>
                    <w:t>，</w:t>
                  </w:r>
                  <w:r>
                    <w:rPr>
                      <w:rFonts w:hint="default"/>
                      <w:color w:val="auto"/>
                      <w:sz w:val="21"/>
                      <w:szCs w:val="21"/>
                      <w:lang w:val="en-US" w:eastAsia="zh-CN"/>
                    </w:rPr>
                    <w:t>其中不包括建筑垃圾</w:t>
                  </w:r>
                </w:p>
              </w:tc>
            </w:tr>
          </w:tbl>
          <w:p w14:paraId="02010943">
            <w:pPr>
              <w:pStyle w:val="10"/>
              <w:numPr>
                <w:ilvl w:val="3"/>
                <w:numId w:val="0"/>
              </w:numPr>
              <w:ind w:left="-960" w:firstLine="1440"/>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t>3、</w:t>
            </w:r>
            <w:r>
              <w:rPr>
                <w:rFonts w:hint="default" w:ascii="Times New Roman" w:hAnsi="Times New Roman" w:cs="Times New Roman"/>
                <w:color w:val="auto"/>
                <w:highlight w:val="none"/>
              </w:rPr>
              <w:t>原辅材料及用量</w:t>
            </w:r>
          </w:p>
          <w:p w14:paraId="30870EFB">
            <w:pPr>
              <w:pStyle w:val="11"/>
              <w:numPr>
                <w:ilvl w:val="4"/>
                <w:numId w:val="0"/>
              </w:numPr>
              <w:ind w:left="-960" w:firstLine="1440"/>
              <w:rPr>
                <w:rFonts w:hint="default" w:ascii="Times New Roman" w:hAnsi="Times New Roman" w:cs="Times New Roman"/>
                <w:color w:val="auto"/>
                <w:highlight w:val="none"/>
              </w:rPr>
            </w:pPr>
            <w:r>
              <w:rPr>
                <w:rFonts w:hint="default" w:ascii="Times New Roman" w:hAnsi="Times New Roman" w:cs="Times New Roman"/>
                <w:color w:val="auto"/>
                <w:highlight w:val="none"/>
              </w:rPr>
              <w:t>（1）原辅材料用量</w:t>
            </w:r>
          </w:p>
          <w:p w14:paraId="1769FD75">
            <w:pPr>
              <w:pStyle w:val="21"/>
              <w:ind w:firstLine="480"/>
              <w:rPr>
                <w:rFonts w:hint="default" w:eastAsia="宋体"/>
                <w:color w:val="auto"/>
                <w:highlight w:val="none"/>
                <w:lang w:val="en-US" w:eastAsia="zh-CN"/>
              </w:rPr>
            </w:pPr>
            <w:r>
              <w:rPr>
                <w:rFonts w:hint="default"/>
                <w:color w:val="auto"/>
                <w:highlight w:val="none"/>
              </w:rPr>
              <w:t>项目接收的一般固废在进厂前已进行严格筛选</w:t>
            </w:r>
            <w:r>
              <w:rPr>
                <w:rFonts w:hint="eastAsia"/>
                <w:color w:val="auto"/>
                <w:highlight w:val="none"/>
                <w:lang w:eastAsia="zh-CN"/>
              </w:rPr>
              <w:t>、</w:t>
            </w:r>
            <w:r>
              <w:rPr>
                <w:rFonts w:hint="eastAsia"/>
                <w:color w:val="auto"/>
                <w:highlight w:val="none"/>
                <w:lang w:val="en-US" w:eastAsia="zh-CN"/>
              </w:rPr>
              <w:t>初步分类</w:t>
            </w:r>
            <w:r>
              <w:rPr>
                <w:rFonts w:hint="eastAsia"/>
                <w:color w:val="auto"/>
                <w:highlight w:val="none"/>
                <w:lang w:eastAsia="zh-CN"/>
              </w:rPr>
              <w:t>，</w:t>
            </w:r>
            <w:r>
              <w:rPr>
                <w:rFonts w:hint="eastAsia"/>
                <w:color w:val="auto"/>
                <w:highlight w:val="none"/>
              </w:rPr>
              <w:t>仅收集干燥、固态状的一般工业固废，且不允许夹带危险废物、医疗废物、液态或半固态废物等</w:t>
            </w:r>
            <w:r>
              <w:rPr>
                <w:rFonts w:hint="eastAsia"/>
                <w:color w:val="auto"/>
                <w:highlight w:val="none"/>
                <w:lang w:eastAsia="zh-CN"/>
              </w:rPr>
              <w:t>，</w:t>
            </w:r>
            <w:r>
              <w:rPr>
                <w:rFonts w:hint="eastAsia"/>
                <w:color w:val="auto"/>
                <w:highlight w:val="none"/>
                <w:lang w:val="en-US" w:eastAsia="zh-CN"/>
              </w:rPr>
              <w:t>且不含建筑垃圾</w:t>
            </w:r>
            <w:r>
              <w:rPr>
                <w:rFonts w:hint="eastAsia"/>
                <w:color w:val="auto"/>
                <w:highlight w:val="none"/>
              </w:rPr>
              <w:t>；禁止收集危险废物或沾着有毒有害物质的固废，无法确认固废属性不得入内</w:t>
            </w:r>
            <w:r>
              <w:rPr>
                <w:rFonts w:hint="eastAsia"/>
                <w:color w:val="auto"/>
                <w:highlight w:val="none"/>
                <w:lang w:eastAsia="zh-CN"/>
              </w:rPr>
              <w:t>，</w:t>
            </w:r>
            <w:r>
              <w:rPr>
                <w:rFonts w:hint="eastAsia"/>
                <w:color w:val="auto"/>
                <w:highlight w:val="none"/>
                <w:lang w:val="en-US" w:eastAsia="zh-CN"/>
              </w:rPr>
              <w:t>不</w:t>
            </w:r>
            <w:r>
              <w:rPr>
                <w:rFonts w:hint="default"/>
                <w:color w:val="auto"/>
                <w:highlight w:val="none"/>
              </w:rPr>
              <w:t>接收不属于本项目接收范围的固废</w:t>
            </w:r>
            <w:r>
              <w:rPr>
                <w:rFonts w:hint="eastAsia"/>
                <w:color w:val="auto"/>
                <w:highlight w:val="none"/>
                <w:lang w:eastAsia="zh-CN"/>
              </w:rPr>
              <w:t>。</w:t>
            </w:r>
            <w:r>
              <w:rPr>
                <w:rFonts w:hint="eastAsia"/>
                <w:color w:val="auto"/>
                <w:lang w:val="en-US" w:eastAsia="zh-CN"/>
              </w:rPr>
              <w:t>项目仅对收集的固体废物进行分拣、压实工序，不涉及切割、拆解、清洗、破碎等其他产污工序。</w:t>
            </w:r>
          </w:p>
          <w:p w14:paraId="7CE6CC27">
            <w:pPr>
              <w:pStyle w:val="21"/>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w:t>
            </w:r>
            <w:r>
              <w:rPr>
                <w:rFonts w:hint="default" w:ascii="Times New Roman" w:hAnsi="Times New Roman" w:cs="Times New Roman"/>
                <w:color w:val="auto"/>
                <w:highlight w:val="none"/>
                <w:lang w:val="en-US" w:eastAsia="zh-CN"/>
              </w:rPr>
              <w:t>主要</w:t>
            </w:r>
            <w:r>
              <w:rPr>
                <w:rFonts w:hint="default" w:ascii="Times New Roman" w:hAnsi="Times New Roman" w:cs="Times New Roman"/>
                <w:color w:val="auto"/>
                <w:highlight w:val="none"/>
              </w:rPr>
              <w:t>原辅材料种类及年用量见下表。</w:t>
            </w:r>
          </w:p>
          <w:p w14:paraId="0109AE92">
            <w:pPr>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rPr>
              <w:fldChar w:fldCharType="begin"/>
            </w:r>
            <w:r>
              <w:rPr>
                <w:rFonts w:hint="default" w:ascii="Times New Roman" w:hAnsi="Times New Roman" w:cs="Times New Roman"/>
                <w:b/>
                <w:bCs/>
                <w:color w:val="auto"/>
                <w:sz w:val="21"/>
                <w:szCs w:val="21"/>
                <w:highlight w:val="none"/>
              </w:rPr>
              <w:instrText xml:space="preserve"> STYLEREF 1 \s </w:instrText>
            </w:r>
            <w:r>
              <w:rPr>
                <w:rFonts w:hint="default" w:ascii="Times New Roman" w:hAnsi="Times New Roman" w:cs="Times New Roman"/>
                <w:b/>
                <w:bCs/>
                <w:color w:val="auto"/>
                <w:sz w:val="21"/>
                <w:szCs w:val="21"/>
                <w:highlight w:val="none"/>
              </w:rPr>
              <w:fldChar w:fldCharType="separate"/>
            </w:r>
            <w:r>
              <w:rPr>
                <w:rFonts w:hint="default" w:ascii="Times New Roman" w:hAnsi="Times New Roman" w:cs="Times New Roman"/>
                <w:b/>
                <w:bCs/>
                <w:color w:val="auto"/>
                <w:sz w:val="21"/>
                <w:szCs w:val="21"/>
                <w:highlight w:val="none"/>
              </w:rPr>
              <w:t>2</w:t>
            </w:r>
            <w:r>
              <w:rPr>
                <w:rFonts w:hint="default" w:ascii="Times New Roman" w:hAnsi="Times New Roman" w:cs="Times New Roman"/>
                <w:b/>
                <w:bCs/>
                <w:color w:val="auto"/>
                <w:sz w:val="21"/>
                <w:szCs w:val="21"/>
                <w:highlight w:val="none"/>
              </w:rPr>
              <w:fldChar w:fldCharType="end"/>
            </w:r>
            <w:r>
              <w:rPr>
                <w:rFonts w:hint="default" w:ascii="Times New Roman" w:hAnsi="Times New Roman" w:cs="Times New Roman"/>
                <w:b/>
                <w:bCs/>
                <w:color w:val="auto"/>
                <w:sz w:val="21"/>
                <w:szCs w:val="21"/>
                <w:highlight w:val="none"/>
                <w:lang w:val="en-US" w:eastAsia="zh-CN"/>
              </w:rPr>
              <w:t>-</w:t>
            </w:r>
            <w:r>
              <w:rPr>
                <w:rFonts w:hint="eastAsia" w:cs="Times New Roman"/>
                <w:b/>
                <w:bCs/>
                <w:color w:val="auto"/>
                <w:sz w:val="21"/>
                <w:szCs w:val="21"/>
                <w:highlight w:val="none"/>
                <w:lang w:val="en-US" w:eastAsia="zh-CN"/>
              </w:rPr>
              <w:t>4</w:t>
            </w:r>
            <w:r>
              <w:rPr>
                <w:rFonts w:hint="default" w:ascii="Times New Roman" w:hAnsi="Times New Roman" w:cs="Times New Roman"/>
                <w:b/>
                <w:bCs/>
                <w:color w:val="auto"/>
                <w:sz w:val="21"/>
                <w:szCs w:val="21"/>
                <w:highlight w:val="none"/>
                <w:lang w:val="en-US" w:eastAsia="zh-CN"/>
              </w:rPr>
              <w:t>主要</w:t>
            </w:r>
            <w:r>
              <w:rPr>
                <w:rFonts w:hint="default" w:ascii="Times New Roman" w:hAnsi="Times New Roman" w:cs="Times New Roman"/>
                <w:b/>
                <w:bCs/>
                <w:color w:val="auto"/>
                <w:sz w:val="21"/>
                <w:szCs w:val="21"/>
                <w:highlight w:val="none"/>
              </w:rPr>
              <w:t>原辅材料一览表</w:t>
            </w:r>
          </w:p>
          <w:tbl>
            <w:tblPr>
              <w:tblStyle w:val="4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3"/>
              <w:gridCol w:w="2233"/>
              <w:gridCol w:w="1071"/>
              <w:gridCol w:w="889"/>
              <w:gridCol w:w="809"/>
              <w:gridCol w:w="1302"/>
              <w:gridCol w:w="955"/>
            </w:tblGrid>
            <w:tr w14:paraId="1AF2A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72" w:type="pct"/>
                  <w:tcBorders>
                    <w:top w:val="single" w:color="000000" w:sz="2" w:space="0"/>
                  </w:tcBorders>
                  <w:vAlign w:val="center"/>
                </w:tcPr>
                <w:p w14:paraId="6EEFF997">
                  <w:pPr>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序号</w:t>
                  </w:r>
                </w:p>
              </w:tc>
              <w:tc>
                <w:tcPr>
                  <w:tcW w:w="1424" w:type="pct"/>
                  <w:tcBorders>
                    <w:top w:val="single" w:color="000000" w:sz="2" w:space="0"/>
                  </w:tcBorders>
                  <w:vAlign w:val="center"/>
                </w:tcPr>
                <w:p w14:paraId="58F05EC8">
                  <w:pPr>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名称</w:t>
                  </w:r>
                </w:p>
              </w:tc>
              <w:tc>
                <w:tcPr>
                  <w:tcW w:w="683" w:type="pct"/>
                  <w:tcBorders>
                    <w:top w:val="single" w:color="000000" w:sz="2" w:space="0"/>
                  </w:tcBorders>
                  <w:vAlign w:val="center"/>
                </w:tcPr>
                <w:p w14:paraId="7FC24561">
                  <w:pPr>
                    <w:spacing w:line="240" w:lineRule="auto"/>
                    <w:jc w:val="center"/>
                    <w:rPr>
                      <w:rFonts w:hint="default" w:ascii="Times New Roman" w:hAnsi="Times New Roman" w:eastAsia="宋体" w:cs="Times New Roman"/>
                      <w:b/>
                      <w:bCs/>
                      <w:color w:val="auto"/>
                      <w:sz w:val="21"/>
                      <w:szCs w:val="21"/>
                      <w:highlight w:val="none"/>
                      <w:lang w:eastAsia="zh-CN"/>
                    </w:rPr>
                  </w:pPr>
                  <w:r>
                    <w:rPr>
                      <w:rFonts w:hint="default" w:ascii="Times New Roman" w:hAnsi="Times New Roman" w:cs="Times New Roman"/>
                      <w:b/>
                      <w:bCs/>
                      <w:color w:val="auto"/>
                      <w:sz w:val="21"/>
                      <w:szCs w:val="21"/>
                      <w:highlight w:val="none"/>
                    </w:rPr>
                    <w:t>年用量</w:t>
                  </w:r>
                  <w:r>
                    <w:rPr>
                      <w:rFonts w:hint="default" w:ascii="Times New Roman" w:hAnsi="Times New Roman" w:cs="Times New Roman"/>
                      <w:b/>
                      <w:bCs/>
                      <w:color w:val="auto"/>
                      <w:sz w:val="21"/>
                      <w:szCs w:val="21"/>
                      <w:highlight w:val="none"/>
                      <w:lang w:eastAsia="zh-CN"/>
                    </w:rPr>
                    <w:t>（</w:t>
                  </w:r>
                  <w:r>
                    <w:rPr>
                      <w:rFonts w:hint="default" w:ascii="Times New Roman" w:hAnsi="Times New Roman" w:cs="Times New Roman"/>
                      <w:b/>
                      <w:bCs w:val="0"/>
                      <w:color w:val="auto"/>
                      <w:sz w:val="21"/>
                      <w:szCs w:val="21"/>
                      <w:highlight w:val="none"/>
                    </w:rPr>
                    <w:t>t/a</w:t>
                  </w:r>
                  <w:r>
                    <w:rPr>
                      <w:rFonts w:hint="default" w:ascii="Times New Roman" w:hAnsi="Times New Roman" w:cs="Times New Roman"/>
                      <w:b/>
                      <w:bCs w:val="0"/>
                      <w:color w:val="auto"/>
                      <w:sz w:val="21"/>
                      <w:szCs w:val="21"/>
                      <w:highlight w:val="none"/>
                      <w:lang w:eastAsia="zh-CN"/>
                    </w:rPr>
                    <w:t>）</w:t>
                  </w:r>
                </w:p>
              </w:tc>
              <w:tc>
                <w:tcPr>
                  <w:tcW w:w="567" w:type="pct"/>
                  <w:tcBorders>
                    <w:top w:val="single" w:color="000000" w:sz="2" w:space="0"/>
                  </w:tcBorders>
                  <w:vAlign w:val="center"/>
                </w:tcPr>
                <w:p w14:paraId="7EA85ED3">
                  <w:pPr>
                    <w:spacing w:line="240" w:lineRule="auto"/>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rPr>
                    <w:t>最大贮存量</w:t>
                  </w:r>
                  <w:r>
                    <w:rPr>
                      <w:rFonts w:hint="default" w:ascii="Times New Roman" w:hAnsi="Times New Roman" w:cs="Times New Roman"/>
                      <w:b/>
                      <w:bCs/>
                      <w:color w:val="auto"/>
                      <w:sz w:val="21"/>
                      <w:szCs w:val="21"/>
                      <w:highlight w:val="none"/>
                      <w:lang w:eastAsia="zh-CN"/>
                    </w:rPr>
                    <w:t>（</w:t>
                  </w:r>
                  <w:r>
                    <w:rPr>
                      <w:rFonts w:hint="default" w:ascii="Times New Roman" w:hAnsi="Times New Roman" w:cs="Times New Roman"/>
                      <w:b/>
                      <w:bCs/>
                      <w:color w:val="auto"/>
                      <w:sz w:val="21"/>
                      <w:szCs w:val="21"/>
                      <w:highlight w:val="none"/>
                      <w:lang w:val="en-US" w:eastAsia="zh-CN"/>
                    </w:rPr>
                    <w:t>t</w:t>
                  </w:r>
                  <w:r>
                    <w:rPr>
                      <w:rFonts w:hint="default" w:ascii="Times New Roman" w:hAnsi="Times New Roman" w:cs="Times New Roman"/>
                      <w:b/>
                      <w:bCs/>
                      <w:color w:val="auto"/>
                      <w:sz w:val="21"/>
                      <w:szCs w:val="21"/>
                      <w:highlight w:val="none"/>
                      <w:lang w:eastAsia="zh-CN"/>
                    </w:rPr>
                    <w:t>）</w:t>
                  </w:r>
                </w:p>
              </w:tc>
              <w:tc>
                <w:tcPr>
                  <w:tcW w:w="516" w:type="pct"/>
                  <w:tcBorders>
                    <w:top w:val="single" w:color="000000" w:sz="2" w:space="0"/>
                  </w:tcBorders>
                  <w:vAlign w:val="center"/>
                </w:tcPr>
                <w:p w14:paraId="3D754691">
                  <w:pPr>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形态</w:t>
                  </w:r>
                </w:p>
              </w:tc>
              <w:tc>
                <w:tcPr>
                  <w:tcW w:w="830" w:type="pct"/>
                  <w:tcBorders>
                    <w:top w:val="single" w:color="000000" w:sz="2" w:space="0"/>
                  </w:tcBorders>
                  <w:vAlign w:val="center"/>
                </w:tcPr>
                <w:p w14:paraId="44478457">
                  <w:pPr>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使用环节</w:t>
                  </w:r>
                </w:p>
              </w:tc>
              <w:tc>
                <w:tcPr>
                  <w:tcW w:w="604" w:type="pct"/>
                  <w:tcBorders>
                    <w:top w:val="single" w:color="000000" w:sz="2" w:space="0"/>
                  </w:tcBorders>
                  <w:vAlign w:val="center"/>
                </w:tcPr>
                <w:p w14:paraId="027F4759">
                  <w:pPr>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贮存位置</w:t>
                  </w:r>
                </w:p>
              </w:tc>
            </w:tr>
            <w:tr w14:paraId="3136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72" w:type="pct"/>
                  <w:vAlign w:val="center"/>
                </w:tcPr>
                <w:p w14:paraId="16522472">
                  <w:pPr>
                    <w:spacing w:line="240" w:lineRule="auto"/>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w:t>
                  </w:r>
                </w:p>
              </w:tc>
              <w:tc>
                <w:tcPr>
                  <w:tcW w:w="1424" w:type="pct"/>
                  <w:vAlign w:val="center"/>
                </w:tcPr>
                <w:p w14:paraId="5834DCC8">
                  <w:pPr>
                    <w:widowControl/>
                    <w:adjustRightInd w:val="0"/>
                    <w:snapToGrid w:val="0"/>
                    <w:spacing w:line="240" w:lineRule="auto"/>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编织袋</w:t>
                  </w:r>
                </w:p>
              </w:tc>
              <w:tc>
                <w:tcPr>
                  <w:tcW w:w="683" w:type="pct"/>
                  <w:vAlign w:val="center"/>
                </w:tcPr>
                <w:p w14:paraId="72471687">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w:t>
                  </w:r>
                </w:p>
              </w:tc>
              <w:tc>
                <w:tcPr>
                  <w:tcW w:w="567" w:type="pct"/>
                  <w:vAlign w:val="center"/>
                </w:tcPr>
                <w:p w14:paraId="29BC7297">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0.5</w:t>
                  </w:r>
                </w:p>
              </w:tc>
              <w:tc>
                <w:tcPr>
                  <w:tcW w:w="516" w:type="pct"/>
                  <w:vAlign w:val="center"/>
                </w:tcPr>
                <w:p w14:paraId="13FD41A3">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固态</w:t>
                  </w:r>
                </w:p>
              </w:tc>
              <w:tc>
                <w:tcPr>
                  <w:tcW w:w="830" w:type="pct"/>
                  <w:vAlign w:val="center"/>
                </w:tcPr>
                <w:p w14:paraId="08FC57AE">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打包</w:t>
                  </w:r>
                </w:p>
              </w:tc>
              <w:tc>
                <w:tcPr>
                  <w:tcW w:w="604" w:type="pct"/>
                  <w:vAlign w:val="center"/>
                </w:tcPr>
                <w:p w14:paraId="0348C39F">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厂房</w:t>
                  </w:r>
                </w:p>
              </w:tc>
            </w:tr>
            <w:tr w14:paraId="14579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372" w:type="pct"/>
                  <w:vAlign w:val="center"/>
                </w:tcPr>
                <w:p w14:paraId="66F47216">
                  <w:pPr>
                    <w:spacing w:line="240" w:lineRule="auto"/>
                    <w:jc w:val="center"/>
                    <w:rPr>
                      <w:rFonts w:hint="default" w:ascii="Times New Roman" w:hAnsi="Times New Roman"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2</w:t>
                  </w:r>
                </w:p>
              </w:tc>
              <w:tc>
                <w:tcPr>
                  <w:tcW w:w="1424" w:type="pct"/>
                  <w:shd w:val="clear" w:color="auto" w:fill="auto"/>
                  <w:vAlign w:val="center"/>
                </w:tcPr>
                <w:p w14:paraId="4A81B186">
                  <w:pPr>
                    <w:widowControl/>
                    <w:adjustRightInd w:val="0"/>
                    <w:snapToGrid w:val="0"/>
                    <w:spacing w:line="240" w:lineRule="auto"/>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铁丝</w:t>
                  </w:r>
                </w:p>
              </w:tc>
              <w:tc>
                <w:tcPr>
                  <w:tcW w:w="683" w:type="pct"/>
                  <w:shd w:val="clear" w:color="auto" w:fill="auto"/>
                  <w:vAlign w:val="center"/>
                </w:tcPr>
                <w:p w14:paraId="1E7CEC28">
                  <w:pPr>
                    <w:spacing w:line="240" w:lineRule="auto"/>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w:t>
                  </w:r>
                </w:p>
              </w:tc>
              <w:tc>
                <w:tcPr>
                  <w:tcW w:w="567" w:type="pct"/>
                  <w:shd w:val="clear" w:color="auto" w:fill="auto"/>
                  <w:vAlign w:val="center"/>
                </w:tcPr>
                <w:p w14:paraId="5DFEF50B">
                  <w:pPr>
                    <w:spacing w:line="240" w:lineRule="auto"/>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0.3</w:t>
                  </w:r>
                </w:p>
              </w:tc>
              <w:tc>
                <w:tcPr>
                  <w:tcW w:w="516" w:type="pct"/>
                  <w:shd w:val="clear" w:color="auto" w:fill="auto"/>
                  <w:vAlign w:val="center"/>
                </w:tcPr>
                <w:p w14:paraId="7F4B77C0">
                  <w:pPr>
                    <w:spacing w:line="240" w:lineRule="auto"/>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固态</w:t>
                  </w:r>
                </w:p>
              </w:tc>
              <w:tc>
                <w:tcPr>
                  <w:tcW w:w="830" w:type="pct"/>
                  <w:shd w:val="clear" w:color="auto" w:fill="auto"/>
                  <w:vAlign w:val="center"/>
                </w:tcPr>
                <w:p w14:paraId="5E679369">
                  <w:pPr>
                    <w:spacing w:line="240" w:lineRule="auto"/>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打包</w:t>
                  </w:r>
                </w:p>
              </w:tc>
              <w:tc>
                <w:tcPr>
                  <w:tcW w:w="604" w:type="pct"/>
                  <w:shd w:val="clear" w:color="auto" w:fill="auto"/>
                  <w:vAlign w:val="center"/>
                </w:tcPr>
                <w:p w14:paraId="00279D31">
                  <w:pPr>
                    <w:spacing w:line="240" w:lineRule="auto"/>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厂房</w:t>
                  </w:r>
                </w:p>
              </w:tc>
            </w:tr>
            <w:tr w14:paraId="5D0C0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372" w:type="pct"/>
                  <w:vAlign w:val="center"/>
                </w:tcPr>
                <w:p w14:paraId="13AEB3DD">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3</w:t>
                  </w:r>
                </w:p>
              </w:tc>
              <w:tc>
                <w:tcPr>
                  <w:tcW w:w="1424" w:type="pct"/>
                  <w:shd w:val="clear" w:color="auto" w:fill="auto"/>
                  <w:vAlign w:val="center"/>
                </w:tcPr>
                <w:p w14:paraId="42BAA8B2">
                  <w:pPr>
                    <w:widowControl/>
                    <w:adjustRightInd w:val="0"/>
                    <w:snapToGrid w:val="0"/>
                    <w:spacing w:line="240" w:lineRule="auto"/>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液压油</w:t>
                  </w:r>
                </w:p>
              </w:tc>
              <w:tc>
                <w:tcPr>
                  <w:tcW w:w="683" w:type="pct"/>
                  <w:shd w:val="clear" w:color="auto" w:fill="auto"/>
                  <w:vAlign w:val="center"/>
                </w:tcPr>
                <w:p w14:paraId="397CD3C4">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0.1</w:t>
                  </w:r>
                </w:p>
              </w:tc>
              <w:tc>
                <w:tcPr>
                  <w:tcW w:w="567" w:type="pct"/>
                  <w:shd w:val="clear" w:color="auto" w:fill="auto"/>
                  <w:vAlign w:val="center"/>
                </w:tcPr>
                <w:p w14:paraId="05B3985A">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0.1</w:t>
                  </w:r>
                </w:p>
              </w:tc>
              <w:tc>
                <w:tcPr>
                  <w:tcW w:w="516" w:type="pct"/>
                  <w:shd w:val="clear" w:color="auto" w:fill="auto"/>
                  <w:vAlign w:val="center"/>
                </w:tcPr>
                <w:p w14:paraId="0A60DA7C">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液态</w:t>
                  </w:r>
                </w:p>
              </w:tc>
              <w:tc>
                <w:tcPr>
                  <w:tcW w:w="830" w:type="pct"/>
                  <w:shd w:val="clear" w:color="auto" w:fill="auto"/>
                  <w:vAlign w:val="center"/>
                </w:tcPr>
                <w:p w14:paraId="02CFAF7D">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压实</w:t>
                  </w:r>
                </w:p>
              </w:tc>
              <w:tc>
                <w:tcPr>
                  <w:tcW w:w="604" w:type="pct"/>
                  <w:shd w:val="clear" w:color="auto" w:fill="auto"/>
                  <w:vAlign w:val="center"/>
                </w:tcPr>
                <w:p w14:paraId="394FE814">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厂房</w:t>
                  </w:r>
                </w:p>
              </w:tc>
            </w:tr>
            <w:tr w14:paraId="044E6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372" w:type="pct"/>
                  <w:vAlign w:val="center"/>
                </w:tcPr>
                <w:p w14:paraId="1EBC1708">
                  <w:pPr>
                    <w:spacing w:line="240" w:lineRule="auto"/>
                    <w:jc w:val="center"/>
                    <w:rPr>
                      <w:rFonts w:hint="default" w:ascii="Times New Roman" w:hAnsi="Times New Roman" w:cs="Times New Roman"/>
                      <w:bCs/>
                      <w:color w:val="auto"/>
                      <w:sz w:val="21"/>
                      <w:szCs w:val="21"/>
                      <w:highlight w:val="none"/>
                      <w:lang w:val="en-US" w:eastAsia="zh-CN"/>
                    </w:rPr>
                  </w:pPr>
                  <w:r>
                    <w:rPr>
                      <w:rFonts w:hint="eastAsia" w:cs="Times New Roman"/>
                      <w:bCs/>
                      <w:color w:val="auto"/>
                      <w:sz w:val="21"/>
                      <w:szCs w:val="21"/>
                      <w:highlight w:val="none"/>
                      <w:lang w:val="en-US" w:eastAsia="zh-CN"/>
                    </w:rPr>
                    <w:t>4</w:t>
                  </w:r>
                </w:p>
              </w:tc>
              <w:tc>
                <w:tcPr>
                  <w:tcW w:w="1424" w:type="pct"/>
                  <w:shd w:val="clear" w:color="auto" w:fill="auto"/>
                  <w:vAlign w:val="center"/>
                </w:tcPr>
                <w:p w14:paraId="077BC345">
                  <w:pPr>
                    <w:widowControl/>
                    <w:adjustRightInd w:val="0"/>
                    <w:snapToGrid w:val="0"/>
                    <w:spacing w:line="240" w:lineRule="auto"/>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机油</w:t>
                  </w:r>
                </w:p>
              </w:tc>
              <w:tc>
                <w:tcPr>
                  <w:tcW w:w="683" w:type="pct"/>
                  <w:shd w:val="clear" w:color="auto" w:fill="auto"/>
                  <w:vAlign w:val="center"/>
                </w:tcPr>
                <w:p w14:paraId="754964F1">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0.05</w:t>
                  </w:r>
                </w:p>
              </w:tc>
              <w:tc>
                <w:tcPr>
                  <w:tcW w:w="567" w:type="pct"/>
                  <w:shd w:val="clear" w:color="auto" w:fill="auto"/>
                  <w:vAlign w:val="center"/>
                </w:tcPr>
                <w:p w14:paraId="4762F9D1">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0.05</w:t>
                  </w:r>
                </w:p>
              </w:tc>
              <w:tc>
                <w:tcPr>
                  <w:tcW w:w="516" w:type="pct"/>
                  <w:shd w:val="clear" w:color="auto" w:fill="auto"/>
                  <w:vAlign w:val="center"/>
                </w:tcPr>
                <w:p w14:paraId="7F151FFD">
                  <w:pPr>
                    <w:spacing w:line="240" w:lineRule="auto"/>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液态</w:t>
                  </w:r>
                </w:p>
              </w:tc>
              <w:tc>
                <w:tcPr>
                  <w:tcW w:w="830" w:type="pct"/>
                  <w:shd w:val="clear" w:color="auto" w:fill="auto"/>
                  <w:vAlign w:val="center"/>
                </w:tcPr>
                <w:p w14:paraId="1DB85A12">
                  <w:pPr>
                    <w:spacing w:line="240" w:lineRule="auto"/>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压实</w:t>
                  </w:r>
                </w:p>
              </w:tc>
              <w:tc>
                <w:tcPr>
                  <w:tcW w:w="604" w:type="pct"/>
                  <w:shd w:val="clear" w:color="auto" w:fill="auto"/>
                  <w:vAlign w:val="center"/>
                </w:tcPr>
                <w:p w14:paraId="78435E05">
                  <w:pPr>
                    <w:spacing w:line="240" w:lineRule="auto"/>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厂房</w:t>
                  </w:r>
                </w:p>
              </w:tc>
            </w:tr>
            <w:tr w14:paraId="124F0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372" w:type="pct"/>
                  <w:vAlign w:val="center"/>
                </w:tcPr>
                <w:p w14:paraId="318D347C">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5</w:t>
                  </w:r>
                </w:p>
              </w:tc>
              <w:tc>
                <w:tcPr>
                  <w:tcW w:w="1424" w:type="pct"/>
                  <w:shd w:val="clear" w:color="auto" w:fill="auto"/>
                  <w:vAlign w:val="center"/>
                </w:tcPr>
                <w:p w14:paraId="27A940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sz w:val="21"/>
                      <w:szCs w:val="21"/>
                      <w:highlight w:val="none"/>
                      <w:lang w:val="en-US" w:eastAsia="zh-CN"/>
                    </w:rPr>
                  </w:pPr>
                  <w:r>
                    <w:rPr>
                      <w:rFonts w:hint="eastAsia" w:eastAsia="宋体"/>
                      <w:color w:val="auto"/>
                      <w:kern w:val="21"/>
                      <w:sz w:val="21"/>
                      <w:szCs w:val="21"/>
                      <w:lang w:val="en-US" w:eastAsia="zh-CN"/>
                    </w:rPr>
                    <w:t>废钢铁</w:t>
                  </w:r>
                </w:p>
              </w:tc>
              <w:tc>
                <w:tcPr>
                  <w:tcW w:w="683" w:type="pct"/>
                  <w:shd w:val="clear" w:color="auto" w:fill="auto"/>
                  <w:vAlign w:val="center"/>
                </w:tcPr>
                <w:p w14:paraId="6151C2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kern w:val="2"/>
                      <w:sz w:val="21"/>
                      <w:szCs w:val="21"/>
                      <w:highlight w:val="none"/>
                      <w:lang w:val="en-US" w:eastAsia="zh-CN" w:bidi="ar-SA"/>
                    </w:rPr>
                  </w:pPr>
                  <w:r>
                    <w:rPr>
                      <w:rFonts w:hint="eastAsia" w:eastAsia="宋体"/>
                      <w:color w:val="auto"/>
                      <w:kern w:val="0"/>
                      <w:sz w:val="21"/>
                      <w:szCs w:val="21"/>
                      <w:lang w:val="en-US" w:eastAsia="zh-CN"/>
                    </w:rPr>
                    <w:t>5000</w:t>
                  </w:r>
                </w:p>
              </w:tc>
              <w:tc>
                <w:tcPr>
                  <w:tcW w:w="567" w:type="pct"/>
                  <w:shd w:val="clear" w:color="auto" w:fill="auto"/>
                  <w:vAlign w:val="center"/>
                </w:tcPr>
                <w:p w14:paraId="3C134A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kern w:val="2"/>
                      <w:sz w:val="21"/>
                      <w:szCs w:val="21"/>
                      <w:highlight w:val="none"/>
                      <w:lang w:val="en-US" w:eastAsia="zh-CN" w:bidi="ar-SA"/>
                    </w:rPr>
                  </w:pPr>
                  <w:r>
                    <w:rPr>
                      <w:rFonts w:hint="eastAsia" w:eastAsia="宋体"/>
                      <w:color w:val="auto"/>
                      <w:kern w:val="0"/>
                      <w:sz w:val="21"/>
                      <w:szCs w:val="21"/>
                      <w:lang w:val="en-US" w:eastAsia="zh-CN"/>
                    </w:rPr>
                    <w:t>5000</w:t>
                  </w:r>
                </w:p>
              </w:tc>
              <w:tc>
                <w:tcPr>
                  <w:tcW w:w="516" w:type="pct"/>
                  <w:shd w:val="clear" w:color="auto" w:fill="auto"/>
                  <w:vAlign w:val="center"/>
                </w:tcPr>
                <w:p w14:paraId="0F7EF252">
                  <w:pPr>
                    <w:spacing w:line="240" w:lineRule="auto"/>
                    <w:jc w:val="center"/>
                    <w:rPr>
                      <w:rFonts w:hint="eastAsia"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固态</w:t>
                  </w:r>
                </w:p>
              </w:tc>
              <w:tc>
                <w:tcPr>
                  <w:tcW w:w="830" w:type="pct"/>
                  <w:shd w:val="clear" w:color="auto" w:fill="auto"/>
                  <w:vAlign w:val="center"/>
                </w:tcPr>
                <w:p w14:paraId="0E703992">
                  <w:pPr>
                    <w:spacing w:line="240" w:lineRule="auto"/>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分拣</w:t>
                  </w:r>
                </w:p>
              </w:tc>
              <w:tc>
                <w:tcPr>
                  <w:tcW w:w="604" w:type="pct"/>
                  <w:shd w:val="clear" w:color="auto" w:fill="auto"/>
                  <w:vAlign w:val="center"/>
                </w:tcPr>
                <w:p w14:paraId="071971AF">
                  <w:pPr>
                    <w:spacing w:line="240" w:lineRule="auto"/>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厂房</w:t>
                  </w:r>
                </w:p>
              </w:tc>
            </w:tr>
            <w:tr w14:paraId="5B950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372" w:type="pct"/>
                  <w:vAlign w:val="center"/>
                </w:tcPr>
                <w:p w14:paraId="6699C95F">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6</w:t>
                  </w:r>
                </w:p>
              </w:tc>
              <w:tc>
                <w:tcPr>
                  <w:tcW w:w="1424" w:type="pct"/>
                  <w:shd w:val="clear" w:color="auto" w:fill="auto"/>
                  <w:vAlign w:val="center"/>
                </w:tcPr>
                <w:p w14:paraId="3E32BC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sz w:val="21"/>
                      <w:szCs w:val="21"/>
                      <w:highlight w:val="none"/>
                      <w:lang w:val="en-US" w:eastAsia="zh-CN"/>
                    </w:rPr>
                  </w:pPr>
                  <w:r>
                    <w:rPr>
                      <w:rFonts w:hint="eastAsia" w:eastAsia="宋体"/>
                      <w:color w:val="auto"/>
                      <w:sz w:val="21"/>
                      <w:szCs w:val="21"/>
                      <w:lang w:val="en-US" w:eastAsia="zh-CN"/>
                    </w:rPr>
                    <w:t>废有色金属</w:t>
                  </w:r>
                </w:p>
              </w:tc>
              <w:tc>
                <w:tcPr>
                  <w:tcW w:w="683" w:type="pct"/>
                  <w:shd w:val="clear" w:color="auto" w:fill="auto"/>
                  <w:vAlign w:val="center"/>
                </w:tcPr>
                <w:p w14:paraId="36AE9E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kern w:val="2"/>
                      <w:sz w:val="21"/>
                      <w:szCs w:val="21"/>
                      <w:highlight w:val="none"/>
                      <w:lang w:val="en-US" w:eastAsia="zh-CN" w:bidi="ar-SA"/>
                    </w:rPr>
                  </w:pPr>
                  <w:r>
                    <w:rPr>
                      <w:rFonts w:hint="eastAsia" w:eastAsia="宋体"/>
                      <w:color w:val="auto"/>
                      <w:kern w:val="0"/>
                      <w:sz w:val="21"/>
                      <w:szCs w:val="21"/>
                      <w:lang w:val="en-US" w:eastAsia="zh-CN"/>
                    </w:rPr>
                    <w:t>2000</w:t>
                  </w:r>
                </w:p>
              </w:tc>
              <w:tc>
                <w:tcPr>
                  <w:tcW w:w="567" w:type="pct"/>
                  <w:shd w:val="clear" w:color="auto" w:fill="auto"/>
                  <w:vAlign w:val="center"/>
                </w:tcPr>
                <w:p w14:paraId="445477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kern w:val="2"/>
                      <w:sz w:val="21"/>
                      <w:szCs w:val="21"/>
                      <w:highlight w:val="none"/>
                      <w:lang w:val="en-US" w:eastAsia="zh-CN" w:bidi="ar-SA"/>
                    </w:rPr>
                  </w:pPr>
                  <w:r>
                    <w:rPr>
                      <w:rFonts w:hint="eastAsia" w:eastAsia="宋体"/>
                      <w:color w:val="auto"/>
                      <w:kern w:val="0"/>
                      <w:sz w:val="21"/>
                      <w:szCs w:val="21"/>
                      <w:lang w:val="en-US" w:eastAsia="zh-CN"/>
                    </w:rPr>
                    <w:t>2000</w:t>
                  </w:r>
                </w:p>
              </w:tc>
              <w:tc>
                <w:tcPr>
                  <w:tcW w:w="516" w:type="pct"/>
                  <w:shd w:val="clear" w:color="auto" w:fill="auto"/>
                  <w:vAlign w:val="center"/>
                </w:tcPr>
                <w:p w14:paraId="219C7AAC">
                  <w:pPr>
                    <w:spacing w:line="240" w:lineRule="auto"/>
                    <w:jc w:val="center"/>
                    <w:rPr>
                      <w:rFonts w:hint="eastAsia"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固态</w:t>
                  </w:r>
                </w:p>
              </w:tc>
              <w:tc>
                <w:tcPr>
                  <w:tcW w:w="830" w:type="pct"/>
                  <w:shd w:val="clear" w:color="auto" w:fill="auto"/>
                  <w:vAlign w:val="center"/>
                </w:tcPr>
                <w:p w14:paraId="3CF4A008">
                  <w:pPr>
                    <w:spacing w:line="240" w:lineRule="auto"/>
                    <w:jc w:val="center"/>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分拣</w:t>
                  </w:r>
                </w:p>
              </w:tc>
              <w:tc>
                <w:tcPr>
                  <w:tcW w:w="604" w:type="pct"/>
                  <w:shd w:val="clear" w:color="auto" w:fill="auto"/>
                  <w:vAlign w:val="center"/>
                </w:tcPr>
                <w:p w14:paraId="43B48D74">
                  <w:pPr>
                    <w:spacing w:line="240" w:lineRule="auto"/>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厂房</w:t>
                  </w:r>
                </w:p>
              </w:tc>
            </w:tr>
            <w:tr w14:paraId="688AC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372" w:type="pct"/>
                  <w:vAlign w:val="center"/>
                </w:tcPr>
                <w:p w14:paraId="23EBF7FC">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7</w:t>
                  </w:r>
                </w:p>
              </w:tc>
              <w:tc>
                <w:tcPr>
                  <w:tcW w:w="1424" w:type="pct"/>
                  <w:shd w:val="clear" w:color="auto" w:fill="auto"/>
                  <w:vAlign w:val="center"/>
                </w:tcPr>
                <w:p w14:paraId="0B360C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sz w:val="21"/>
                      <w:szCs w:val="21"/>
                      <w:highlight w:val="none"/>
                      <w:lang w:val="en-US" w:eastAsia="zh-CN"/>
                    </w:rPr>
                  </w:pPr>
                  <w:r>
                    <w:rPr>
                      <w:rFonts w:hint="eastAsia" w:eastAsia="宋体"/>
                      <w:color w:val="auto"/>
                      <w:sz w:val="21"/>
                      <w:szCs w:val="21"/>
                      <w:lang w:val="en-US" w:eastAsia="zh-CN"/>
                    </w:rPr>
                    <w:t>废塑料</w:t>
                  </w:r>
                </w:p>
              </w:tc>
              <w:tc>
                <w:tcPr>
                  <w:tcW w:w="683" w:type="pct"/>
                  <w:shd w:val="clear" w:color="auto" w:fill="auto"/>
                  <w:vAlign w:val="center"/>
                </w:tcPr>
                <w:p w14:paraId="4AAE42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kern w:val="2"/>
                      <w:sz w:val="21"/>
                      <w:szCs w:val="21"/>
                      <w:highlight w:val="none"/>
                      <w:lang w:val="en-US" w:eastAsia="zh-CN" w:bidi="ar-SA"/>
                    </w:rPr>
                  </w:pPr>
                  <w:r>
                    <w:rPr>
                      <w:rFonts w:hint="eastAsia" w:eastAsia="宋体"/>
                      <w:color w:val="auto"/>
                      <w:kern w:val="0"/>
                      <w:sz w:val="21"/>
                      <w:szCs w:val="21"/>
                      <w:lang w:val="en-US" w:eastAsia="zh-CN"/>
                    </w:rPr>
                    <w:t>3000</w:t>
                  </w:r>
                </w:p>
              </w:tc>
              <w:tc>
                <w:tcPr>
                  <w:tcW w:w="567" w:type="pct"/>
                  <w:shd w:val="clear" w:color="auto" w:fill="auto"/>
                  <w:vAlign w:val="center"/>
                </w:tcPr>
                <w:p w14:paraId="08392D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kern w:val="2"/>
                      <w:sz w:val="21"/>
                      <w:szCs w:val="21"/>
                      <w:highlight w:val="none"/>
                      <w:lang w:val="en-US" w:eastAsia="zh-CN" w:bidi="ar-SA"/>
                    </w:rPr>
                  </w:pPr>
                  <w:r>
                    <w:rPr>
                      <w:rFonts w:hint="eastAsia" w:eastAsia="宋体"/>
                      <w:color w:val="auto"/>
                      <w:kern w:val="0"/>
                      <w:sz w:val="21"/>
                      <w:szCs w:val="21"/>
                      <w:lang w:val="en-US" w:eastAsia="zh-CN"/>
                    </w:rPr>
                    <w:t>3000</w:t>
                  </w:r>
                </w:p>
              </w:tc>
              <w:tc>
                <w:tcPr>
                  <w:tcW w:w="516" w:type="pct"/>
                  <w:shd w:val="clear" w:color="auto" w:fill="auto"/>
                  <w:vAlign w:val="center"/>
                </w:tcPr>
                <w:p w14:paraId="356ECFD6">
                  <w:pPr>
                    <w:spacing w:line="240" w:lineRule="auto"/>
                    <w:jc w:val="center"/>
                    <w:rPr>
                      <w:rFonts w:hint="eastAsia"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固态</w:t>
                  </w:r>
                </w:p>
              </w:tc>
              <w:tc>
                <w:tcPr>
                  <w:tcW w:w="830" w:type="pct"/>
                  <w:shd w:val="clear" w:color="auto" w:fill="auto"/>
                  <w:vAlign w:val="center"/>
                </w:tcPr>
                <w:p w14:paraId="2B220ED4">
                  <w:pPr>
                    <w:spacing w:line="240" w:lineRule="auto"/>
                    <w:jc w:val="center"/>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分拣</w:t>
                  </w:r>
                </w:p>
              </w:tc>
              <w:tc>
                <w:tcPr>
                  <w:tcW w:w="604" w:type="pct"/>
                  <w:shd w:val="clear" w:color="auto" w:fill="auto"/>
                  <w:vAlign w:val="center"/>
                </w:tcPr>
                <w:p w14:paraId="1446C64B">
                  <w:pPr>
                    <w:spacing w:line="240" w:lineRule="auto"/>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厂房</w:t>
                  </w:r>
                </w:p>
              </w:tc>
            </w:tr>
            <w:tr w14:paraId="0A5B4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372" w:type="pct"/>
                  <w:vAlign w:val="center"/>
                </w:tcPr>
                <w:p w14:paraId="4E3C4883">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8</w:t>
                  </w:r>
                </w:p>
              </w:tc>
              <w:tc>
                <w:tcPr>
                  <w:tcW w:w="1424" w:type="pct"/>
                  <w:shd w:val="clear" w:color="auto" w:fill="auto"/>
                  <w:vAlign w:val="center"/>
                </w:tcPr>
                <w:p w14:paraId="30B86A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sz w:val="21"/>
                      <w:szCs w:val="21"/>
                      <w:highlight w:val="none"/>
                      <w:lang w:val="en-US" w:eastAsia="zh-CN"/>
                    </w:rPr>
                  </w:pPr>
                  <w:r>
                    <w:rPr>
                      <w:rFonts w:hint="eastAsia" w:eastAsia="宋体"/>
                      <w:color w:val="auto"/>
                      <w:sz w:val="21"/>
                      <w:szCs w:val="21"/>
                      <w:lang w:val="en-US" w:eastAsia="zh-CN"/>
                    </w:rPr>
                    <w:t>废玻璃</w:t>
                  </w:r>
                </w:p>
              </w:tc>
              <w:tc>
                <w:tcPr>
                  <w:tcW w:w="683" w:type="pct"/>
                  <w:shd w:val="clear" w:color="auto" w:fill="auto"/>
                  <w:vAlign w:val="center"/>
                </w:tcPr>
                <w:p w14:paraId="28F5AC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kern w:val="2"/>
                      <w:sz w:val="21"/>
                      <w:szCs w:val="21"/>
                      <w:highlight w:val="none"/>
                      <w:lang w:val="en-US" w:eastAsia="zh-CN" w:bidi="ar-SA"/>
                    </w:rPr>
                  </w:pPr>
                  <w:r>
                    <w:rPr>
                      <w:rFonts w:hint="eastAsia" w:eastAsia="宋体"/>
                      <w:color w:val="auto"/>
                      <w:kern w:val="0"/>
                      <w:sz w:val="21"/>
                      <w:szCs w:val="21"/>
                      <w:lang w:val="en-US" w:eastAsia="zh-CN"/>
                    </w:rPr>
                    <w:t>4000</w:t>
                  </w:r>
                </w:p>
              </w:tc>
              <w:tc>
                <w:tcPr>
                  <w:tcW w:w="567" w:type="pct"/>
                  <w:shd w:val="clear" w:color="auto" w:fill="auto"/>
                  <w:vAlign w:val="center"/>
                </w:tcPr>
                <w:p w14:paraId="0161BE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kern w:val="2"/>
                      <w:sz w:val="21"/>
                      <w:szCs w:val="21"/>
                      <w:highlight w:val="none"/>
                      <w:lang w:val="en-US" w:eastAsia="zh-CN" w:bidi="ar-SA"/>
                    </w:rPr>
                  </w:pPr>
                  <w:r>
                    <w:rPr>
                      <w:rFonts w:hint="eastAsia" w:eastAsia="宋体"/>
                      <w:color w:val="auto"/>
                      <w:kern w:val="0"/>
                      <w:sz w:val="21"/>
                      <w:szCs w:val="21"/>
                      <w:lang w:val="en-US" w:eastAsia="zh-CN"/>
                    </w:rPr>
                    <w:t>4000</w:t>
                  </w:r>
                </w:p>
              </w:tc>
              <w:tc>
                <w:tcPr>
                  <w:tcW w:w="516" w:type="pct"/>
                  <w:shd w:val="clear" w:color="auto" w:fill="auto"/>
                  <w:vAlign w:val="center"/>
                </w:tcPr>
                <w:p w14:paraId="2657EEC1">
                  <w:pPr>
                    <w:spacing w:line="240" w:lineRule="auto"/>
                    <w:jc w:val="center"/>
                    <w:rPr>
                      <w:rFonts w:hint="eastAsia"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固态</w:t>
                  </w:r>
                </w:p>
              </w:tc>
              <w:tc>
                <w:tcPr>
                  <w:tcW w:w="830" w:type="pct"/>
                  <w:shd w:val="clear" w:color="auto" w:fill="auto"/>
                  <w:vAlign w:val="center"/>
                </w:tcPr>
                <w:p w14:paraId="61947054">
                  <w:pPr>
                    <w:spacing w:line="240" w:lineRule="auto"/>
                    <w:jc w:val="center"/>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分拣</w:t>
                  </w:r>
                </w:p>
              </w:tc>
              <w:tc>
                <w:tcPr>
                  <w:tcW w:w="604" w:type="pct"/>
                  <w:shd w:val="clear" w:color="auto" w:fill="auto"/>
                  <w:vAlign w:val="center"/>
                </w:tcPr>
                <w:p w14:paraId="0DA5578E">
                  <w:pPr>
                    <w:spacing w:line="240" w:lineRule="auto"/>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厂房</w:t>
                  </w:r>
                </w:p>
              </w:tc>
            </w:tr>
            <w:tr w14:paraId="44A24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372" w:type="pct"/>
                  <w:vAlign w:val="center"/>
                </w:tcPr>
                <w:p w14:paraId="074DEC00">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9</w:t>
                  </w:r>
                </w:p>
              </w:tc>
              <w:tc>
                <w:tcPr>
                  <w:tcW w:w="1424" w:type="pct"/>
                  <w:shd w:val="clear" w:color="auto" w:fill="auto"/>
                  <w:vAlign w:val="center"/>
                </w:tcPr>
                <w:p w14:paraId="724DE4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sz w:val="21"/>
                      <w:szCs w:val="21"/>
                      <w:highlight w:val="none"/>
                      <w:lang w:val="en-US" w:eastAsia="zh-CN"/>
                    </w:rPr>
                  </w:pPr>
                  <w:r>
                    <w:rPr>
                      <w:rFonts w:hint="eastAsia"/>
                      <w:color w:val="auto"/>
                      <w:sz w:val="21"/>
                      <w:szCs w:val="21"/>
                      <w:lang w:val="en-US" w:eastAsia="zh-CN"/>
                    </w:rPr>
                    <w:t>废纸</w:t>
                  </w:r>
                </w:p>
              </w:tc>
              <w:tc>
                <w:tcPr>
                  <w:tcW w:w="683" w:type="pct"/>
                  <w:shd w:val="clear" w:color="auto" w:fill="auto"/>
                  <w:vAlign w:val="center"/>
                </w:tcPr>
                <w:p w14:paraId="1BAE37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kern w:val="2"/>
                      <w:sz w:val="21"/>
                      <w:szCs w:val="21"/>
                      <w:highlight w:val="none"/>
                      <w:lang w:val="en-US" w:eastAsia="zh-CN" w:bidi="ar-SA"/>
                    </w:rPr>
                  </w:pPr>
                  <w:r>
                    <w:rPr>
                      <w:rFonts w:hint="eastAsia" w:eastAsia="宋体"/>
                      <w:color w:val="auto"/>
                      <w:kern w:val="0"/>
                      <w:sz w:val="21"/>
                      <w:szCs w:val="21"/>
                      <w:lang w:val="en-US" w:eastAsia="zh-CN"/>
                    </w:rPr>
                    <w:t>3000</w:t>
                  </w:r>
                </w:p>
              </w:tc>
              <w:tc>
                <w:tcPr>
                  <w:tcW w:w="567" w:type="pct"/>
                  <w:shd w:val="clear" w:color="auto" w:fill="auto"/>
                  <w:vAlign w:val="center"/>
                </w:tcPr>
                <w:p w14:paraId="567F78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kern w:val="2"/>
                      <w:sz w:val="21"/>
                      <w:szCs w:val="21"/>
                      <w:highlight w:val="none"/>
                      <w:lang w:val="en-US" w:eastAsia="zh-CN" w:bidi="ar-SA"/>
                    </w:rPr>
                  </w:pPr>
                  <w:r>
                    <w:rPr>
                      <w:rFonts w:hint="eastAsia" w:eastAsia="宋体"/>
                      <w:color w:val="auto"/>
                      <w:kern w:val="0"/>
                      <w:sz w:val="21"/>
                      <w:szCs w:val="21"/>
                      <w:lang w:val="en-US" w:eastAsia="zh-CN"/>
                    </w:rPr>
                    <w:t>3000</w:t>
                  </w:r>
                </w:p>
              </w:tc>
              <w:tc>
                <w:tcPr>
                  <w:tcW w:w="516" w:type="pct"/>
                  <w:shd w:val="clear" w:color="auto" w:fill="auto"/>
                  <w:vAlign w:val="center"/>
                </w:tcPr>
                <w:p w14:paraId="2CD46961">
                  <w:pPr>
                    <w:spacing w:line="240" w:lineRule="auto"/>
                    <w:jc w:val="center"/>
                    <w:rPr>
                      <w:rFonts w:hint="eastAsia"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固态</w:t>
                  </w:r>
                </w:p>
              </w:tc>
              <w:tc>
                <w:tcPr>
                  <w:tcW w:w="830" w:type="pct"/>
                  <w:shd w:val="clear" w:color="auto" w:fill="auto"/>
                  <w:vAlign w:val="center"/>
                </w:tcPr>
                <w:p w14:paraId="4436D4CA">
                  <w:pPr>
                    <w:spacing w:line="240" w:lineRule="auto"/>
                    <w:jc w:val="center"/>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分拣</w:t>
                  </w:r>
                </w:p>
              </w:tc>
              <w:tc>
                <w:tcPr>
                  <w:tcW w:w="604" w:type="pct"/>
                  <w:shd w:val="clear" w:color="auto" w:fill="auto"/>
                  <w:vAlign w:val="center"/>
                </w:tcPr>
                <w:p w14:paraId="4E85E4C7">
                  <w:pPr>
                    <w:spacing w:line="240" w:lineRule="auto"/>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厂房</w:t>
                  </w:r>
                </w:p>
              </w:tc>
            </w:tr>
            <w:tr w14:paraId="7531F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372" w:type="pct"/>
                  <w:vAlign w:val="center"/>
                </w:tcPr>
                <w:p w14:paraId="6333E991">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10</w:t>
                  </w:r>
                </w:p>
              </w:tc>
              <w:tc>
                <w:tcPr>
                  <w:tcW w:w="1424" w:type="pct"/>
                  <w:shd w:val="clear" w:color="auto" w:fill="auto"/>
                  <w:vAlign w:val="center"/>
                </w:tcPr>
                <w:p w14:paraId="38AEC2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sz w:val="21"/>
                      <w:szCs w:val="21"/>
                      <w:highlight w:val="none"/>
                      <w:lang w:val="en-US" w:eastAsia="zh-CN"/>
                    </w:rPr>
                  </w:pPr>
                  <w:r>
                    <w:rPr>
                      <w:rFonts w:hint="eastAsia"/>
                      <w:color w:val="auto"/>
                      <w:sz w:val="21"/>
                      <w:szCs w:val="21"/>
                      <w:lang w:val="en-US" w:eastAsia="zh-CN"/>
                    </w:rPr>
                    <w:t>废橡胶</w:t>
                  </w:r>
                </w:p>
              </w:tc>
              <w:tc>
                <w:tcPr>
                  <w:tcW w:w="683" w:type="pct"/>
                  <w:shd w:val="clear" w:color="auto" w:fill="auto"/>
                  <w:vAlign w:val="center"/>
                </w:tcPr>
                <w:p w14:paraId="69EB7B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kern w:val="2"/>
                      <w:sz w:val="21"/>
                      <w:szCs w:val="21"/>
                      <w:highlight w:val="none"/>
                      <w:lang w:val="en-US" w:eastAsia="zh-CN" w:bidi="ar-SA"/>
                    </w:rPr>
                  </w:pPr>
                  <w:r>
                    <w:rPr>
                      <w:rFonts w:hint="eastAsia" w:eastAsia="宋体"/>
                      <w:color w:val="auto"/>
                      <w:kern w:val="0"/>
                      <w:sz w:val="21"/>
                      <w:szCs w:val="21"/>
                      <w:lang w:val="en-US" w:eastAsia="zh-CN"/>
                    </w:rPr>
                    <w:t>3000</w:t>
                  </w:r>
                </w:p>
              </w:tc>
              <w:tc>
                <w:tcPr>
                  <w:tcW w:w="567" w:type="pct"/>
                  <w:shd w:val="clear" w:color="auto" w:fill="auto"/>
                  <w:vAlign w:val="center"/>
                </w:tcPr>
                <w:p w14:paraId="2987F4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kern w:val="2"/>
                      <w:sz w:val="21"/>
                      <w:szCs w:val="21"/>
                      <w:highlight w:val="none"/>
                      <w:lang w:val="en-US" w:eastAsia="zh-CN" w:bidi="ar-SA"/>
                    </w:rPr>
                  </w:pPr>
                  <w:r>
                    <w:rPr>
                      <w:rFonts w:hint="eastAsia" w:eastAsia="宋体"/>
                      <w:color w:val="auto"/>
                      <w:kern w:val="0"/>
                      <w:sz w:val="21"/>
                      <w:szCs w:val="21"/>
                      <w:lang w:val="en-US" w:eastAsia="zh-CN"/>
                    </w:rPr>
                    <w:t>3000</w:t>
                  </w:r>
                </w:p>
              </w:tc>
              <w:tc>
                <w:tcPr>
                  <w:tcW w:w="516" w:type="pct"/>
                  <w:shd w:val="clear" w:color="auto" w:fill="auto"/>
                  <w:vAlign w:val="center"/>
                </w:tcPr>
                <w:p w14:paraId="19FE6103">
                  <w:pPr>
                    <w:spacing w:line="240" w:lineRule="auto"/>
                    <w:jc w:val="center"/>
                    <w:rPr>
                      <w:rFonts w:hint="eastAsia"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固态</w:t>
                  </w:r>
                </w:p>
              </w:tc>
              <w:tc>
                <w:tcPr>
                  <w:tcW w:w="830" w:type="pct"/>
                  <w:shd w:val="clear" w:color="auto" w:fill="auto"/>
                  <w:vAlign w:val="center"/>
                </w:tcPr>
                <w:p w14:paraId="784C60B3">
                  <w:pPr>
                    <w:spacing w:line="240" w:lineRule="auto"/>
                    <w:jc w:val="center"/>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分拣</w:t>
                  </w:r>
                </w:p>
              </w:tc>
              <w:tc>
                <w:tcPr>
                  <w:tcW w:w="604" w:type="pct"/>
                  <w:shd w:val="clear" w:color="auto" w:fill="auto"/>
                  <w:vAlign w:val="center"/>
                </w:tcPr>
                <w:p w14:paraId="4919B817">
                  <w:pPr>
                    <w:spacing w:line="240" w:lineRule="auto"/>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厂房</w:t>
                  </w:r>
                </w:p>
              </w:tc>
            </w:tr>
            <w:tr w14:paraId="548D6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372" w:type="pct"/>
                  <w:vAlign w:val="center"/>
                </w:tcPr>
                <w:p w14:paraId="0E8FC4B7">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11</w:t>
                  </w:r>
                </w:p>
              </w:tc>
              <w:tc>
                <w:tcPr>
                  <w:tcW w:w="1424" w:type="pct"/>
                  <w:shd w:val="clear" w:color="auto" w:fill="auto"/>
                  <w:vAlign w:val="center"/>
                </w:tcPr>
                <w:p w14:paraId="4790D5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sz w:val="21"/>
                      <w:szCs w:val="21"/>
                      <w:highlight w:val="none"/>
                      <w:lang w:val="en-US" w:eastAsia="zh-CN"/>
                    </w:rPr>
                  </w:pPr>
                  <w:r>
                    <w:rPr>
                      <w:rFonts w:hint="eastAsia"/>
                      <w:color w:val="auto"/>
                      <w:sz w:val="21"/>
                      <w:szCs w:val="21"/>
                      <w:lang w:val="en-US" w:eastAsia="zh-CN"/>
                    </w:rPr>
                    <w:t>废纺织品</w:t>
                  </w:r>
                </w:p>
              </w:tc>
              <w:tc>
                <w:tcPr>
                  <w:tcW w:w="683" w:type="pct"/>
                  <w:shd w:val="clear" w:color="auto" w:fill="auto"/>
                  <w:vAlign w:val="center"/>
                </w:tcPr>
                <w:p w14:paraId="7B4CAC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kern w:val="2"/>
                      <w:sz w:val="21"/>
                      <w:szCs w:val="21"/>
                      <w:highlight w:val="none"/>
                      <w:lang w:val="en-US" w:eastAsia="zh-CN" w:bidi="ar-SA"/>
                    </w:rPr>
                  </w:pPr>
                  <w:r>
                    <w:rPr>
                      <w:rFonts w:hint="eastAsia" w:eastAsia="宋体"/>
                      <w:color w:val="auto"/>
                      <w:kern w:val="0"/>
                      <w:sz w:val="21"/>
                      <w:szCs w:val="21"/>
                      <w:lang w:val="en-US" w:eastAsia="zh-CN"/>
                    </w:rPr>
                    <w:t>2000</w:t>
                  </w:r>
                </w:p>
              </w:tc>
              <w:tc>
                <w:tcPr>
                  <w:tcW w:w="567" w:type="pct"/>
                  <w:shd w:val="clear" w:color="auto" w:fill="auto"/>
                  <w:vAlign w:val="center"/>
                </w:tcPr>
                <w:p w14:paraId="0B46BD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kern w:val="2"/>
                      <w:sz w:val="21"/>
                      <w:szCs w:val="21"/>
                      <w:highlight w:val="none"/>
                      <w:lang w:val="en-US" w:eastAsia="zh-CN" w:bidi="ar-SA"/>
                    </w:rPr>
                  </w:pPr>
                  <w:r>
                    <w:rPr>
                      <w:rFonts w:hint="eastAsia" w:eastAsia="宋体"/>
                      <w:color w:val="auto"/>
                      <w:kern w:val="0"/>
                      <w:sz w:val="21"/>
                      <w:szCs w:val="21"/>
                      <w:lang w:val="en-US" w:eastAsia="zh-CN"/>
                    </w:rPr>
                    <w:t>2000</w:t>
                  </w:r>
                </w:p>
              </w:tc>
              <w:tc>
                <w:tcPr>
                  <w:tcW w:w="516" w:type="pct"/>
                  <w:shd w:val="clear" w:color="auto" w:fill="auto"/>
                  <w:vAlign w:val="center"/>
                </w:tcPr>
                <w:p w14:paraId="43BDD957">
                  <w:pPr>
                    <w:spacing w:line="240" w:lineRule="auto"/>
                    <w:jc w:val="center"/>
                    <w:rPr>
                      <w:rFonts w:hint="eastAsia"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固态</w:t>
                  </w:r>
                </w:p>
              </w:tc>
              <w:tc>
                <w:tcPr>
                  <w:tcW w:w="830" w:type="pct"/>
                  <w:shd w:val="clear" w:color="auto" w:fill="auto"/>
                  <w:vAlign w:val="center"/>
                </w:tcPr>
                <w:p w14:paraId="6BB80AAF">
                  <w:pPr>
                    <w:spacing w:line="240" w:lineRule="auto"/>
                    <w:jc w:val="center"/>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分拣</w:t>
                  </w:r>
                </w:p>
              </w:tc>
              <w:tc>
                <w:tcPr>
                  <w:tcW w:w="604" w:type="pct"/>
                  <w:shd w:val="clear" w:color="auto" w:fill="auto"/>
                  <w:vAlign w:val="center"/>
                </w:tcPr>
                <w:p w14:paraId="0CF93851">
                  <w:pPr>
                    <w:spacing w:line="240" w:lineRule="auto"/>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厂房</w:t>
                  </w:r>
                </w:p>
              </w:tc>
            </w:tr>
            <w:tr w14:paraId="56239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372" w:type="pct"/>
                  <w:vAlign w:val="center"/>
                </w:tcPr>
                <w:p w14:paraId="40C9805D">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12</w:t>
                  </w:r>
                </w:p>
              </w:tc>
              <w:tc>
                <w:tcPr>
                  <w:tcW w:w="1424" w:type="pct"/>
                  <w:shd w:val="clear" w:color="auto" w:fill="auto"/>
                  <w:vAlign w:val="center"/>
                </w:tcPr>
                <w:p w14:paraId="683472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sz w:val="21"/>
                      <w:szCs w:val="21"/>
                      <w:highlight w:val="none"/>
                      <w:lang w:val="en-US" w:eastAsia="zh-CN"/>
                    </w:rPr>
                  </w:pPr>
                  <w:r>
                    <w:rPr>
                      <w:rFonts w:hint="eastAsia"/>
                      <w:color w:val="auto"/>
                      <w:sz w:val="21"/>
                      <w:szCs w:val="21"/>
                      <w:lang w:val="en-US" w:eastAsia="zh-CN"/>
                    </w:rPr>
                    <w:t>废木材</w:t>
                  </w:r>
                </w:p>
              </w:tc>
              <w:tc>
                <w:tcPr>
                  <w:tcW w:w="683" w:type="pct"/>
                  <w:shd w:val="clear" w:color="auto" w:fill="auto"/>
                  <w:vAlign w:val="center"/>
                </w:tcPr>
                <w:p w14:paraId="472697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kern w:val="2"/>
                      <w:sz w:val="21"/>
                      <w:szCs w:val="21"/>
                      <w:highlight w:val="none"/>
                      <w:lang w:val="en-US" w:eastAsia="zh-CN" w:bidi="ar-SA"/>
                    </w:rPr>
                  </w:pPr>
                  <w:r>
                    <w:rPr>
                      <w:rFonts w:hint="eastAsia" w:eastAsia="宋体"/>
                      <w:color w:val="auto"/>
                      <w:kern w:val="0"/>
                      <w:sz w:val="21"/>
                      <w:szCs w:val="21"/>
                      <w:lang w:val="en-US" w:eastAsia="zh-CN"/>
                    </w:rPr>
                    <w:t>1000</w:t>
                  </w:r>
                </w:p>
              </w:tc>
              <w:tc>
                <w:tcPr>
                  <w:tcW w:w="567" w:type="pct"/>
                  <w:shd w:val="clear" w:color="auto" w:fill="auto"/>
                  <w:vAlign w:val="center"/>
                </w:tcPr>
                <w:p w14:paraId="543398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kern w:val="2"/>
                      <w:sz w:val="21"/>
                      <w:szCs w:val="21"/>
                      <w:highlight w:val="none"/>
                      <w:lang w:val="en-US" w:eastAsia="zh-CN" w:bidi="ar-SA"/>
                    </w:rPr>
                  </w:pPr>
                  <w:r>
                    <w:rPr>
                      <w:rFonts w:hint="eastAsia" w:eastAsia="宋体"/>
                      <w:color w:val="auto"/>
                      <w:kern w:val="0"/>
                      <w:sz w:val="21"/>
                      <w:szCs w:val="21"/>
                      <w:lang w:val="en-US" w:eastAsia="zh-CN"/>
                    </w:rPr>
                    <w:t>1000</w:t>
                  </w:r>
                </w:p>
              </w:tc>
              <w:tc>
                <w:tcPr>
                  <w:tcW w:w="516" w:type="pct"/>
                  <w:shd w:val="clear" w:color="auto" w:fill="auto"/>
                  <w:vAlign w:val="center"/>
                </w:tcPr>
                <w:p w14:paraId="5EB0ED72">
                  <w:pPr>
                    <w:spacing w:line="240" w:lineRule="auto"/>
                    <w:jc w:val="center"/>
                    <w:rPr>
                      <w:rFonts w:hint="eastAsia"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固态</w:t>
                  </w:r>
                </w:p>
              </w:tc>
              <w:tc>
                <w:tcPr>
                  <w:tcW w:w="830" w:type="pct"/>
                  <w:shd w:val="clear" w:color="auto" w:fill="auto"/>
                  <w:vAlign w:val="center"/>
                </w:tcPr>
                <w:p w14:paraId="0D5C086B">
                  <w:pPr>
                    <w:spacing w:line="240" w:lineRule="auto"/>
                    <w:jc w:val="center"/>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分拣</w:t>
                  </w:r>
                </w:p>
              </w:tc>
              <w:tc>
                <w:tcPr>
                  <w:tcW w:w="604" w:type="pct"/>
                  <w:shd w:val="clear" w:color="auto" w:fill="auto"/>
                  <w:vAlign w:val="center"/>
                </w:tcPr>
                <w:p w14:paraId="2FB49BCA">
                  <w:pPr>
                    <w:spacing w:line="240" w:lineRule="auto"/>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厂房</w:t>
                  </w:r>
                </w:p>
              </w:tc>
            </w:tr>
            <w:tr w14:paraId="086E8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372" w:type="pct"/>
                  <w:vAlign w:val="center"/>
                </w:tcPr>
                <w:p w14:paraId="029C3ED3">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13</w:t>
                  </w:r>
                </w:p>
              </w:tc>
              <w:tc>
                <w:tcPr>
                  <w:tcW w:w="1424" w:type="pct"/>
                  <w:shd w:val="clear" w:color="auto" w:fill="auto"/>
                  <w:vAlign w:val="center"/>
                </w:tcPr>
                <w:p w14:paraId="50E5A5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sz w:val="21"/>
                      <w:szCs w:val="21"/>
                      <w:highlight w:val="none"/>
                      <w:lang w:val="en-US" w:eastAsia="zh-CN"/>
                    </w:rPr>
                  </w:pPr>
                  <w:r>
                    <w:rPr>
                      <w:rFonts w:hint="eastAsia"/>
                      <w:color w:val="auto"/>
                      <w:sz w:val="21"/>
                      <w:szCs w:val="21"/>
                      <w:lang w:val="en-US" w:eastAsia="zh-CN"/>
                    </w:rPr>
                    <w:t>其他固体废物</w:t>
                  </w:r>
                </w:p>
              </w:tc>
              <w:tc>
                <w:tcPr>
                  <w:tcW w:w="683" w:type="pct"/>
                  <w:shd w:val="clear" w:color="auto" w:fill="auto"/>
                  <w:vAlign w:val="center"/>
                </w:tcPr>
                <w:p w14:paraId="56BEEF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kern w:val="2"/>
                      <w:sz w:val="21"/>
                      <w:szCs w:val="21"/>
                      <w:highlight w:val="none"/>
                      <w:lang w:val="en-US" w:eastAsia="zh-CN" w:bidi="ar-SA"/>
                    </w:rPr>
                  </w:pPr>
                  <w:r>
                    <w:rPr>
                      <w:rFonts w:hint="eastAsia"/>
                      <w:color w:val="auto"/>
                      <w:kern w:val="0"/>
                      <w:sz w:val="21"/>
                      <w:szCs w:val="21"/>
                      <w:lang w:val="en-US" w:eastAsia="zh-CN"/>
                    </w:rPr>
                    <w:t>57000</w:t>
                  </w:r>
                </w:p>
              </w:tc>
              <w:tc>
                <w:tcPr>
                  <w:tcW w:w="567" w:type="pct"/>
                  <w:shd w:val="clear" w:color="auto" w:fill="auto"/>
                  <w:vAlign w:val="center"/>
                </w:tcPr>
                <w:p w14:paraId="4BF2AE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kern w:val="2"/>
                      <w:sz w:val="21"/>
                      <w:szCs w:val="21"/>
                      <w:highlight w:val="none"/>
                      <w:lang w:val="en-US" w:eastAsia="zh-CN" w:bidi="ar-SA"/>
                    </w:rPr>
                  </w:pPr>
                  <w:r>
                    <w:rPr>
                      <w:rFonts w:hint="eastAsia" w:eastAsia="宋体"/>
                      <w:color w:val="auto"/>
                      <w:kern w:val="0"/>
                      <w:sz w:val="21"/>
                      <w:szCs w:val="21"/>
                      <w:lang w:val="en-US" w:eastAsia="zh-CN"/>
                    </w:rPr>
                    <w:t>5</w:t>
                  </w:r>
                  <w:r>
                    <w:rPr>
                      <w:rFonts w:hint="eastAsia"/>
                      <w:color w:val="auto"/>
                      <w:kern w:val="0"/>
                      <w:sz w:val="21"/>
                      <w:szCs w:val="21"/>
                      <w:lang w:val="en-US" w:eastAsia="zh-CN"/>
                    </w:rPr>
                    <w:t>70</w:t>
                  </w:r>
                  <w:r>
                    <w:rPr>
                      <w:rFonts w:hint="eastAsia" w:eastAsia="宋体"/>
                      <w:color w:val="auto"/>
                      <w:kern w:val="0"/>
                      <w:sz w:val="21"/>
                      <w:szCs w:val="21"/>
                      <w:lang w:val="en-US" w:eastAsia="zh-CN"/>
                    </w:rPr>
                    <w:t>00</w:t>
                  </w:r>
                </w:p>
              </w:tc>
              <w:tc>
                <w:tcPr>
                  <w:tcW w:w="516" w:type="pct"/>
                  <w:shd w:val="clear" w:color="auto" w:fill="auto"/>
                  <w:vAlign w:val="center"/>
                </w:tcPr>
                <w:p w14:paraId="20C07466">
                  <w:pPr>
                    <w:spacing w:line="240" w:lineRule="auto"/>
                    <w:jc w:val="center"/>
                    <w:rPr>
                      <w:rFonts w:hint="eastAsia"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固态</w:t>
                  </w:r>
                </w:p>
              </w:tc>
              <w:tc>
                <w:tcPr>
                  <w:tcW w:w="830" w:type="pct"/>
                  <w:shd w:val="clear" w:color="auto" w:fill="auto"/>
                  <w:vAlign w:val="center"/>
                </w:tcPr>
                <w:p w14:paraId="06A076F2">
                  <w:pPr>
                    <w:spacing w:line="240" w:lineRule="auto"/>
                    <w:jc w:val="center"/>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分拣</w:t>
                  </w:r>
                </w:p>
              </w:tc>
              <w:tc>
                <w:tcPr>
                  <w:tcW w:w="604" w:type="pct"/>
                  <w:shd w:val="clear" w:color="auto" w:fill="auto"/>
                  <w:vAlign w:val="center"/>
                </w:tcPr>
                <w:p w14:paraId="2A253C6F">
                  <w:pPr>
                    <w:spacing w:line="240" w:lineRule="auto"/>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厂房</w:t>
                  </w:r>
                </w:p>
              </w:tc>
            </w:tr>
            <w:tr w14:paraId="50C9B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5000" w:type="pct"/>
                  <w:gridSpan w:val="7"/>
                  <w:vAlign w:val="center"/>
                </w:tcPr>
                <w:p w14:paraId="7E39F854">
                  <w:pPr>
                    <w:spacing w:line="240" w:lineRule="auto"/>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注：包装材料随可再生利用固废外售，不单独产生固体废物</w:t>
                  </w:r>
                </w:p>
              </w:tc>
            </w:tr>
          </w:tbl>
          <w:p w14:paraId="43CE9780">
            <w:pPr>
              <w:pStyle w:val="10"/>
              <w:numPr>
                <w:ilvl w:val="3"/>
                <w:numId w:val="0"/>
              </w:numPr>
              <w:ind w:left="-960" w:firstLine="1440"/>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t>4、</w:t>
            </w:r>
            <w:r>
              <w:rPr>
                <w:rFonts w:hint="default" w:ascii="Times New Roman" w:hAnsi="Times New Roman" w:cs="Times New Roman"/>
                <w:color w:val="auto"/>
                <w:highlight w:val="none"/>
              </w:rPr>
              <w:t>生产设备</w:t>
            </w:r>
          </w:p>
          <w:p w14:paraId="7B141D02">
            <w:pPr>
              <w:pStyle w:val="21"/>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本项目生产设备见下表。</w:t>
            </w:r>
          </w:p>
          <w:p w14:paraId="097C1956">
            <w:pPr>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rPr>
              <w:fldChar w:fldCharType="begin"/>
            </w:r>
            <w:r>
              <w:rPr>
                <w:rFonts w:hint="default" w:ascii="Times New Roman" w:hAnsi="Times New Roman" w:cs="Times New Roman"/>
                <w:b/>
                <w:bCs/>
                <w:color w:val="auto"/>
                <w:sz w:val="21"/>
                <w:szCs w:val="21"/>
                <w:highlight w:val="none"/>
              </w:rPr>
              <w:instrText xml:space="preserve"> STYLEREF 1 \s </w:instrText>
            </w:r>
            <w:r>
              <w:rPr>
                <w:rFonts w:hint="default" w:ascii="Times New Roman" w:hAnsi="Times New Roman" w:cs="Times New Roman"/>
                <w:b/>
                <w:bCs/>
                <w:color w:val="auto"/>
                <w:sz w:val="21"/>
                <w:szCs w:val="21"/>
                <w:highlight w:val="none"/>
              </w:rPr>
              <w:fldChar w:fldCharType="separate"/>
            </w:r>
            <w:r>
              <w:rPr>
                <w:rFonts w:hint="default" w:ascii="Times New Roman" w:hAnsi="Times New Roman" w:cs="Times New Roman"/>
                <w:b/>
                <w:bCs/>
                <w:color w:val="auto"/>
                <w:sz w:val="21"/>
                <w:szCs w:val="21"/>
                <w:highlight w:val="none"/>
              </w:rPr>
              <w:t>2</w:t>
            </w:r>
            <w:r>
              <w:rPr>
                <w:rFonts w:hint="default" w:ascii="Times New Roman" w:hAnsi="Times New Roman" w:cs="Times New Roman"/>
                <w:b/>
                <w:bCs/>
                <w:color w:val="auto"/>
                <w:sz w:val="21"/>
                <w:szCs w:val="21"/>
                <w:highlight w:val="none"/>
              </w:rPr>
              <w:fldChar w:fldCharType="end"/>
            </w:r>
            <w:r>
              <w:rPr>
                <w:rFonts w:hint="default" w:ascii="Times New Roman" w:hAnsi="Times New Roman" w:cs="Times New Roman"/>
                <w:b/>
                <w:bCs/>
                <w:color w:val="auto"/>
                <w:sz w:val="21"/>
                <w:szCs w:val="21"/>
                <w:highlight w:val="none"/>
              </w:rPr>
              <w:t>-</w:t>
            </w:r>
            <w:r>
              <w:rPr>
                <w:rFonts w:hint="default" w:ascii="Times New Roman" w:hAnsi="Times New Roman" w:cs="Times New Roman"/>
                <w:b/>
                <w:bCs/>
                <w:color w:val="auto"/>
                <w:sz w:val="21"/>
                <w:szCs w:val="21"/>
                <w:highlight w:val="none"/>
                <w:lang w:val="en-US" w:eastAsia="zh-CN"/>
              </w:rPr>
              <w:t>5</w:t>
            </w:r>
            <w:r>
              <w:rPr>
                <w:rFonts w:hint="default" w:ascii="Times New Roman" w:hAnsi="Times New Roman" w:cs="Times New Roman"/>
                <w:b/>
                <w:bCs/>
                <w:color w:val="auto"/>
                <w:sz w:val="21"/>
                <w:szCs w:val="21"/>
                <w:highlight w:val="none"/>
              </w:rPr>
              <w:t>生产设备一览表</w:t>
            </w:r>
          </w:p>
          <w:tbl>
            <w:tblPr>
              <w:tblStyle w:val="4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1207"/>
              <w:gridCol w:w="2408"/>
              <w:gridCol w:w="907"/>
              <w:gridCol w:w="907"/>
              <w:gridCol w:w="1507"/>
            </w:tblGrid>
            <w:tr w14:paraId="7E749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pct"/>
                </w:tcPr>
                <w:p w14:paraId="44615D04">
                  <w:pPr>
                    <w:pStyle w:val="19"/>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序号</w:t>
                  </w:r>
                </w:p>
              </w:tc>
              <w:tc>
                <w:tcPr>
                  <w:tcW w:w="769" w:type="pct"/>
                </w:tcPr>
                <w:p w14:paraId="5AAFE5EA">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生产线</w:t>
                  </w:r>
                </w:p>
              </w:tc>
              <w:tc>
                <w:tcPr>
                  <w:tcW w:w="1534" w:type="pct"/>
                </w:tcPr>
                <w:p w14:paraId="3C9321E0">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设备名称</w:t>
                  </w:r>
                </w:p>
              </w:tc>
              <w:tc>
                <w:tcPr>
                  <w:tcW w:w="578" w:type="pct"/>
                </w:tcPr>
                <w:p w14:paraId="6BA9851B">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数量</w:t>
                  </w:r>
                </w:p>
              </w:tc>
              <w:tc>
                <w:tcPr>
                  <w:tcW w:w="578" w:type="pct"/>
                </w:tcPr>
                <w:p w14:paraId="0CFD4BDA">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型号</w:t>
                  </w:r>
                </w:p>
              </w:tc>
              <w:tc>
                <w:tcPr>
                  <w:tcW w:w="960" w:type="pct"/>
                </w:tcPr>
                <w:p w14:paraId="5782E298">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摆放位置</w:t>
                  </w:r>
                </w:p>
              </w:tc>
            </w:tr>
            <w:tr w14:paraId="23AC1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pct"/>
                </w:tcPr>
                <w:p w14:paraId="52CAC0B3">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1</w:t>
                  </w:r>
                </w:p>
              </w:tc>
              <w:tc>
                <w:tcPr>
                  <w:tcW w:w="769" w:type="pct"/>
                  <w:vAlign w:val="center"/>
                </w:tcPr>
                <w:p w14:paraId="01353418">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auto"/>
                      <w:sz w:val="21"/>
                      <w:szCs w:val="21"/>
                      <w:highlight w:val="none"/>
                      <w:vertAlign w:val="baseline"/>
                      <w:lang w:val="en-US" w:eastAsia="zh-CN"/>
                    </w:rPr>
                  </w:pPr>
                  <w:r>
                    <w:rPr>
                      <w:rFonts w:hint="eastAsia"/>
                      <w:color w:val="auto"/>
                      <w:kern w:val="0"/>
                      <w:sz w:val="21"/>
                      <w:szCs w:val="21"/>
                      <w:lang w:val="en-US" w:eastAsia="zh-CN"/>
                    </w:rPr>
                    <w:t>压实</w:t>
                  </w:r>
                </w:p>
              </w:tc>
              <w:tc>
                <w:tcPr>
                  <w:tcW w:w="1534" w:type="pct"/>
                  <w:vAlign w:val="center"/>
                </w:tcPr>
                <w:p w14:paraId="12F6700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auto"/>
                      <w:sz w:val="21"/>
                      <w:szCs w:val="21"/>
                      <w:highlight w:val="none"/>
                      <w:vertAlign w:val="baseline"/>
                      <w:lang w:val="en-US" w:eastAsia="zh-CN"/>
                    </w:rPr>
                  </w:pPr>
                  <w:r>
                    <w:rPr>
                      <w:rFonts w:hint="eastAsia"/>
                      <w:color w:val="auto"/>
                      <w:kern w:val="0"/>
                      <w:sz w:val="21"/>
                      <w:szCs w:val="21"/>
                      <w:lang w:val="en-US" w:eastAsia="zh-CN"/>
                    </w:rPr>
                    <w:t>立式液压打包机</w:t>
                  </w:r>
                </w:p>
              </w:tc>
              <w:tc>
                <w:tcPr>
                  <w:tcW w:w="578" w:type="pct"/>
                  <w:vAlign w:val="center"/>
                </w:tcPr>
                <w:p w14:paraId="2089B82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1</w:t>
                  </w:r>
                </w:p>
              </w:tc>
              <w:tc>
                <w:tcPr>
                  <w:tcW w:w="578" w:type="pct"/>
                  <w:vAlign w:val="center"/>
                </w:tcPr>
                <w:p w14:paraId="429DB8E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auto"/>
                      <w:sz w:val="21"/>
                      <w:szCs w:val="21"/>
                      <w:highlight w:val="none"/>
                      <w:vertAlign w:val="baseline"/>
                      <w:lang w:val="en-US" w:eastAsia="zh-CN"/>
                    </w:rPr>
                  </w:pPr>
                  <w:r>
                    <w:rPr>
                      <w:rFonts w:hint="eastAsia"/>
                      <w:color w:val="auto"/>
                      <w:kern w:val="0"/>
                      <w:sz w:val="21"/>
                      <w:szCs w:val="21"/>
                      <w:lang w:val="en-US" w:eastAsia="zh-CN"/>
                    </w:rPr>
                    <w:t>80T</w:t>
                  </w:r>
                </w:p>
              </w:tc>
              <w:tc>
                <w:tcPr>
                  <w:tcW w:w="960" w:type="pct"/>
                </w:tcPr>
                <w:p w14:paraId="4BBF64B0">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厂房</w:t>
                  </w:r>
                </w:p>
              </w:tc>
            </w:tr>
            <w:tr w14:paraId="5F01D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pct"/>
                </w:tcPr>
                <w:p w14:paraId="24FEADCF">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2</w:t>
                  </w:r>
                </w:p>
              </w:tc>
              <w:tc>
                <w:tcPr>
                  <w:tcW w:w="769" w:type="pct"/>
                  <w:vAlign w:val="center"/>
                </w:tcPr>
                <w:p w14:paraId="63366188">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auto"/>
                      <w:kern w:val="0"/>
                      <w:sz w:val="21"/>
                      <w:szCs w:val="21"/>
                      <w:lang w:val="en-US" w:eastAsia="zh-CN"/>
                    </w:rPr>
                  </w:pPr>
                  <w:r>
                    <w:rPr>
                      <w:rFonts w:hint="eastAsia"/>
                      <w:color w:val="auto"/>
                      <w:kern w:val="0"/>
                      <w:sz w:val="21"/>
                      <w:szCs w:val="21"/>
                      <w:lang w:val="en-US" w:eastAsia="zh-CN"/>
                    </w:rPr>
                    <w:t>分拣</w:t>
                  </w:r>
                </w:p>
              </w:tc>
              <w:tc>
                <w:tcPr>
                  <w:tcW w:w="1534" w:type="pct"/>
                  <w:vAlign w:val="center"/>
                </w:tcPr>
                <w:p w14:paraId="235CCD2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olor w:val="auto"/>
                      <w:kern w:val="0"/>
                      <w:sz w:val="21"/>
                      <w:szCs w:val="21"/>
                      <w:lang w:val="en-US" w:eastAsia="zh-CN"/>
                    </w:rPr>
                  </w:pPr>
                  <w:r>
                    <w:rPr>
                      <w:rFonts w:hint="eastAsia"/>
                      <w:color w:val="auto"/>
                      <w:kern w:val="0"/>
                      <w:sz w:val="21"/>
                      <w:szCs w:val="21"/>
                      <w:lang w:val="en-US" w:eastAsia="zh-CN"/>
                    </w:rPr>
                    <w:t>人工分拣线</w:t>
                  </w:r>
                </w:p>
              </w:tc>
              <w:tc>
                <w:tcPr>
                  <w:tcW w:w="578" w:type="pct"/>
                  <w:vAlign w:val="center"/>
                </w:tcPr>
                <w:p w14:paraId="01B85C6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1</w:t>
                  </w:r>
                </w:p>
              </w:tc>
              <w:tc>
                <w:tcPr>
                  <w:tcW w:w="578" w:type="pct"/>
                  <w:vAlign w:val="center"/>
                </w:tcPr>
                <w:p w14:paraId="34ACF3B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olor w:val="auto"/>
                      <w:kern w:val="0"/>
                      <w:sz w:val="21"/>
                      <w:szCs w:val="21"/>
                      <w:lang w:val="en-US" w:eastAsia="zh-CN"/>
                    </w:rPr>
                  </w:pPr>
                  <w:r>
                    <w:rPr>
                      <w:rFonts w:hint="eastAsia"/>
                      <w:color w:val="auto"/>
                      <w:kern w:val="0"/>
                      <w:sz w:val="21"/>
                      <w:szCs w:val="21"/>
                      <w:lang w:val="en-US" w:eastAsia="zh-CN"/>
                    </w:rPr>
                    <w:t>/.</w:t>
                  </w:r>
                </w:p>
              </w:tc>
              <w:tc>
                <w:tcPr>
                  <w:tcW w:w="960" w:type="pct"/>
                </w:tcPr>
                <w:p w14:paraId="43E87A05">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厂房</w:t>
                  </w:r>
                </w:p>
              </w:tc>
            </w:tr>
          </w:tbl>
          <w:p w14:paraId="6B53B75D">
            <w:pPr>
              <w:pStyle w:val="10"/>
              <w:numPr>
                <w:ilvl w:val="3"/>
                <w:numId w:val="0"/>
              </w:numPr>
              <w:rPr>
                <w:rFonts w:hint="default" w:ascii="Times New Roman" w:hAnsi="Times New Roman" w:eastAsia="宋体" w:cs="Times New Roman"/>
                <w:color w:val="auto"/>
                <w:sz w:val="24"/>
                <w:szCs w:val="24"/>
                <w:highlight w:val="none"/>
              </w:rPr>
            </w:pPr>
          </w:p>
          <w:p w14:paraId="1E572232">
            <w:pPr>
              <w:pStyle w:val="10"/>
              <w:numPr>
                <w:ilvl w:val="3"/>
                <w:numId w:val="0"/>
              </w:numPr>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sz w:val="24"/>
                <w:szCs w:val="24"/>
                <w:highlight w:val="none"/>
              </w:rPr>
              <w:t>5、</w:t>
            </w:r>
            <w:r>
              <w:rPr>
                <w:rFonts w:hint="default" w:ascii="Times New Roman" w:hAnsi="Times New Roman" w:eastAsia="宋体" w:cs="Times New Roman"/>
                <w:color w:val="auto"/>
                <w:highlight w:val="none"/>
              </w:rPr>
              <w:t>劳动定员和工作制度</w:t>
            </w:r>
          </w:p>
          <w:p w14:paraId="38DF119E">
            <w:pPr>
              <w:pStyle w:val="17"/>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表</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STYLEREF 1 \s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2</w:t>
            </w:r>
            <w:r>
              <w:rPr>
                <w:rFonts w:hint="default" w:ascii="Times New Roman" w:hAnsi="Times New Roman" w:cs="Times New Roman"/>
                <w:color w:val="auto"/>
                <w:highlight w:val="none"/>
              </w:rPr>
              <w:fldChar w:fldCharType="end"/>
            </w:r>
            <w:r>
              <w:rPr>
                <w:rFonts w:hint="default" w:ascii="Times New Roman" w:hAnsi="Times New Roman" w:cs="Times New Roman"/>
                <w:color w:val="auto"/>
                <w:highlight w:val="none"/>
              </w:rPr>
              <w:t>-</w:t>
            </w:r>
            <w:r>
              <w:rPr>
                <w:rFonts w:hint="eastAsia" w:cs="Times New Roman"/>
                <w:color w:val="auto"/>
                <w:highlight w:val="none"/>
                <w:lang w:val="en-US" w:eastAsia="zh-CN"/>
              </w:rPr>
              <w:t>6</w:t>
            </w:r>
            <w:r>
              <w:rPr>
                <w:rStyle w:val="62"/>
                <w:rFonts w:hint="default" w:ascii="Times New Roman" w:hAnsi="Times New Roman" w:cs="Times New Roman"/>
                <w:b/>
                <w:bCs/>
                <w:color w:val="auto"/>
                <w:highlight w:val="none"/>
              </w:rPr>
              <w:t>劳</w:t>
            </w:r>
            <w:r>
              <w:rPr>
                <w:rFonts w:hint="default" w:ascii="Times New Roman" w:hAnsi="Times New Roman" w:cs="Times New Roman"/>
                <w:color w:val="auto"/>
                <w:highlight w:val="none"/>
              </w:rPr>
              <w:t>动定员与工作制度一览表</w:t>
            </w:r>
          </w:p>
          <w:tbl>
            <w:tblPr>
              <w:tblStyle w:val="44"/>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92"/>
              <w:gridCol w:w="2613"/>
              <w:gridCol w:w="1249"/>
              <w:gridCol w:w="2691"/>
            </w:tblGrid>
            <w:tr w14:paraId="112EE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823" w:type="pct"/>
                  <w:vAlign w:val="center"/>
                </w:tcPr>
                <w:p w14:paraId="7759E5E1">
                  <w:pPr>
                    <w:pStyle w:val="61"/>
                    <w:rPr>
                      <w:rFonts w:hint="default" w:ascii="Times New Roman" w:hAnsi="Times New Roman" w:eastAsia="宋体" w:cs="Times New Roman"/>
                      <w:b/>
                      <w:bCs/>
                      <w:color w:val="auto"/>
                      <w:highlight w:val="none"/>
                      <w:lang w:eastAsia="zh-CN"/>
                    </w:rPr>
                  </w:pPr>
                  <w:r>
                    <w:rPr>
                      <w:rFonts w:hint="default" w:ascii="Times New Roman" w:hAnsi="Times New Roman" w:cs="Times New Roman"/>
                      <w:b/>
                      <w:bCs/>
                      <w:color w:val="auto"/>
                      <w:highlight w:val="none"/>
                      <w:lang w:val="en-US" w:eastAsia="zh-CN"/>
                    </w:rPr>
                    <w:t>项目</w:t>
                  </w:r>
                </w:p>
              </w:tc>
              <w:tc>
                <w:tcPr>
                  <w:tcW w:w="1665" w:type="pct"/>
                  <w:vAlign w:val="center"/>
                </w:tcPr>
                <w:p w14:paraId="4A8D356B">
                  <w:pPr>
                    <w:pStyle w:val="61"/>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内容</w:t>
                  </w:r>
                </w:p>
              </w:tc>
              <w:tc>
                <w:tcPr>
                  <w:tcW w:w="796" w:type="pct"/>
                  <w:vAlign w:val="center"/>
                </w:tcPr>
                <w:p w14:paraId="652C3634">
                  <w:pPr>
                    <w:pStyle w:val="61"/>
                    <w:rPr>
                      <w:rFonts w:hint="default" w:ascii="Times New Roman" w:hAnsi="Times New Roman" w:eastAsia="宋体" w:cs="Times New Roman"/>
                      <w:b/>
                      <w:bCs/>
                      <w:color w:val="auto"/>
                      <w:highlight w:val="none"/>
                      <w:lang w:eastAsia="zh-CN"/>
                    </w:rPr>
                  </w:pPr>
                  <w:r>
                    <w:rPr>
                      <w:rFonts w:hint="default" w:ascii="Times New Roman" w:hAnsi="Times New Roman" w:cs="Times New Roman"/>
                      <w:b/>
                      <w:bCs/>
                      <w:color w:val="auto"/>
                      <w:highlight w:val="none"/>
                      <w:lang w:val="en-US" w:eastAsia="zh-CN"/>
                    </w:rPr>
                    <w:t>项目</w:t>
                  </w:r>
                </w:p>
              </w:tc>
              <w:tc>
                <w:tcPr>
                  <w:tcW w:w="1714" w:type="pct"/>
                  <w:vAlign w:val="center"/>
                </w:tcPr>
                <w:p w14:paraId="31A25DD8">
                  <w:pPr>
                    <w:pStyle w:val="61"/>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内容</w:t>
                  </w:r>
                </w:p>
              </w:tc>
            </w:tr>
            <w:tr w14:paraId="28FB3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823" w:type="pct"/>
                  <w:vAlign w:val="center"/>
                </w:tcPr>
                <w:p w14:paraId="61F8530D">
                  <w:pPr>
                    <w:pStyle w:val="61"/>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劳动定员</w:t>
                  </w:r>
                </w:p>
              </w:tc>
              <w:tc>
                <w:tcPr>
                  <w:tcW w:w="1665" w:type="pct"/>
                  <w:vAlign w:val="center"/>
                </w:tcPr>
                <w:p w14:paraId="5407D73D">
                  <w:pPr>
                    <w:pStyle w:val="61"/>
                    <w:spacing w:line="360" w:lineRule="auto"/>
                    <w:rPr>
                      <w:rFonts w:hint="default" w:ascii="Times New Roman" w:hAnsi="Times New Roman" w:eastAsia="宋体" w:cs="Times New Roman"/>
                      <w:color w:val="auto"/>
                      <w:highlight w:val="none"/>
                      <w:lang w:eastAsia="zh-CN"/>
                    </w:rPr>
                  </w:pPr>
                  <w:r>
                    <w:rPr>
                      <w:rFonts w:hint="eastAsia" w:cs="Times New Roman"/>
                      <w:color w:val="auto"/>
                      <w:sz w:val="21"/>
                      <w:szCs w:val="21"/>
                      <w:highlight w:val="none"/>
                      <w:lang w:val="en-US" w:eastAsia="zh-CN"/>
                    </w:rPr>
                    <w:t>2</w:t>
                  </w:r>
                  <w:r>
                    <w:rPr>
                      <w:rFonts w:hint="default" w:ascii="Times New Roman" w:hAnsi="Times New Roman" w:cs="Times New Roman"/>
                      <w:color w:val="auto"/>
                      <w:sz w:val="21"/>
                      <w:szCs w:val="21"/>
                      <w:highlight w:val="none"/>
                      <w:lang w:eastAsia="zh-CN"/>
                    </w:rPr>
                    <w:t>人</w:t>
                  </w:r>
                </w:p>
              </w:tc>
              <w:tc>
                <w:tcPr>
                  <w:tcW w:w="796" w:type="pct"/>
                  <w:vAlign w:val="center"/>
                </w:tcPr>
                <w:p w14:paraId="229CC259">
                  <w:pPr>
                    <w:pStyle w:val="61"/>
                    <w:rPr>
                      <w:rFonts w:hint="default" w:ascii="Times New Roman" w:hAnsi="Times New Roman" w:eastAsia="宋体" w:cs="Times New Roman"/>
                      <w:b/>
                      <w:bCs/>
                      <w:color w:val="auto"/>
                      <w:highlight w:val="none"/>
                      <w:lang w:eastAsia="zh-CN"/>
                    </w:rPr>
                  </w:pPr>
                  <w:r>
                    <w:rPr>
                      <w:rFonts w:hint="default" w:ascii="Times New Roman" w:hAnsi="Times New Roman" w:cs="Times New Roman"/>
                      <w:b/>
                      <w:bCs/>
                      <w:color w:val="auto"/>
                      <w:highlight w:val="none"/>
                    </w:rPr>
                    <w:t>食宿</w:t>
                  </w:r>
                  <w:r>
                    <w:rPr>
                      <w:rFonts w:hint="default" w:ascii="Times New Roman" w:hAnsi="Times New Roman" w:cs="Times New Roman"/>
                      <w:b/>
                      <w:bCs/>
                      <w:color w:val="auto"/>
                      <w:highlight w:val="none"/>
                      <w:lang w:val="en-US" w:eastAsia="zh-CN"/>
                    </w:rPr>
                    <w:t>情况</w:t>
                  </w:r>
                </w:p>
              </w:tc>
              <w:tc>
                <w:tcPr>
                  <w:tcW w:w="1714" w:type="pct"/>
                  <w:vAlign w:val="center"/>
                </w:tcPr>
                <w:p w14:paraId="6FF7004F">
                  <w:pPr>
                    <w:pStyle w:val="61"/>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无</w:t>
                  </w:r>
                  <w:r>
                    <w:rPr>
                      <w:rFonts w:hint="default" w:ascii="Times New Roman" w:hAnsi="Times New Roman" w:cs="Times New Roman"/>
                      <w:color w:val="auto"/>
                      <w:highlight w:val="none"/>
                      <w:lang w:val="en-US" w:eastAsia="zh-CN"/>
                    </w:rPr>
                    <w:t>食堂、无住宿</w:t>
                  </w:r>
                </w:p>
              </w:tc>
            </w:tr>
            <w:tr w14:paraId="00889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23" w:type="pct"/>
                  <w:vAlign w:val="center"/>
                </w:tcPr>
                <w:p w14:paraId="089F50B5">
                  <w:pPr>
                    <w:pStyle w:val="61"/>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工作时间</w:t>
                  </w:r>
                </w:p>
              </w:tc>
              <w:tc>
                <w:tcPr>
                  <w:tcW w:w="1665" w:type="pct"/>
                  <w:vAlign w:val="center"/>
                </w:tcPr>
                <w:p w14:paraId="656BE7BE">
                  <w:pPr>
                    <w:pStyle w:val="61"/>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年生产</w:t>
                  </w:r>
                  <w:r>
                    <w:rPr>
                      <w:rFonts w:hint="eastAsia" w:cs="Times New Roman"/>
                      <w:color w:val="auto"/>
                      <w:highlight w:val="none"/>
                      <w:lang w:val="en-US" w:eastAsia="zh-CN"/>
                    </w:rPr>
                    <w:t>260</w:t>
                  </w:r>
                  <w:r>
                    <w:rPr>
                      <w:rFonts w:hint="default" w:ascii="Times New Roman" w:hAnsi="Times New Roman" w:cs="Times New Roman"/>
                      <w:color w:val="auto"/>
                      <w:highlight w:val="none"/>
                      <w:lang w:val="en-US" w:eastAsia="zh-CN"/>
                    </w:rPr>
                    <w:t>天</w:t>
                  </w:r>
                </w:p>
              </w:tc>
              <w:tc>
                <w:tcPr>
                  <w:tcW w:w="796" w:type="pct"/>
                  <w:vAlign w:val="center"/>
                </w:tcPr>
                <w:p w14:paraId="79EEC20D">
                  <w:pPr>
                    <w:pStyle w:val="61"/>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夜间生产</w:t>
                  </w:r>
                </w:p>
              </w:tc>
              <w:tc>
                <w:tcPr>
                  <w:tcW w:w="1714" w:type="pct"/>
                  <w:vAlign w:val="center"/>
                </w:tcPr>
                <w:p w14:paraId="5F20D2F8">
                  <w:pPr>
                    <w:pStyle w:val="61"/>
                    <w:rPr>
                      <w:rFonts w:hint="eastAsia" w:ascii="Times New Roman" w:hAnsi="Times New Roman" w:eastAsia="宋体" w:cs="Times New Roman"/>
                      <w:color w:val="auto"/>
                      <w:highlight w:val="none"/>
                      <w:lang w:val="en-US" w:eastAsia="zh-CN"/>
                    </w:rPr>
                  </w:pPr>
                  <w:r>
                    <w:rPr>
                      <w:rFonts w:hint="eastAsia"/>
                      <w:color w:val="auto"/>
                      <w:highlight w:val="none"/>
                      <w:lang w:val="en-US" w:eastAsia="zh-CN"/>
                    </w:rPr>
                    <w:t>无</w:t>
                  </w:r>
                </w:p>
              </w:tc>
            </w:tr>
            <w:tr w14:paraId="76956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823" w:type="pct"/>
                  <w:vAlign w:val="center"/>
                </w:tcPr>
                <w:p w14:paraId="5162B0EB">
                  <w:pPr>
                    <w:pStyle w:val="61"/>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工作班制</w:t>
                  </w:r>
                </w:p>
              </w:tc>
              <w:tc>
                <w:tcPr>
                  <w:tcW w:w="1665" w:type="pct"/>
                  <w:vAlign w:val="center"/>
                </w:tcPr>
                <w:p w14:paraId="17704489">
                  <w:pPr>
                    <w:pStyle w:val="61"/>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每班</w:t>
                  </w:r>
                  <w:r>
                    <w:rPr>
                      <w:rFonts w:hint="eastAsia" w:cs="Times New Roman"/>
                      <w:color w:val="auto"/>
                      <w:highlight w:val="none"/>
                      <w:lang w:val="en-US" w:eastAsia="zh-CN"/>
                    </w:rPr>
                    <w:t>10</w:t>
                  </w:r>
                  <w:r>
                    <w:rPr>
                      <w:rFonts w:hint="default" w:ascii="Times New Roman" w:hAnsi="Times New Roman" w:cs="Times New Roman"/>
                      <w:color w:val="auto"/>
                      <w:highlight w:val="none"/>
                      <w:lang w:val="en-US" w:eastAsia="zh-CN"/>
                    </w:rPr>
                    <w:t>小时，实行</w:t>
                  </w:r>
                  <w:r>
                    <w:rPr>
                      <w:rFonts w:hint="eastAsia" w:cs="Times New Roman"/>
                      <w:color w:val="auto"/>
                      <w:highlight w:val="none"/>
                      <w:lang w:val="en-US" w:eastAsia="zh-CN"/>
                    </w:rPr>
                    <w:t>1</w:t>
                  </w:r>
                  <w:r>
                    <w:rPr>
                      <w:rFonts w:hint="default" w:ascii="Times New Roman" w:hAnsi="Times New Roman" w:cs="Times New Roman"/>
                      <w:color w:val="auto"/>
                      <w:highlight w:val="none"/>
                      <w:lang w:val="en-US" w:eastAsia="zh-CN"/>
                    </w:rPr>
                    <w:t>班制</w:t>
                  </w:r>
                </w:p>
              </w:tc>
              <w:tc>
                <w:tcPr>
                  <w:tcW w:w="796" w:type="pct"/>
                  <w:vAlign w:val="center"/>
                </w:tcPr>
                <w:p w14:paraId="7557479D">
                  <w:pPr>
                    <w:pStyle w:val="61"/>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1714" w:type="pct"/>
                  <w:vAlign w:val="center"/>
                </w:tcPr>
                <w:p w14:paraId="4B523B46">
                  <w:pPr>
                    <w:pStyle w:val="61"/>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bl>
          <w:p w14:paraId="4883000C">
            <w:pPr>
              <w:pStyle w:val="10"/>
              <w:numPr>
                <w:ilvl w:val="3"/>
                <w:numId w:val="0"/>
              </w:numPr>
              <w:ind w:left="480"/>
              <w:rPr>
                <w:rFonts w:hint="default" w:ascii="Times New Roman" w:hAnsi="Times New Roman" w:cs="Times New Roman"/>
                <w:color w:val="auto"/>
                <w:highlight w:val="none"/>
              </w:rPr>
            </w:pPr>
            <w:r>
              <w:rPr>
                <w:rFonts w:hint="default" w:ascii="Times New Roman" w:hAnsi="Times New Roman" w:cs="Times New Roman"/>
                <w:color w:val="auto"/>
                <w:highlight w:val="none"/>
              </w:rPr>
              <w:t>6、能源和资源消耗</w:t>
            </w:r>
          </w:p>
          <w:p w14:paraId="11E36328">
            <w:pPr>
              <w:pStyle w:val="11"/>
              <w:numPr>
                <w:ilvl w:val="4"/>
                <w:numId w:val="0"/>
              </w:numPr>
              <w:ind w:left="-960" w:firstLine="1440"/>
              <w:rPr>
                <w:rFonts w:hint="default" w:ascii="Times New Roman" w:hAnsi="Times New Roman" w:cs="Times New Roman"/>
                <w:color w:val="auto"/>
                <w:szCs w:val="32"/>
                <w:highlight w:val="none"/>
              </w:rPr>
            </w:pPr>
            <w:r>
              <w:rPr>
                <w:rFonts w:hint="default" w:ascii="Times New Roman" w:hAnsi="Times New Roman" w:cs="Times New Roman"/>
                <w:color w:val="auto"/>
                <w:szCs w:val="32"/>
                <w:highlight w:val="none"/>
              </w:rPr>
              <w:t>（1）供电</w:t>
            </w:r>
          </w:p>
          <w:p w14:paraId="5B37BD8A">
            <w:pPr>
              <w:adjustRightInd w:val="0"/>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本项目用电由</w:t>
            </w:r>
            <w:r>
              <w:rPr>
                <w:rFonts w:hint="eastAsia" w:cs="Times New Roman"/>
                <w:color w:val="auto"/>
                <w:highlight w:val="none"/>
                <w:lang w:val="en-US" w:eastAsia="zh-CN"/>
              </w:rPr>
              <w:t>南方</w:t>
            </w:r>
            <w:r>
              <w:rPr>
                <w:rFonts w:hint="default" w:ascii="Times New Roman" w:hAnsi="Times New Roman" w:cs="Times New Roman"/>
                <w:color w:val="auto"/>
                <w:highlight w:val="none"/>
              </w:rPr>
              <w:t>电网提供，年用电量约</w:t>
            </w:r>
            <w:r>
              <w:rPr>
                <w:rFonts w:hint="eastAsia" w:cs="Times New Roman"/>
                <w:color w:val="auto"/>
                <w:sz w:val="24"/>
                <w:szCs w:val="24"/>
                <w:highlight w:val="none"/>
                <w:lang w:val="en-US" w:eastAsia="zh-CN"/>
              </w:rPr>
              <w:t>7.5</w:t>
            </w:r>
            <w:r>
              <w:rPr>
                <w:rFonts w:hint="default" w:ascii="Times New Roman" w:hAnsi="Times New Roman" w:cs="Times New Roman"/>
                <w:color w:val="auto"/>
                <w:sz w:val="24"/>
                <w:szCs w:val="24"/>
                <w:highlight w:val="none"/>
                <w:lang w:val="en-US" w:eastAsia="zh-CN"/>
              </w:rPr>
              <w:t>万</w:t>
            </w:r>
            <w:r>
              <w:rPr>
                <w:rFonts w:hint="default" w:ascii="Times New Roman" w:hAnsi="Times New Roman" w:cs="Times New Roman"/>
                <w:color w:val="auto"/>
                <w:highlight w:val="none"/>
              </w:rPr>
              <w:t>千瓦·时，不设备用发电机或锅炉。</w:t>
            </w:r>
          </w:p>
          <w:p w14:paraId="72C3B5BD">
            <w:pPr>
              <w:pStyle w:val="11"/>
              <w:numPr>
                <w:ilvl w:val="4"/>
                <w:numId w:val="0"/>
              </w:numPr>
              <w:ind w:left="-960" w:firstLine="1440"/>
              <w:rPr>
                <w:rFonts w:hint="default" w:ascii="Times New Roman" w:hAnsi="Times New Roman" w:cs="Times New Roman"/>
                <w:color w:val="auto"/>
                <w:highlight w:val="none"/>
              </w:rPr>
            </w:pPr>
            <w:r>
              <w:rPr>
                <w:rFonts w:hint="default" w:ascii="Times New Roman" w:hAnsi="Times New Roman" w:cs="Times New Roman"/>
                <w:color w:val="auto"/>
                <w:highlight w:val="none"/>
              </w:rPr>
              <w:t>（2）给水</w:t>
            </w:r>
          </w:p>
          <w:p w14:paraId="2AB4BA75">
            <w:pPr>
              <w:adjustRightInd w:val="0"/>
              <w:ind w:firstLine="480" w:firstLineChars="200"/>
              <w:rPr>
                <w:rFonts w:hint="eastAsia" w:cs="Times New Roman"/>
                <w:color w:val="auto"/>
                <w:highlight w:val="none"/>
                <w:lang w:val="en-US" w:eastAsia="zh-CN"/>
              </w:rPr>
            </w:pPr>
            <w:r>
              <w:rPr>
                <w:rFonts w:hint="default" w:ascii="Times New Roman" w:hAnsi="Times New Roman" w:cs="Times New Roman"/>
                <w:color w:val="auto"/>
                <w:highlight w:val="none"/>
              </w:rPr>
              <w:t>本项目营运期</w:t>
            </w:r>
            <w:r>
              <w:rPr>
                <w:rFonts w:hint="eastAsia" w:cs="Times New Roman"/>
                <w:color w:val="auto"/>
                <w:highlight w:val="none"/>
                <w:lang w:val="en-US" w:eastAsia="zh-CN"/>
              </w:rPr>
              <w:t>用水主要为生活用水。</w:t>
            </w:r>
          </w:p>
          <w:p w14:paraId="28770DF7">
            <w:pPr>
              <w:pStyle w:val="21"/>
              <w:ind w:firstLine="480"/>
              <w:rPr>
                <w:rFonts w:hint="eastAsia" w:eastAsia="宋体" w:cs="Times New Roman"/>
                <w:color w:val="auto"/>
                <w:highlight w:val="none"/>
                <w:lang w:val="en-US" w:eastAsia="zh-CN"/>
              </w:rPr>
            </w:pPr>
            <w:r>
              <w:rPr>
                <w:rFonts w:hint="eastAsia" w:cs="Times New Roman"/>
                <w:color w:val="auto"/>
                <w:highlight w:val="none"/>
                <w:lang w:val="en-US" w:eastAsia="zh-CN"/>
              </w:rPr>
              <w:t>本项目劳动定员2人。</w:t>
            </w:r>
            <w:r>
              <w:rPr>
                <w:rFonts w:hint="default" w:ascii="Times New Roman" w:hAnsi="Times New Roman" w:cs="Times New Roman"/>
                <w:color w:val="auto"/>
                <w:kern w:val="0"/>
                <w:highlight w:val="none"/>
              </w:rPr>
              <w:t>厂区内</w:t>
            </w:r>
            <w:r>
              <w:rPr>
                <w:rFonts w:hint="default" w:ascii="Times New Roman" w:hAnsi="Times New Roman" w:cs="Times New Roman"/>
                <w:color w:val="auto"/>
                <w:kern w:val="0"/>
                <w:highlight w:val="none"/>
                <w:lang w:val="en-US" w:eastAsia="zh-CN"/>
              </w:rPr>
              <w:t>不</w:t>
            </w:r>
            <w:r>
              <w:rPr>
                <w:rFonts w:hint="eastAsia" w:cs="Times New Roman"/>
                <w:color w:val="auto"/>
                <w:kern w:val="0"/>
                <w:highlight w:val="none"/>
                <w:lang w:val="en-US" w:eastAsia="zh-CN"/>
              </w:rPr>
              <w:t>设食</w:t>
            </w:r>
            <w:r>
              <w:rPr>
                <w:rFonts w:hint="default" w:ascii="Times New Roman" w:hAnsi="Times New Roman" w:cs="Times New Roman"/>
                <w:color w:val="auto"/>
                <w:kern w:val="0"/>
                <w:highlight w:val="none"/>
                <w:lang w:val="en-US" w:eastAsia="zh-CN"/>
              </w:rPr>
              <w:t>宿</w:t>
            </w:r>
            <w:r>
              <w:rPr>
                <w:rFonts w:hint="eastAsia"/>
                <w:color w:val="auto"/>
                <w:lang w:val="en-US" w:eastAsia="zh-CN"/>
              </w:rPr>
              <w:t>和卫生间，员工如厕依托乐昌市华轩针织制衣有限公司</w:t>
            </w:r>
            <w:r>
              <w:rPr>
                <w:rFonts w:hint="eastAsia" w:cs="Times New Roman"/>
                <w:color w:val="auto"/>
                <w:kern w:val="0"/>
                <w:highlight w:val="none"/>
                <w:lang w:eastAsia="zh-CN"/>
              </w:rPr>
              <w:t>。</w:t>
            </w:r>
            <w:r>
              <w:rPr>
                <w:rFonts w:hint="default" w:ascii="Times New Roman" w:hAnsi="Times New Roman" w:cs="Times New Roman"/>
                <w:color w:val="auto"/>
                <w:kern w:val="0"/>
                <w:highlight w:val="none"/>
              </w:rPr>
              <w:t>年工作天数</w:t>
            </w:r>
            <w:r>
              <w:rPr>
                <w:rFonts w:hint="eastAsia" w:cs="Times New Roman"/>
                <w:color w:val="auto"/>
                <w:kern w:val="0"/>
                <w:highlight w:val="none"/>
                <w:lang w:val="en-US" w:eastAsia="zh-CN"/>
              </w:rPr>
              <w:t>260</w:t>
            </w:r>
            <w:r>
              <w:rPr>
                <w:rFonts w:hint="default" w:ascii="Times New Roman" w:hAnsi="Times New Roman" w:cs="Times New Roman"/>
                <w:color w:val="auto"/>
                <w:kern w:val="0"/>
                <w:highlight w:val="none"/>
              </w:rPr>
              <w:t>天</w:t>
            </w:r>
            <w:r>
              <w:rPr>
                <w:rFonts w:hint="eastAsia" w:ascii="Times New Roman" w:hAnsi="Times New Roman" w:cs="Times New Roman"/>
                <w:color w:val="auto"/>
                <w:kern w:val="0"/>
                <w:highlight w:val="none"/>
                <w:lang w:eastAsia="zh-CN"/>
              </w:rPr>
              <w:t>，</w:t>
            </w:r>
            <w:r>
              <w:rPr>
                <w:rFonts w:hint="default" w:ascii="Times New Roman" w:hAnsi="Times New Roman" w:eastAsia="宋体" w:cs="Times New Roman"/>
                <w:color w:val="auto"/>
                <w:kern w:val="0"/>
                <w:sz w:val="24"/>
                <w:szCs w:val="24"/>
                <w:highlight w:val="none"/>
              </w:rPr>
              <w:t>参考《广东省用水定额</w:t>
            </w:r>
            <w:r>
              <w:rPr>
                <w:rFonts w:hint="default" w:ascii="Times New Roman" w:hAnsi="Times New Roman" w:eastAsia="宋体" w:cs="Times New Roman"/>
                <w:color w:val="auto"/>
                <w:kern w:val="0"/>
                <w:sz w:val="24"/>
                <w:szCs w:val="24"/>
                <w:highlight w:val="none"/>
                <w:lang w:val="en-US" w:eastAsia="zh-CN"/>
              </w:rPr>
              <w:t xml:space="preserve"> 第3部分：生活</w:t>
            </w:r>
            <w:r>
              <w:rPr>
                <w:rFonts w:hint="default" w:ascii="Times New Roman" w:hAnsi="Times New Roman" w:eastAsia="宋体" w:cs="Times New Roman"/>
                <w:color w:val="auto"/>
                <w:kern w:val="0"/>
                <w:sz w:val="24"/>
                <w:szCs w:val="24"/>
                <w:highlight w:val="none"/>
              </w:rPr>
              <w:t>》（DB44/T</w:t>
            </w:r>
            <w:r>
              <w:rPr>
                <w:rFonts w:hint="default" w:ascii="Times New Roman" w:hAnsi="Times New Roman" w:eastAsia="宋体" w:cs="Times New Roman"/>
                <w:color w:val="auto"/>
                <w:kern w:val="0"/>
                <w:sz w:val="24"/>
                <w:szCs w:val="24"/>
                <w:highlight w:val="none"/>
                <w:lang w:val="en-US" w:eastAsia="zh-CN"/>
              </w:rPr>
              <w:t xml:space="preserve"> </w:t>
            </w:r>
            <w:r>
              <w:rPr>
                <w:rFonts w:hint="default" w:ascii="Times New Roman" w:hAnsi="Times New Roman" w:eastAsia="宋体" w:cs="Times New Roman"/>
                <w:color w:val="auto"/>
                <w:kern w:val="0"/>
                <w:sz w:val="24"/>
                <w:szCs w:val="24"/>
                <w:highlight w:val="none"/>
              </w:rPr>
              <w:t>1461</w:t>
            </w:r>
            <w:r>
              <w:rPr>
                <w:rFonts w:hint="default" w:ascii="Times New Roman" w:hAnsi="Times New Roman" w:eastAsia="宋体" w:cs="Times New Roman"/>
                <w:color w:val="auto"/>
                <w:kern w:val="0"/>
                <w:sz w:val="24"/>
                <w:szCs w:val="24"/>
                <w:highlight w:val="none"/>
                <w:lang w:val="en-US" w:eastAsia="zh-CN"/>
              </w:rPr>
              <w:t>.3</w:t>
            </w:r>
            <w:r>
              <w:rPr>
                <w:rFonts w:hint="default" w:ascii="Times New Roman" w:hAnsi="Times New Roman" w:eastAsia="宋体" w:cs="Times New Roman"/>
                <w:color w:val="auto"/>
                <w:kern w:val="0"/>
                <w:sz w:val="24"/>
                <w:szCs w:val="24"/>
                <w:highlight w:val="none"/>
              </w:rPr>
              <w:t>-20</w:t>
            </w:r>
            <w:r>
              <w:rPr>
                <w:rFonts w:hint="default" w:ascii="Times New Roman" w:hAnsi="Times New Roman" w:eastAsia="宋体" w:cs="Times New Roman"/>
                <w:color w:val="auto"/>
                <w:kern w:val="0"/>
                <w:sz w:val="24"/>
                <w:szCs w:val="24"/>
                <w:highlight w:val="none"/>
                <w:lang w:val="en-US" w:eastAsia="zh-CN"/>
              </w:rPr>
              <w:t>21</w:t>
            </w:r>
            <w:r>
              <w:rPr>
                <w:rFonts w:hint="default" w:ascii="Times New Roman" w:hAnsi="Times New Roman" w:eastAsia="宋体" w:cs="Times New Roman"/>
                <w:color w:val="auto"/>
                <w:kern w:val="0"/>
                <w:sz w:val="24"/>
                <w:szCs w:val="24"/>
                <w:highlight w:val="none"/>
              </w:rPr>
              <w:t>）</w:t>
            </w:r>
            <w:r>
              <w:rPr>
                <w:rFonts w:hint="default" w:ascii="Times New Roman" w:hAnsi="Times New Roman" w:eastAsia="宋体" w:cs="Times New Roman"/>
                <w:color w:val="auto"/>
                <w:kern w:val="0"/>
                <w:sz w:val="24"/>
                <w:szCs w:val="24"/>
                <w:highlight w:val="none"/>
                <w:lang w:val="en-US" w:eastAsia="zh-CN"/>
              </w:rPr>
              <w:t>中</w:t>
            </w:r>
            <w:r>
              <w:rPr>
                <w:rFonts w:hint="default" w:ascii="Times New Roman" w:hAnsi="Times New Roman" w:eastAsia="宋体" w:cs="Times New Roman"/>
                <w:color w:val="auto"/>
                <w:kern w:val="0"/>
                <w:sz w:val="24"/>
                <w:szCs w:val="24"/>
                <w:highlight w:val="none"/>
              </w:rPr>
              <w:t>，</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lang w:val="en-US" w:eastAsia="zh-CN"/>
              </w:rPr>
              <w:t>表</w:t>
            </w:r>
            <w:r>
              <w:rPr>
                <w:rFonts w:hint="eastAsia" w:ascii="Times New Roman" w:hAnsi="Times New Roman" w:eastAsia="宋体" w:cs="Times New Roman"/>
                <w:color w:val="auto"/>
                <w:kern w:val="0"/>
                <w:sz w:val="24"/>
                <w:szCs w:val="24"/>
                <w:highlight w:val="none"/>
                <w:lang w:val="en-US" w:eastAsia="zh-CN"/>
              </w:rPr>
              <w:t>A.1 服务业用水定额表-国家机构（92）-国家行政机构（922）-办公楼-</w:t>
            </w:r>
            <w:r>
              <w:rPr>
                <w:rFonts w:hint="eastAsia" w:cs="Times New Roman"/>
                <w:color w:val="auto"/>
                <w:kern w:val="0"/>
                <w:sz w:val="24"/>
                <w:szCs w:val="24"/>
                <w:highlight w:val="none"/>
                <w:lang w:val="en-US" w:eastAsia="zh-CN"/>
              </w:rPr>
              <w:t>无</w:t>
            </w:r>
            <w:r>
              <w:rPr>
                <w:rFonts w:hint="eastAsia" w:ascii="Times New Roman" w:hAnsi="Times New Roman" w:eastAsia="宋体" w:cs="Times New Roman"/>
                <w:color w:val="auto"/>
                <w:kern w:val="0"/>
                <w:sz w:val="24"/>
                <w:szCs w:val="24"/>
                <w:highlight w:val="none"/>
                <w:lang w:val="en-US" w:eastAsia="zh-CN"/>
              </w:rPr>
              <w:t>食堂和浴室</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lang w:val="en-US" w:eastAsia="zh-CN"/>
              </w:rPr>
              <w:t>的标准，</w:t>
            </w:r>
            <w:r>
              <w:rPr>
                <w:rFonts w:hint="default" w:ascii="Times New Roman" w:hAnsi="Times New Roman" w:eastAsia="宋体" w:cs="Times New Roman"/>
                <w:color w:val="auto"/>
                <w:kern w:val="0"/>
                <w:sz w:val="24"/>
                <w:szCs w:val="24"/>
                <w:highlight w:val="none"/>
              </w:rPr>
              <w:t>取</w:t>
            </w:r>
            <w:r>
              <w:rPr>
                <w:rFonts w:hint="eastAsia" w:cs="Times New Roman"/>
                <w:color w:val="auto"/>
                <w:kern w:val="0"/>
                <w:sz w:val="24"/>
                <w:szCs w:val="24"/>
                <w:highlight w:val="none"/>
                <w:lang w:val="en-US" w:eastAsia="zh-CN"/>
              </w:rPr>
              <w:t>通用</w:t>
            </w:r>
            <w:r>
              <w:rPr>
                <w:rFonts w:hint="eastAsia" w:ascii="Times New Roman" w:hAnsi="Times New Roman" w:eastAsia="宋体" w:cs="Times New Roman"/>
                <w:color w:val="auto"/>
                <w:kern w:val="0"/>
                <w:sz w:val="24"/>
                <w:szCs w:val="24"/>
                <w:highlight w:val="none"/>
                <w:lang w:val="en-US" w:eastAsia="zh-CN"/>
              </w:rPr>
              <w:t>值：</w:t>
            </w:r>
            <w:r>
              <w:rPr>
                <w:rFonts w:hint="eastAsia" w:cs="Times New Roman"/>
                <w:color w:val="auto"/>
                <w:kern w:val="0"/>
                <w:sz w:val="24"/>
                <w:szCs w:val="24"/>
                <w:highlight w:val="none"/>
                <w:lang w:val="en-US" w:eastAsia="zh-CN"/>
              </w:rPr>
              <w:t>28</w:t>
            </w:r>
            <w:r>
              <w:rPr>
                <w:rFonts w:hint="eastAsia" w:ascii="Times New Roman" w:hAnsi="Times New Roman" w:eastAsia="宋体" w:cs="Times New Roman"/>
                <w:color w:val="auto"/>
                <w:kern w:val="0"/>
                <w:sz w:val="24"/>
                <w:szCs w:val="24"/>
                <w:highlight w:val="none"/>
                <w:lang w:val="en-US" w:eastAsia="zh-CN"/>
              </w:rPr>
              <w:t>m</w:t>
            </w:r>
            <w:r>
              <w:rPr>
                <w:rFonts w:hint="eastAsia" w:ascii="Times New Roman" w:hAnsi="Times New Roman" w:eastAsia="宋体" w:cs="Times New Roman"/>
                <w:color w:val="auto"/>
                <w:kern w:val="0"/>
                <w:sz w:val="24"/>
                <w:szCs w:val="24"/>
                <w:highlight w:val="none"/>
                <w:vertAlign w:val="superscript"/>
                <w:lang w:val="en-US" w:eastAsia="zh-CN"/>
              </w:rPr>
              <w:t>3</w:t>
            </w:r>
            <w:r>
              <w:rPr>
                <w:rFonts w:hint="default" w:ascii="Times New Roman" w:hAnsi="Times New Roman" w:eastAsia="宋体" w:cs="Times New Roman"/>
                <w:color w:val="auto"/>
                <w:kern w:val="0"/>
                <w:sz w:val="24"/>
                <w:szCs w:val="24"/>
                <w:highlight w:val="none"/>
              </w:rPr>
              <w:t>/</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lang w:val="en-US" w:eastAsia="zh-CN"/>
              </w:rPr>
              <w:t>人·</w:t>
            </w:r>
            <w:r>
              <w:rPr>
                <w:rFonts w:hint="eastAsia" w:ascii="Times New Roman" w:hAnsi="Times New Roman" w:eastAsia="宋体" w:cs="Times New Roman"/>
                <w:color w:val="auto"/>
                <w:kern w:val="0"/>
                <w:sz w:val="24"/>
                <w:szCs w:val="24"/>
                <w:highlight w:val="none"/>
                <w:lang w:val="en-US" w:eastAsia="zh-CN"/>
              </w:rPr>
              <w:t>a</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，因此本项目生活用水量为</w:t>
            </w:r>
            <w:r>
              <w:rPr>
                <w:rFonts w:hint="eastAsia" w:cs="Times New Roman"/>
                <w:color w:val="auto"/>
                <w:kern w:val="0"/>
                <w:sz w:val="24"/>
                <w:szCs w:val="24"/>
                <w:highlight w:val="none"/>
                <w:lang w:val="en-US" w:eastAsia="zh-CN"/>
              </w:rPr>
              <w:t>2</w:t>
            </w:r>
            <w:r>
              <w:rPr>
                <w:rFonts w:hint="default" w:ascii="Times New Roman" w:hAnsi="Times New Roman" w:eastAsia="宋体" w:cs="Times New Roman"/>
                <w:color w:val="auto"/>
                <w:kern w:val="0"/>
                <w:sz w:val="24"/>
                <w:szCs w:val="24"/>
                <w:highlight w:val="none"/>
                <w:lang w:val="en-US" w:eastAsia="zh-CN"/>
              </w:rPr>
              <w:t>人×</w:t>
            </w:r>
            <w:r>
              <w:rPr>
                <w:rFonts w:hint="eastAsia" w:cs="Times New Roman"/>
                <w:color w:val="auto"/>
                <w:kern w:val="0"/>
                <w:sz w:val="24"/>
                <w:szCs w:val="24"/>
                <w:highlight w:val="none"/>
                <w:lang w:val="en-US" w:eastAsia="zh-CN"/>
              </w:rPr>
              <w:t>28</w:t>
            </w:r>
            <w:r>
              <w:rPr>
                <w:rFonts w:hint="eastAsia" w:ascii="Times New Roman" w:hAnsi="Times New Roman" w:eastAsia="宋体" w:cs="Times New Roman"/>
                <w:color w:val="auto"/>
                <w:kern w:val="0"/>
                <w:sz w:val="24"/>
                <w:szCs w:val="24"/>
                <w:highlight w:val="none"/>
                <w:lang w:val="en-US" w:eastAsia="zh-CN"/>
              </w:rPr>
              <w:t>m</w:t>
            </w:r>
            <w:r>
              <w:rPr>
                <w:rFonts w:hint="eastAsia" w:ascii="Times New Roman" w:hAnsi="Times New Roman" w:eastAsia="宋体" w:cs="Times New Roman"/>
                <w:color w:val="auto"/>
                <w:kern w:val="0"/>
                <w:sz w:val="24"/>
                <w:szCs w:val="24"/>
                <w:highlight w:val="none"/>
                <w:vertAlign w:val="superscript"/>
                <w:lang w:val="en-US" w:eastAsia="zh-CN"/>
              </w:rPr>
              <w:t>3</w:t>
            </w:r>
            <w:r>
              <w:rPr>
                <w:rFonts w:hint="default" w:ascii="Times New Roman" w:hAnsi="Times New Roman" w:eastAsia="宋体" w:cs="Times New Roman"/>
                <w:color w:val="auto"/>
                <w:kern w:val="0"/>
                <w:sz w:val="24"/>
                <w:szCs w:val="24"/>
                <w:highlight w:val="none"/>
              </w:rPr>
              <w:t>/</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lang w:val="en-US" w:eastAsia="zh-CN"/>
              </w:rPr>
              <w:t>人·</w:t>
            </w:r>
            <w:r>
              <w:rPr>
                <w:rFonts w:hint="eastAsia" w:ascii="Times New Roman" w:hAnsi="Times New Roman" w:eastAsia="宋体" w:cs="Times New Roman"/>
                <w:color w:val="auto"/>
                <w:kern w:val="0"/>
                <w:sz w:val="24"/>
                <w:szCs w:val="24"/>
                <w:highlight w:val="none"/>
                <w:lang w:val="en-US" w:eastAsia="zh-CN"/>
              </w:rPr>
              <w:t>a</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lang w:val="en-US" w:eastAsia="zh-CN"/>
              </w:rPr>
              <w:t>=</w:t>
            </w:r>
            <w:r>
              <w:rPr>
                <w:rFonts w:hint="eastAsia" w:cs="Times New Roman"/>
                <w:color w:val="auto"/>
                <w:kern w:val="0"/>
                <w:sz w:val="24"/>
                <w:szCs w:val="24"/>
                <w:highlight w:val="none"/>
                <w:lang w:val="en-US" w:eastAsia="zh-CN"/>
              </w:rPr>
              <w:t>56</w:t>
            </w:r>
            <w:r>
              <w:rPr>
                <w:rFonts w:hint="eastAsia" w:ascii="Times New Roman" w:hAnsi="Times New Roman" w:eastAsia="宋体" w:cs="Times New Roman"/>
                <w:color w:val="auto"/>
                <w:kern w:val="0"/>
                <w:sz w:val="24"/>
                <w:szCs w:val="24"/>
                <w:highlight w:val="none"/>
                <w:lang w:val="en-US" w:eastAsia="zh-CN"/>
              </w:rPr>
              <w:t>m</w:t>
            </w:r>
            <w:r>
              <w:rPr>
                <w:rFonts w:hint="eastAsia" w:ascii="Times New Roman" w:hAnsi="Times New Roman" w:eastAsia="宋体" w:cs="Times New Roman"/>
                <w:color w:val="auto"/>
                <w:kern w:val="0"/>
                <w:sz w:val="24"/>
                <w:szCs w:val="24"/>
                <w:highlight w:val="none"/>
                <w:vertAlign w:val="superscript"/>
                <w:lang w:val="en-US" w:eastAsia="zh-CN"/>
              </w:rPr>
              <w:t>3</w:t>
            </w:r>
            <w:r>
              <w:rPr>
                <w:rFonts w:hint="default" w:ascii="Times New Roman" w:hAnsi="Times New Roman" w:eastAsia="宋体" w:cs="Times New Roman"/>
                <w:color w:val="auto"/>
                <w:sz w:val="24"/>
                <w:highlight w:val="none"/>
                <w:vertAlign w:val="baseline"/>
                <w:lang w:val="en-US" w:eastAsia="zh-CN"/>
              </w:rPr>
              <w:t>/</w:t>
            </w:r>
            <w:r>
              <w:rPr>
                <w:rFonts w:hint="default" w:ascii="Times New Roman" w:hAnsi="Times New Roman" w:cs="Times New Roman"/>
                <w:color w:val="auto"/>
                <w:highlight w:val="none"/>
              </w:rPr>
              <w:t>a</w:t>
            </w:r>
            <w:r>
              <w:rPr>
                <w:rFonts w:hint="eastAsia" w:cs="Times New Roman"/>
                <w:color w:val="auto"/>
                <w:highlight w:val="none"/>
                <w:vertAlign w:val="baseline"/>
                <w:lang w:val="en-US" w:eastAsia="zh-CN"/>
              </w:rPr>
              <w:t>。</w:t>
            </w:r>
          </w:p>
          <w:p w14:paraId="28B8811D">
            <w:pPr>
              <w:pStyle w:val="11"/>
              <w:numPr>
                <w:ilvl w:val="4"/>
                <w:numId w:val="0"/>
              </w:numPr>
              <w:ind w:left="-960" w:firstLine="1440"/>
              <w:rPr>
                <w:rFonts w:hint="default" w:ascii="Times New Roman" w:hAnsi="Times New Roman" w:cs="Times New Roman"/>
                <w:color w:val="auto"/>
                <w:highlight w:val="none"/>
              </w:rPr>
            </w:pPr>
            <w:r>
              <w:rPr>
                <w:rFonts w:hint="default" w:ascii="Times New Roman" w:hAnsi="Times New Roman" w:cs="Times New Roman"/>
                <w:color w:val="auto"/>
                <w:highlight w:val="none"/>
              </w:rPr>
              <w:t>（3）排水</w:t>
            </w:r>
          </w:p>
          <w:p w14:paraId="6BEF2FB0">
            <w:pPr>
              <w:adjustRightInd w:val="0"/>
              <w:ind w:firstLine="480" w:firstLineChars="200"/>
              <w:rPr>
                <w:rFonts w:hint="eastAsia" w:cs="Times New Roman"/>
                <w:color w:val="auto"/>
                <w:highlight w:val="none"/>
                <w:lang w:val="en-US" w:eastAsia="zh-CN"/>
              </w:rPr>
            </w:pPr>
            <w:r>
              <w:rPr>
                <w:rFonts w:hint="default" w:ascii="Times New Roman" w:hAnsi="Times New Roman" w:cs="Times New Roman"/>
                <w:color w:val="auto"/>
                <w:highlight w:val="none"/>
              </w:rPr>
              <w:t>本项目实行雨污分流制的排水体制</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雨水经厂区雨水管网收集后，排入市政雨水管网</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本项目生活污水排放量为</w:t>
            </w:r>
            <w:r>
              <w:rPr>
                <w:rFonts w:hint="eastAsia" w:cs="Times New Roman"/>
                <w:color w:val="auto"/>
                <w:highlight w:val="none"/>
                <w:lang w:val="en-US" w:eastAsia="zh-CN"/>
              </w:rPr>
              <w:t>50.4</w:t>
            </w:r>
            <w:r>
              <w:rPr>
                <w:rFonts w:hint="default" w:ascii="Times New Roman" w:hAnsi="Times New Roman" w:cs="Times New Roman"/>
                <w:color w:val="auto"/>
                <w:highlight w:val="none"/>
              </w:rPr>
              <w:t>t/a，</w:t>
            </w:r>
            <w:r>
              <w:rPr>
                <w:rFonts w:hint="eastAsia" w:cs="Times New Roman"/>
                <w:color w:val="auto"/>
                <w:highlight w:val="none"/>
                <w:lang w:val="en-US" w:eastAsia="zh-CN"/>
              </w:rPr>
              <w:t>依托乐昌市华轩针织制衣有限公司的</w:t>
            </w:r>
            <w:r>
              <w:rPr>
                <w:rFonts w:hint="default" w:ascii="Times New Roman" w:hAnsi="Times New Roman" w:cs="Times New Roman"/>
                <w:color w:val="auto"/>
                <w:highlight w:val="none"/>
              </w:rPr>
              <w:t>三级化粪池预处理后，排入园区污水处理厂进一步处理，达标后排放至武江</w:t>
            </w:r>
            <w:r>
              <w:rPr>
                <w:rFonts w:hint="default" w:ascii="Times New Roman" w:hAnsi="Times New Roman" w:cs="Times New Roman"/>
                <w:color w:val="auto"/>
                <w:highlight w:val="none"/>
                <w:lang w:eastAsia="zh-CN"/>
              </w:rPr>
              <w:t>（乐昌城-犁市河段）</w:t>
            </w:r>
            <w:r>
              <w:rPr>
                <w:rFonts w:hint="eastAsia" w:cs="Times New Roman"/>
                <w:color w:val="auto"/>
                <w:highlight w:val="none"/>
                <w:lang w:val="en-US" w:eastAsia="zh-CN"/>
              </w:rPr>
              <w:t>。</w:t>
            </w:r>
          </w:p>
          <w:p w14:paraId="2C582022">
            <w:pPr>
              <w:adjustRightInd w:val="0"/>
              <w:rPr>
                <w:rFonts w:hint="eastAsia" w:cs="Times New Roman"/>
                <w:color w:val="auto"/>
                <w:highlight w:val="none"/>
                <w:lang w:val="en-US" w:eastAsia="zh-CN"/>
              </w:rPr>
            </w:pPr>
            <w:r>
              <w:rPr>
                <w:color w:val="auto"/>
              </w:rPr>
              <w:drawing>
                <wp:inline distT="0" distB="0" distL="0" distR="0">
                  <wp:extent cx="5041900" cy="618490"/>
                  <wp:effectExtent l="0" t="0" r="0" b="10795"/>
                  <wp:docPr id="1026" name="图片 1"/>
                  <wp:cNvGraphicFramePr/>
                  <a:graphic xmlns:a="http://schemas.openxmlformats.org/drawingml/2006/main">
                    <a:graphicData uri="http://schemas.openxmlformats.org/drawingml/2006/picture">
                      <pic:pic xmlns:pic="http://schemas.openxmlformats.org/drawingml/2006/picture">
                        <pic:nvPicPr>
                          <pic:cNvPr id="1026" name="图片 1"/>
                          <pic:cNvPicPr/>
                        </pic:nvPicPr>
                        <pic:blipFill>
                          <a:blip r:embed="rId11" cstate="print"/>
                          <a:srcRect/>
                          <a:stretch>
                            <a:fillRect/>
                          </a:stretch>
                        </pic:blipFill>
                        <pic:spPr>
                          <a:xfrm>
                            <a:off x="0" y="0"/>
                            <a:ext cx="5041900" cy="618490"/>
                          </a:xfrm>
                          <a:prstGeom prst="rect">
                            <a:avLst/>
                          </a:prstGeom>
                          <a:ln>
                            <a:noFill/>
                          </a:ln>
                        </pic:spPr>
                      </pic:pic>
                    </a:graphicData>
                  </a:graphic>
                </wp:inline>
              </w:drawing>
            </w:r>
          </w:p>
          <w:p w14:paraId="61B47737">
            <w:pPr>
              <w:pStyle w:val="17"/>
              <w:spacing w:line="240" w:lineRule="auto"/>
              <w:rPr>
                <w:rFonts w:hint="default" w:cs="Times New Roman"/>
                <w:color w:val="auto"/>
                <w:highlight w:val="none"/>
                <w:lang w:val="en-US" w:eastAsia="zh-CN"/>
              </w:rPr>
            </w:pPr>
            <w:r>
              <w:rPr>
                <w:rFonts w:hint="default" w:ascii="Times New Roman" w:hAnsi="Times New Roman" w:cs="Times New Roman"/>
                <w:color w:val="auto"/>
                <w:highlight w:val="none"/>
                <w:lang w:val="en-US" w:eastAsia="zh-CN"/>
              </w:rPr>
              <w:t>图2-1项目用水平衡图单位：t/a</w:t>
            </w:r>
          </w:p>
          <w:p w14:paraId="09AF6F00">
            <w:pPr>
              <w:pStyle w:val="11"/>
              <w:numPr>
                <w:ilvl w:val="4"/>
                <w:numId w:val="0"/>
              </w:numPr>
              <w:ind w:left="-960" w:firstLine="1440"/>
              <w:rPr>
                <w:rFonts w:hint="default" w:ascii="Times New Roman" w:hAnsi="Times New Roman" w:cs="Times New Roman"/>
                <w:color w:val="auto"/>
                <w:highlight w:val="none"/>
              </w:rPr>
            </w:pPr>
            <w:r>
              <w:rPr>
                <w:rFonts w:hint="default" w:ascii="Times New Roman" w:hAnsi="Times New Roman" w:cs="Times New Roman"/>
                <w:color w:val="auto"/>
                <w:highlight w:val="none"/>
              </w:rPr>
              <w:t>（4）通风系统</w:t>
            </w:r>
          </w:p>
          <w:p w14:paraId="6A6BD313">
            <w:pPr>
              <w:adjustRightInd w:val="0"/>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本项目主要采用自然通风或设置抽排风机进行通风，不设中央空调。</w:t>
            </w:r>
          </w:p>
          <w:p w14:paraId="7FD5519C">
            <w:pPr>
              <w:adjustRightInd w:val="0"/>
              <w:ind w:firstLine="480" w:firstLineChars="200"/>
              <w:rPr>
                <w:rFonts w:hint="eastAsia" w:cs="Times New Roman"/>
                <w:b/>
                <w:bCs/>
                <w:color w:val="auto"/>
                <w:szCs w:val="24"/>
                <w:highlight w:val="none"/>
                <w:lang w:val="en-US" w:eastAsia="zh-CN"/>
              </w:rPr>
            </w:pPr>
            <w:r>
              <w:rPr>
                <w:rFonts w:hint="eastAsia" w:cs="Times New Roman"/>
                <w:b/>
                <w:bCs/>
                <w:color w:val="auto"/>
                <w:highlight w:val="none"/>
                <w:lang w:val="en-US" w:eastAsia="zh-CN"/>
              </w:rPr>
              <w:t>7、</w:t>
            </w:r>
            <w:r>
              <w:rPr>
                <w:rFonts w:hint="eastAsia" w:cs="Times New Roman"/>
                <w:b/>
                <w:bCs/>
                <w:color w:val="auto"/>
                <w:szCs w:val="24"/>
                <w:highlight w:val="none"/>
                <w:lang w:val="en-US" w:eastAsia="zh-CN"/>
              </w:rPr>
              <w:t>原料准入制度与控制要求：</w:t>
            </w:r>
          </w:p>
          <w:p w14:paraId="05418CB2">
            <w:pPr>
              <w:pStyle w:val="10"/>
              <w:keepNext/>
              <w:keepLines/>
              <w:pageBreakBefore w:val="0"/>
              <w:widowControl w:val="0"/>
              <w:numPr>
                <w:ilvl w:val="0"/>
                <w:numId w:val="0"/>
              </w:numPr>
              <w:kinsoku/>
              <w:wordWrap/>
              <w:overflowPunct/>
              <w:topLinePunct w:val="0"/>
              <w:autoSpaceDE/>
              <w:autoSpaceDN/>
              <w:bidi w:val="0"/>
              <w:adjustRightInd/>
              <w:snapToGrid/>
              <w:ind w:left="0" w:leftChars="0" w:firstLine="480" w:firstLineChars="0"/>
              <w:textAlignment w:val="auto"/>
              <w:rPr>
                <w:rFonts w:hint="default"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lang w:val="en-US" w:eastAsia="zh-CN" w:bidi="ar-SA"/>
              </w:rPr>
              <w:t>1）</w:t>
            </w:r>
            <w:r>
              <w:rPr>
                <w:rFonts w:hint="eastAsia" w:cs="Times New Roman"/>
                <w:b w:val="0"/>
                <w:bCs w:val="0"/>
                <w:color w:val="auto"/>
                <w:kern w:val="2"/>
                <w:sz w:val="24"/>
                <w:szCs w:val="24"/>
                <w:highlight w:val="none"/>
                <w:lang w:val="en-US" w:eastAsia="zh-CN" w:bidi="ar-SA"/>
              </w:rPr>
              <w:t>项目收集的一般固废原料主要来源于乐昌市产业转移工业园，囊括乐昌产业转移工业园内的所有企业，来源行业与领域包括但不限于：金属制造业、金属制品业、通用设备制造业、专用设备制造业、汽车零部件及配件制造、电气机械和器材制造业、计算机通信和其他电子设备制造业、橡胶和塑料制品业、家具制造业、纺织业、纺织服装服饰业、皮革毛皮羽毛及其制品和制鞋业、造纸和纸制品业、印刷和记录媒介复制业、文教工美体育和娱乐用品制造业、非金属矿物制品业、化学原料和化学制品制造业、农副食品加工业、废弃资源综合利用业、非金属矿采选业、燃气生产和供应业、自来水生产和供应业、污水处理及其再生利用业、装卸搬运和仓储业等。</w:t>
            </w:r>
          </w:p>
          <w:p w14:paraId="5469849F">
            <w:pPr>
              <w:pStyle w:val="10"/>
              <w:keepNext/>
              <w:keepLines/>
              <w:pageBreakBefore w:val="0"/>
              <w:widowControl w:val="0"/>
              <w:numPr>
                <w:ilvl w:val="0"/>
                <w:numId w:val="0"/>
              </w:numPr>
              <w:kinsoku/>
              <w:wordWrap/>
              <w:overflowPunct/>
              <w:topLinePunct w:val="0"/>
              <w:autoSpaceDE/>
              <w:autoSpaceDN/>
              <w:bidi w:val="0"/>
              <w:adjustRightInd/>
              <w:snapToGrid/>
              <w:ind w:left="0" w:leftChars="0" w:firstLine="480" w:firstLineChars="0"/>
              <w:textAlignment w:val="auto"/>
              <w:rPr>
                <w:rFonts w:hint="eastAsia"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2）根据《中华人民共和国固体废物污染环境防治法》（2020修订）第二十二条：跨省转移贮存/处置需移出地+接受地省级生态环境部门审批、跨省转移利用需移出地省级备案；广东省生态环境厅互动交流答复（编号2117431）：工业固体废物省内跨市域转移无需许可；《固体废物综合治理行动计划》（国发〔2025〕14号）第一条：强调属地化管理，鼓励就近消纳，反对长途转运倾倒；《广东省固体废物污染环境防治条例》第二十四条：固体废物转移应当运行电子转移联单。对跨区域接收进行分级管理：（1）对乐昌市产业转移</w:t>
            </w:r>
            <w:r>
              <w:rPr>
                <w:rFonts w:hint="eastAsia" w:cs="Times New Roman"/>
                <w:b w:val="0"/>
                <w:bCs w:val="0"/>
                <w:color w:val="auto"/>
                <w:kern w:val="2"/>
                <w:sz w:val="24"/>
                <w:szCs w:val="24"/>
                <w:highlight w:val="none"/>
                <w:lang w:val="en-US" w:eastAsia="zh-CN" w:bidi="ar-SA"/>
              </w:rPr>
              <w:t>工业</w:t>
            </w:r>
            <w:r>
              <w:rPr>
                <w:rFonts w:hint="eastAsia" w:ascii="Times New Roman" w:hAnsi="Times New Roman" w:eastAsia="宋体" w:cs="Times New Roman"/>
                <w:b w:val="0"/>
                <w:bCs w:val="0"/>
                <w:color w:val="auto"/>
                <w:kern w:val="2"/>
                <w:sz w:val="24"/>
                <w:szCs w:val="24"/>
                <w:highlight w:val="none"/>
                <w:lang w:val="en-US" w:eastAsia="zh-CN" w:bidi="ar-SA"/>
              </w:rPr>
              <w:t>园内注册且持有有效环评及排污许可证等手续的企业进行正常接收。（2）对韶关市内、乐昌市外的企业，原则不收若有特殊进行报备：提前15个工作日向韶关市生态环境局乐昌分局提交书面申请</w:t>
            </w:r>
            <w:r>
              <w:rPr>
                <w:rFonts w:hint="eastAsia" w:cs="Times New Roman"/>
                <w:b w:val="0"/>
                <w:bCs w:val="0"/>
                <w:color w:val="auto"/>
                <w:kern w:val="2"/>
                <w:sz w:val="24"/>
                <w:szCs w:val="24"/>
                <w:highlight w:val="none"/>
                <w:lang w:val="en-US" w:eastAsia="zh-CN" w:bidi="ar-SA"/>
              </w:rPr>
              <w:t>，</w:t>
            </w:r>
            <w:r>
              <w:rPr>
                <w:rFonts w:hint="eastAsia" w:ascii="Times New Roman" w:hAnsi="Times New Roman" w:eastAsia="宋体" w:cs="Times New Roman"/>
                <w:b w:val="0"/>
                <w:bCs w:val="0"/>
                <w:color w:val="auto"/>
                <w:kern w:val="2"/>
                <w:sz w:val="24"/>
                <w:szCs w:val="24"/>
                <w:highlight w:val="none"/>
                <w:lang w:val="en-US" w:eastAsia="zh-CN" w:bidi="ar-SA"/>
              </w:rPr>
              <w:t>申请材料包括：废物名称、代码、物理性状；年产生量、计划交接频次；来源单位营业执照、排污许可证（载明该类固废）；成分检测报告或MSDS；运输路线、运输单位资质</w:t>
            </w:r>
            <w:r>
              <w:rPr>
                <w:rFonts w:hint="eastAsia" w:cs="Times New Roman"/>
                <w:b w:val="0"/>
                <w:bCs w:val="0"/>
                <w:color w:val="auto"/>
                <w:kern w:val="2"/>
                <w:sz w:val="24"/>
                <w:szCs w:val="24"/>
                <w:highlight w:val="none"/>
                <w:lang w:val="en-US" w:eastAsia="zh-CN" w:bidi="ar-SA"/>
              </w:rPr>
              <w:t>，</w:t>
            </w:r>
            <w:r>
              <w:rPr>
                <w:rFonts w:hint="eastAsia" w:ascii="Times New Roman" w:hAnsi="Times New Roman" w:eastAsia="宋体" w:cs="Times New Roman"/>
                <w:b w:val="0"/>
                <w:bCs w:val="0"/>
                <w:color w:val="auto"/>
                <w:kern w:val="2"/>
                <w:sz w:val="24"/>
                <w:szCs w:val="24"/>
                <w:highlight w:val="none"/>
                <w:lang w:val="en-US" w:eastAsia="zh-CN" w:bidi="ar-SA"/>
              </w:rPr>
              <w:t>取得分局书面同意后方可实施</w:t>
            </w:r>
            <w:r>
              <w:rPr>
                <w:rFonts w:hint="eastAsia" w:cs="Times New Roman"/>
                <w:b w:val="0"/>
                <w:bCs w:val="0"/>
                <w:color w:val="auto"/>
                <w:kern w:val="2"/>
                <w:sz w:val="24"/>
                <w:szCs w:val="24"/>
                <w:highlight w:val="none"/>
                <w:lang w:val="en-US" w:eastAsia="zh-CN" w:bidi="ar-SA"/>
              </w:rPr>
              <w:t>，并</w:t>
            </w:r>
            <w:r>
              <w:rPr>
                <w:rFonts w:hint="eastAsia" w:ascii="Times New Roman" w:hAnsi="Times New Roman" w:eastAsia="宋体" w:cs="Times New Roman"/>
                <w:b w:val="0"/>
                <w:bCs w:val="0"/>
                <w:color w:val="auto"/>
                <w:kern w:val="2"/>
                <w:sz w:val="24"/>
                <w:szCs w:val="24"/>
                <w:highlight w:val="none"/>
                <w:lang w:val="en-US" w:eastAsia="zh-CN" w:bidi="ar-SA"/>
              </w:rPr>
              <w:t>通过广东省固废平台填报登记。</w:t>
            </w:r>
            <w:r>
              <w:rPr>
                <w:rFonts w:hint="eastAsia" w:cs="Times New Roman"/>
                <w:b w:val="0"/>
                <w:bCs w:val="0"/>
                <w:color w:val="auto"/>
                <w:kern w:val="2"/>
                <w:sz w:val="24"/>
                <w:szCs w:val="24"/>
                <w:highlight w:val="none"/>
                <w:lang w:val="en-US" w:eastAsia="zh-CN" w:bidi="ar-SA"/>
              </w:rPr>
              <w:t>（3）对广东省外的企业原则上禁止接收。（4）若分拣后的可利用固废销售给位于江西省、湖南省等外省的综合利用单位：按照《固废法》第二十二条自行办理跨省利用审批备案手续。</w:t>
            </w:r>
          </w:p>
          <w:p w14:paraId="4B613AEF">
            <w:pPr>
              <w:pStyle w:val="10"/>
              <w:keepNext/>
              <w:keepLines/>
              <w:pageBreakBefore w:val="0"/>
              <w:widowControl w:val="0"/>
              <w:numPr>
                <w:ilvl w:val="0"/>
                <w:numId w:val="0"/>
              </w:numPr>
              <w:kinsoku/>
              <w:wordWrap/>
              <w:overflowPunct/>
              <w:topLinePunct w:val="0"/>
              <w:autoSpaceDE/>
              <w:autoSpaceDN/>
              <w:bidi w:val="0"/>
              <w:adjustRightInd/>
              <w:snapToGrid/>
              <w:ind w:left="0" w:leftChars="0" w:firstLine="480" w:firstLineChars="0"/>
              <w:textAlignment w:val="auto"/>
              <w:rPr>
                <w:rFonts w:hint="eastAsia"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lang w:val="en-US" w:eastAsia="zh-CN" w:bidi="ar-SA"/>
              </w:rPr>
              <w:t>3）</w:t>
            </w:r>
            <w:r>
              <w:rPr>
                <w:rFonts w:hint="eastAsia" w:ascii="Times New Roman" w:hAnsi="Times New Roman" w:eastAsia="宋体" w:cs="Times New Roman"/>
                <w:b w:val="0"/>
                <w:bCs w:val="0"/>
                <w:color w:val="auto"/>
                <w:kern w:val="2"/>
                <w:sz w:val="24"/>
                <w:szCs w:val="24"/>
                <w:highlight w:val="none"/>
                <w:lang w:val="en-US" w:eastAsia="zh-CN" w:bidi="ar-SA"/>
              </w:rPr>
              <w:t>本项目仅收集干燥、固态状的一般工业固废，</w:t>
            </w:r>
            <w:r>
              <w:rPr>
                <w:rFonts w:hint="eastAsia" w:cs="Times New Roman"/>
                <w:b w:val="0"/>
                <w:bCs w:val="0"/>
                <w:color w:val="auto"/>
                <w:kern w:val="2"/>
                <w:sz w:val="24"/>
                <w:szCs w:val="24"/>
                <w:highlight w:val="none"/>
                <w:lang w:val="en-US" w:eastAsia="zh-CN" w:bidi="ar-SA"/>
              </w:rPr>
              <w:t>本项目固废接收准入负面清单见下表。</w:t>
            </w:r>
          </w:p>
          <w:p w14:paraId="473E3871">
            <w:pPr>
              <w:pStyle w:val="4"/>
              <w:ind w:left="0" w:leftChars="0" w:firstLine="0" w:firstLineChars="0"/>
              <w:jc w:val="center"/>
              <w:rPr>
                <w:rFonts w:hint="eastAsia" w:eastAsia="宋体"/>
                <w:color w:val="auto"/>
                <w:lang w:eastAsia="zh-CN"/>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rPr>
              <w:fldChar w:fldCharType="begin"/>
            </w:r>
            <w:r>
              <w:rPr>
                <w:rFonts w:hint="default" w:ascii="Times New Roman" w:hAnsi="Times New Roman" w:cs="Times New Roman"/>
                <w:b/>
                <w:bCs/>
                <w:color w:val="auto"/>
                <w:sz w:val="21"/>
                <w:szCs w:val="21"/>
                <w:highlight w:val="none"/>
              </w:rPr>
              <w:instrText xml:space="preserve"> STYLEREF 1 \s </w:instrText>
            </w:r>
            <w:r>
              <w:rPr>
                <w:rFonts w:hint="default" w:ascii="Times New Roman" w:hAnsi="Times New Roman" w:cs="Times New Roman"/>
                <w:b/>
                <w:bCs/>
                <w:color w:val="auto"/>
                <w:sz w:val="21"/>
                <w:szCs w:val="21"/>
                <w:highlight w:val="none"/>
              </w:rPr>
              <w:fldChar w:fldCharType="separate"/>
            </w:r>
            <w:r>
              <w:rPr>
                <w:rFonts w:hint="default" w:ascii="Times New Roman" w:hAnsi="Times New Roman" w:cs="Times New Roman"/>
                <w:b/>
                <w:bCs/>
                <w:color w:val="auto"/>
                <w:sz w:val="21"/>
                <w:szCs w:val="21"/>
                <w:highlight w:val="none"/>
              </w:rPr>
              <w:t>2</w:t>
            </w:r>
            <w:r>
              <w:rPr>
                <w:rFonts w:hint="default" w:ascii="Times New Roman" w:hAnsi="Times New Roman" w:cs="Times New Roman"/>
                <w:b/>
                <w:bCs/>
                <w:color w:val="auto"/>
                <w:sz w:val="21"/>
                <w:szCs w:val="21"/>
                <w:highlight w:val="none"/>
              </w:rPr>
              <w:fldChar w:fldCharType="end"/>
            </w:r>
            <w:r>
              <w:rPr>
                <w:rFonts w:hint="default" w:ascii="Times New Roman" w:hAnsi="Times New Roman" w:cs="Times New Roman"/>
                <w:b/>
                <w:bCs/>
                <w:color w:val="auto"/>
                <w:sz w:val="21"/>
                <w:szCs w:val="21"/>
                <w:highlight w:val="none"/>
              </w:rPr>
              <w:t>-</w:t>
            </w:r>
            <w:r>
              <w:rPr>
                <w:rFonts w:hint="eastAsia" w:ascii="Times New Roman" w:cs="Times New Roman"/>
                <w:b/>
                <w:bCs/>
                <w:color w:val="auto"/>
                <w:sz w:val="21"/>
                <w:szCs w:val="21"/>
                <w:highlight w:val="none"/>
                <w:lang w:val="en-US" w:eastAsia="zh-CN"/>
              </w:rPr>
              <w:t>7</w:t>
            </w:r>
            <w:r>
              <w:rPr>
                <w:rFonts w:hint="eastAsia" w:ascii="Times New Roman" w:cs="Times New Roman"/>
                <w:b/>
                <w:color w:val="auto"/>
                <w:sz w:val="21"/>
                <w:szCs w:val="21"/>
                <w:highlight w:val="none"/>
                <w:lang w:val="en-US" w:eastAsia="zh-CN"/>
              </w:rPr>
              <w:t>严禁接收废物类别</w:t>
            </w:r>
            <w:r>
              <w:rPr>
                <w:rFonts w:hint="default" w:ascii="Times New Roman" w:hAnsi="Times New Roman" w:cs="Times New Roman"/>
                <w:b/>
                <w:color w:val="auto"/>
                <w:sz w:val="21"/>
                <w:szCs w:val="21"/>
                <w:highlight w:val="none"/>
              </w:rPr>
              <w:t>一览表</w:t>
            </w:r>
            <w:r>
              <w:rPr>
                <w:rFonts w:hint="eastAsia" w:ascii="Times New Roman" w:cs="Times New Roman"/>
                <w:b/>
                <w:color w:val="auto"/>
                <w:sz w:val="21"/>
                <w:szCs w:val="21"/>
                <w:highlight w:val="none"/>
                <w:lang w:eastAsia="zh-CN"/>
              </w:rPr>
              <w:t>（国家危险废物名录列明的全部危险废物）</w:t>
            </w:r>
          </w:p>
          <w:tbl>
            <w:tblPr>
              <w:tblStyle w:val="45"/>
              <w:tblW w:w="78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2"/>
              <w:gridCol w:w="2880"/>
              <w:gridCol w:w="3871"/>
            </w:tblGrid>
            <w:tr w14:paraId="44B9B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tcPr>
                <w:p w14:paraId="2DB23D1E">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危废代码</w:t>
                  </w:r>
                </w:p>
              </w:tc>
              <w:tc>
                <w:tcPr>
                  <w:tcW w:w="2880" w:type="dxa"/>
                </w:tcPr>
                <w:p w14:paraId="00BE8725">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类别名称</w:t>
                  </w:r>
                </w:p>
              </w:tc>
              <w:tc>
                <w:tcPr>
                  <w:tcW w:w="3871" w:type="dxa"/>
                </w:tcPr>
                <w:p w14:paraId="221E906E">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常见典型废物</w:t>
                  </w:r>
                </w:p>
              </w:tc>
            </w:tr>
            <w:tr w14:paraId="5DBE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Align w:val="center"/>
                </w:tcPr>
                <w:p w14:paraId="4C12FF46">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HW08</w:t>
                  </w:r>
                </w:p>
              </w:tc>
              <w:tc>
                <w:tcPr>
                  <w:tcW w:w="2880" w:type="dxa"/>
                  <w:vAlign w:val="center"/>
                </w:tcPr>
                <w:p w14:paraId="7F79400D">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废矿物油与含油废物</w:t>
                  </w:r>
                </w:p>
              </w:tc>
              <w:tc>
                <w:tcPr>
                  <w:tcW w:w="3871" w:type="dxa"/>
                  <w:vAlign w:val="center"/>
                </w:tcPr>
                <w:p w14:paraId="41859917">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废机油、液压油、切削液、含油抹布</w:t>
                  </w:r>
                </w:p>
              </w:tc>
            </w:tr>
            <w:tr w14:paraId="22FC3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Align w:val="center"/>
                </w:tcPr>
                <w:p w14:paraId="12EC91CA">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HW09</w:t>
                  </w:r>
                </w:p>
              </w:tc>
              <w:tc>
                <w:tcPr>
                  <w:tcW w:w="2880" w:type="dxa"/>
                  <w:vAlign w:val="center"/>
                </w:tcPr>
                <w:p w14:paraId="179E3D20">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油/水、烃/水混合物或乳化液</w:t>
                  </w:r>
                </w:p>
              </w:tc>
              <w:tc>
                <w:tcPr>
                  <w:tcW w:w="3871" w:type="dxa"/>
                  <w:vAlign w:val="center"/>
                </w:tcPr>
                <w:p w14:paraId="2DE3274C">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废乳化液、切削液废水</w:t>
                  </w:r>
                </w:p>
              </w:tc>
            </w:tr>
            <w:tr w14:paraId="174D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Align w:val="center"/>
                </w:tcPr>
                <w:p w14:paraId="4A06656A">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HW17</w:t>
                  </w:r>
                </w:p>
              </w:tc>
              <w:tc>
                <w:tcPr>
                  <w:tcW w:w="2880" w:type="dxa"/>
                  <w:vAlign w:val="center"/>
                </w:tcPr>
                <w:p w14:paraId="056C5958">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表面处理污泥</w:t>
                  </w:r>
                </w:p>
              </w:tc>
              <w:tc>
                <w:tcPr>
                  <w:tcW w:w="3871" w:type="dxa"/>
                  <w:vAlign w:val="center"/>
                </w:tcPr>
                <w:p w14:paraId="3B8F03E0">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电镀污泥、酸洗污泥、磷化渣</w:t>
                  </w:r>
                </w:p>
              </w:tc>
            </w:tr>
            <w:tr w14:paraId="71023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Align w:val="center"/>
                </w:tcPr>
                <w:p w14:paraId="23946BC6">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HW18</w:t>
                  </w:r>
                </w:p>
              </w:tc>
              <w:tc>
                <w:tcPr>
                  <w:tcW w:w="2880" w:type="dxa"/>
                  <w:vAlign w:val="center"/>
                </w:tcPr>
                <w:p w14:paraId="64ED0727">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焚烧处置残渣</w:t>
                  </w:r>
                </w:p>
              </w:tc>
              <w:tc>
                <w:tcPr>
                  <w:tcW w:w="3871" w:type="dxa"/>
                  <w:vAlign w:val="center"/>
                </w:tcPr>
                <w:p w14:paraId="63070D18">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垃圾焚烧飞灰、工业炉窑底渣</w:t>
                  </w:r>
                </w:p>
              </w:tc>
            </w:tr>
            <w:tr w14:paraId="237F9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Align w:val="center"/>
                </w:tcPr>
                <w:p w14:paraId="7058D4C1">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HW2</w:t>
                  </w:r>
                  <w:r>
                    <w:rPr>
                      <w:rFonts w:hint="eastAsia" w:cs="Times New Roman"/>
                      <w:b w:val="0"/>
                      <w:bCs w:val="0"/>
                      <w:color w:val="auto"/>
                      <w:kern w:val="2"/>
                      <w:sz w:val="21"/>
                      <w:szCs w:val="21"/>
                      <w:highlight w:val="none"/>
                      <w:lang w:val="en-US" w:eastAsia="zh-CN" w:bidi="ar-SA"/>
                    </w:rPr>
                    <w:t>1</w:t>
                  </w:r>
                  <w:r>
                    <w:rPr>
                      <w:rFonts w:hint="eastAsia" w:ascii="Times New Roman" w:hAnsi="Times New Roman" w:eastAsia="宋体" w:cs="Times New Roman"/>
                      <w:b w:val="0"/>
                      <w:bCs w:val="0"/>
                      <w:color w:val="auto"/>
                      <w:kern w:val="2"/>
                      <w:sz w:val="21"/>
                      <w:szCs w:val="21"/>
                      <w:highlight w:val="none"/>
                      <w:lang w:val="en-US" w:eastAsia="zh-CN" w:bidi="ar-SA"/>
                    </w:rPr>
                    <w:t>～HW24</w:t>
                  </w:r>
                </w:p>
              </w:tc>
              <w:tc>
                <w:tcPr>
                  <w:tcW w:w="2880" w:type="dxa"/>
                  <w:vAlign w:val="center"/>
                </w:tcPr>
                <w:p w14:paraId="6545FC3E">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含铬/铜/锌/砷废物</w:t>
                  </w:r>
                </w:p>
              </w:tc>
              <w:tc>
                <w:tcPr>
                  <w:tcW w:w="3871" w:type="dxa"/>
                  <w:vAlign w:val="center"/>
                </w:tcPr>
                <w:p w14:paraId="0FB87DB2">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铬渣、含铜蚀刻液、镀锌渣、含砷污泥</w:t>
                  </w:r>
                </w:p>
              </w:tc>
            </w:tr>
            <w:tr w14:paraId="7BE7E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Align w:val="center"/>
                </w:tcPr>
                <w:p w14:paraId="47682383">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HW31</w:t>
                  </w:r>
                </w:p>
              </w:tc>
              <w:tc>
                <w:tcPr>
                  <w:tcW w:w="2880" w:type="dxa"/>
                  <w:vAlign w:val="center"/>
                </w:tcPr>
                <w:p w14:paraId="08D2E60D">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含铅废物</w:t>
                  </w:r>
                </w:p>
              </w:tc>
              <w:tc>
                <w:tcPr>
                  <w:tcW w:w="3871" w:type="dxa"/>
                  <w:vAlign w:val="center"/>
                </w:tcPr>
                <w:p w14:paraId="6344FD13">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铅尘、铅渣、废铅蓄电池</w:t>
                  </w:r>
                </w:p>
              </w:tc>
            </w:tr>
            <w:tr w14:paraId="0D9C6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Align w:val="center"/>
                </w:tcPr>
                <w:p w14:paraId="3A1D59F5">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HW34/</w:t>
                  </w:r>
                </w:p>
                <w:p w14:paraId="104AACAE">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HW35</w:t>
                  </w:r>
                </w:p>
              </w:tc>
              <w:tc>
                <w:tcPr>
                  <w:tcW w:w="2880" w:type="dxa"/>
                  <w:vAlign w:val="center"/>
                </w:tcPr>
                <w:p w14:paraId="3DBDEC2C">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废酸/废碱</w:t>
                  </w:r>
                </w:p>
              </w:tc>
              <w:tc>
                <w:tcPr>
                  <w:tcW w:w="3871" w:type="dxa"/>
                  <w:vAlign w:val="center"/>
                </w:tcPr>
                <w:p w14:paraId="33A6EDAC">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废硫酸/盐酸/硝酸、废氢氧化钠/氨水</w:t>
                  </w:r>
                </w:p>
              </w:tc>
            </w:tr>
            <w:tr w14:paraId="6FC3E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Align w:val="center"/>
                </w:tcPr>
                <w:p w14:paraId="03AD70AD">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HW36</w:t>
                  </w:r>
                </w:p>
              </w:tc>
              <w:tc>
                <w:tcPr>
                  <w:tcW w:w="2880" w:type="dxa"/>
                  <w:vAlign w:val="center"/>
                </w:tcPr>
                <w:p w14:paraId="37B835AE">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石棉废物</w:t>
                  </w:r>
                </w:p>
              </w:tc>
              <w:tc>
                <w:tcPr>
                  <w:tcW w:w="3871" w:type="dxa"/>
                  <w:vAlign w:val="center"/>
                </w:tcPr>
                <w:p w14:paraId="2C590FEC">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废石棉纤维、含石棉制品</w:t>
                  </w:r>
                </w:p>
              </w:tc>
            </w:tr>
            <w:tr w14:paraId="0402F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Align w:val="center"/>
                </w:tcPr>
                <w:p w14:paraId="71A3642F">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HW46/</w:t>
                  </w:r>
                </w:p>
                <w:p w14:paraId="725197BE">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HW48</w:t>
                  </w:r>
                </w:p>
              </w:tc>
              <w:tc>
                <w:tcPr>
                  <w:tcW w:w="2880" w:type="dxa"/>
                  <w:vAlign w:val="center"/>
                </w:tcPr>
                <w:p w14:paraId="6594C094">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含镍废物/有色冶炼渣</w:t>
                  </w:r>
                </w:p>
              </w:tc>
              <w:tc>
                <w:tcPr>
                  <w:tcW w:w="3871" w:type="dxa"/>
                  <w:vAlign w:val="center"/>
                </w:tcPr>
                <w:p w14:paraId="406B1C6D">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含镍电镀污泥、铜铅锌冶炼渣</w:t>
                  </w:r>
                </w:p>
              </w:tc>
            </w:tr>
            <w:tr w14:paraId="121C3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Align w:val="center"/>
                </w:tcPr>
                <w:p w14:paraId="68C9436B">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HW49</w:t>
                  </w:r>
                </w:p>
              </w:tc>
              <w:tc>
                <w:tcPr>
                  <w:tcW w:w="2880" w:type="dxa"/>
                  <w:vAlign w:val="center"/>
                </w:tcPr>
                <w:p w14:paraId="183185B7">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其他废物</w:t>
                  </w:r>
                </w:p>
              </w:tc>
              <w:tc>
                <w:tcPr>
                  <w:tcW w:w="3871" w:type="dxa"/>
                  <w:vAlign w:val="center"/>
                </w:tcPr>
                <w:p w14:paraId="08A67586">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废电路板(900-045-049)、</w:t>
                  </w:r>
                </w:p>
                <w:p w14:paraId="6FB1EACC">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废活性炭(900-039-049)、</w:t>
                  </w:r>
                </w:p>
                <w:p w14:paraId="0B3FD4D5">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废铅蓄电池(900-044-049)、废催化剂</w:t>
                  </w:r>
                </w:p>
              </w:tc>
            </w:tr>
            <w:tr w14:paraId="22355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Align w:val="center"/>
                </w:tcPr>
                <w:p w14:paraId="42727848">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HW50</w:t>
                  </w:r>
                </w:p>
              </w:tc>
              <w:tc>
                <w:tcPr>
                  <w:tcW w:w="2880" w:type="dxa"/>
                  <w:vAlign w:val="center"/>
                </w:tcPr>
                <w:p w14:paraId="2CAEFCB0">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废催化剂及精馏残渣</w:t>
                  </w:r>
                </w:p>
              </w:tc>
              <w:tc>
                <w:tcPr>
                  <w:tcW w:w="3871" w:type="dxa"/>
                  <w:vAlign w:val="center"/>
                </w:tcPr>
                <w:p w14:paraId="74295B66">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废石油炼制催化剂、废化工催化剂</w:t>
                  </w:r>
                </w:p>
              </w:tc>
            </w:tr>
            <w:tr w14:paraId="1244B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53" w:type="dxa"/>
                  <w:gridSpan w:val="3"/>
                  <w:vAlign w:val="center"/>
                </w:tcPr>
                <w:p w14:paraId="4259926B">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注：以上为与本项目来源行业高度相关的重点危废类别，实际禁收范围覆盖《国家危险废物名录》全部大类及其后续修订版本。</w:t>
                  </w:r>
                </w:p>
              </w:tc>
            </w:tr>
          </w:tbl>
          <w:p w14:paraId="4288E8E6">
            <w:pPr>
              <w:pStyle w:val="4"/>
              <w:ind w:left="0" w:leftChars="0" w:firstLine="0" w:firstLineChars="0"/>
              <w:jc w:val="center"/>
              <w:rPr>
                <w:rFonts w:hint="eastAsia" w:eastAsia="宋体"/>
                <w:color w:val="auto"/>
                <w:lang w:eastAsia="zh-CN"/>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rPr>
              <w:fldChar w:fldCharType="begin"/>
            </w:r>
            <w:r>
              <w:rPr>
                <w:rFonts w:hint="default" w:ascii="Times New Roman" w:hAnsi="Times New Roman" w:cs="Times New Roman"/>
                <w:b/>
                <w:bCs/>
                <w:color w:val="auto"/>
                <w:sz w:val="21"/>
                <w:szCs w:val="21"/>
                <w:highlight w:val="none"/>
              </w:rPr>
              <w:instrText xml:space="preserve"> STYLEREF 1 \s </w:instrText>
            </w:r>
            <w:r>
              <w:rPr>
                <w:rFonts w:hint="default" w:ascii="Times New Roman" w:hAnsi="Times New Roman" w:cs="Times New Roman"/>
                <w:b/>
                <w:bCs/>
                <w:color w:val="auto"/>
                <w:sz w:val="21"/>
                <w:szCs w:val="21"/>
                <w:highlight w:val="none"/>
              </w:rPr>
              <w:fldChar w:fldCharType="separate"/>
            </w:r>
            <w:r>
              <w:rPr>
                <w:rFonts w:hint="default" w:ascii="Times New Roman" w:hAnsi="Times New Roman" w:cs="Times New Roman"/>
                <w:b/>
                <w:bCs/>
                <w:color w:val="auto"/>
                <w:sz w:val="21"/>
                <w:szCs w:val="21"/>
                <w:highlight w:val="none"/>
              </w:rPr>
              <w:t>2</w:t>
            </w:r>
            <w:r>
              <w:rPr>
                <w:rFonts w:hint="default" w:ascii="Times New Roman" w:hAnsi="Times New Roman" w:cs="Times New Roman"/>
                <w:b/>
                <w:bCs/>
                <w:color w:val="auto"/>
                <w:sz w:val="21"/>
                <w:szCs w:val="21"/>
                <w:highlight w:val="none"/>
              </w:rPr>
              <w:fldChar w:fldCharType="end"/>
            </w:r>
            <w:r>
              <w:rPr>
                <w:rFonts w:hint="default" w:ascii="Times New Roman" w:hAnsi="Times New Roman" w:cs="Times New Roman"/>
                <w:b/>
                <w:bCs/>
                <w:color w:val="auto"/>
                <w:sz w:val="21"/>
                <w:szCs w:val="21"/>
                <w:highlight w:val="none"/>
              </w:rPr>
              <w:t>-</w:t>
            </w:r>
            <w:r>
              <w:rPr>
                <w:rFonts w:hint="eastAsia" w:ascii="Times New Roman" w:cs="Times New Roman"/>
                <w:b/>
                <w:bCs/>
                <w:color w:val="auto"/>
                <w:sz w:val="21"/>
                <w:szCs w:val="21"/>
                <w:highlight w:val="none"/>
                <w:lang w:val="en-US" w:eastAsia="zh-CN"/>
              </w:rPr>
              <w:t>8</w:t>
            </w:r>
            <w:r>
              <w:rPr>
                <w:rFonts w:hint="eastAsia" w:ascii="Times New Roman" w:cs="Times New Roman"/>
                <w:b/>
                <w:color w:val="auto"/>
                <w:sz w:val="21"/>
                <w:szCs w:val="21"/>
                <w:highlight w:val="none"/>
                <w:lang w:val="en-US" w:eastAsia="zh-CN"/>
              </w:rPr>
              <w:t>严禁接收废物类别</w:t>
            </w:r>
            <w:r>
              <w:rPr>
                <w:rFonts w:hint="default" w:ascii="Times New Roman" w:hAnsi="Times New Roman" w:cs="Times New Roman"/>
                <w:b/>
                <w:color w:val="auto"/>
                <w:sz w:val="21"/>
                <w:szCs w:val="21"/>
                <w:highlight w:val="none"/>
              </w:rPr>
              <w:t>一览表</w:t>
            </w:r>
            <w:r>
              <w:rPr>
                <w:rFonts w:hint="eastAsia" w:ascii="Times New Roman" w:cs="Times New Roman"/>
                <w:b/>
                <w:color w:val="auto"/>
                <w:sz w:val="21"/>
                <w:szCs w:val="21"/>
                <w:highlight w:val="none"/>
                <w:lang w:eastAsia="zh-CN"/>
              </w:rPr>
              <w:t>（</w:t>
            </w:r>
            <w:r>
              <w:rPr>
                <w:rFonts w:hint="eastAsia" w:ascii="Times New Roman" w:cs="Times New Roman"/>
                <w:b/>
                <w:color w:val="auto"/>
                <w:sz w:val="21"/>
                <w:szCs w:val="21"/>
                <w:highlight w:val="none"/>
                <w:lang w:val="en-US" w:eastAsia="zh-CN"/>
              </w:rPr>
              <w:t>涉重金属固体废物</w:t>
            </w:r>
            <w:r>
              <w:rPr>
                <w:rFonts w:hint="eastAsia" w:ascii="Times New Roman" w:cs="Times New Roman"/>
                <w:b/>
                <w:color w:val="auto"/>
                <w:sz w:val="21"/>
                <w:szCs w:val="21"/>
                <w:highlight w:val="none"/>
                <w:lang w:eastAsia="zh-CN"/>
              </w:rPr>
              <w:t>）</w:t>
            </w:r>
          </w:p>
          <w:tbl>
            <w:tblPr>
              <w:tblStyle w:val="4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
              <w:gridCol w:w="1815"/>
              <w:gridCol w:w="1695"/>
              <w:gridCol w:w="4016"/>
            </w:tblGrid>
            <w:tr w14:paraId="0073F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 w:type="pct"/>
                  <w:vAlign w:val="center"/>
                </w:tcPr>
                <w:p w14:paraId="1012F905">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序号</w:t>
                  </w:r>
                </w:p>
              </w:tc>
              <w:tc>
                <w:tcPr>
                  <w:tcW w:w="1156" w:type="pct"/>
                </w:tcPr>
                <w:p w14:paraId="129810D9">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禁收类别</w:t>
                  </w:r>
                </w:p>
              </w:tc>
              <w:tc>
                <w:tcPr>
                  <w:tcW w:w="1080" w:type="pct"/>
                </w:tcPr>
                <w:p w14:paraId="3CB0A3C0">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典型来源行业</w:t>
                  </w:r>
                </w:p>
              </w:tc>
              <w:tc>
                <w:tcPr>
                  <w:tcW w:w="2559" w:type="pct"/>
                </w:tcPr>
                <w:p w14:paraId="7A84F636">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风险说明</w:t>
                  </w:r>
                </w:p>
              </w:tc>
            </w:tr>
            <w:tr w14:paraId="316EC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 w:type="pct"/>
                  <w:vAlign w:val="center"/>
                </w:tcPr>
                <w:p w14:paraId="7041D26F">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1</w:t>
                  </w:r>
                </w:p>
              </w:tc>
              <w:tc>
                <w:tcPr>
                  <w:tcW w:w="1156" w:type="pct"/>
                </w:tcPr>
                <w:p w14:paraId="56DADF29">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有色金属采选尾矿及选矿渣</w:t>
                  </w:r>
                </w:p>
              </w:tc>
              <w:tc>
                <w:tcPr>
                  <w:tcW w:w="1080" w:type="pct"/>
                </w:tcPr>
                <w:p w14:paraId="32DB528D">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非金属矿采选业、有色金属矿采选业</w:t>
                  </w:r>
                </w:p>
              </w:tc>
              <w:tc>
                <w:tcPr>
                  <w:tcW w:w="2559" w:type="pct"/>
                </w:tcPr>
                <w:p w14:paraId="20059CD6">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含铅、镉、汞、砷等多种重金属，属《固废十条》（国发〔2025〕14号）严控对象；韶关市为重金属污染防控重点区域</w:t>
                  </w:r>
                </w:p>
              </w:tc>
            </w:tr>
            <w:tr w14:paraId="4FDE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 w:type="pct"/>
                  <w:vAlign w:val="center"/>
                </w:tcPr>
                <w:p w14:paraId="78D3A7AE">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2</w:t>
                  </w:r>
                </w:p>
              </w:tc>
              <w:tc>
                <w:tcPr>
                  <w:tcW w:w="1156" w:type="pct"/>
                </w:tcPr>
                <w:p w14:paraId="5C348235">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电镀污泥/酸洗污泥/表面处理废渣</w:t>
                  </w:r>
                </w:p>
              </w:tc>
              <w:tc>
                <w:tcPr>
                  <w:tcW w:w="1080" w:type="pct"/>
                </w:tcPr>
                <w:p w14:paraId="7BBD3D6D">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金属制品表面处理企业</w:t>
                  </w:r>
                </w:p>
              </w:tc>
              <w:tc>
                <w:tcPr>
                  <w:tcW w:w="2559" w:type="pct"/>
                </w:tcPr>
                <w:p w14:paraId="6016A072">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重金属含量高（铬、镍、铜、锌），浸出毒性易超标</w:t>
                  </w:r>
                </w:p>
              </w:tc>
            </w:tr>
            <w:tr w14:paraId="595F0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 w:type="pct"/>
                  <w:vAlign w:val="center"/>
                </w:tcPr>
                <w:p w14:paraId="55584B23">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3</w:t>
                  </w:r>
                </w:p>
              </w:tc>
              <w:tc>
                <w:tcPr>
                  <w:tcW w:w="1156" w:type="pct"/>
                </w:tcPr>
                <w:p w14:paraId="1340D05D">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冶炼炉渣/冶炼飞灰</w:t>
                  </w:r>
                </w:p>
              </w:tc>
              <w:tc>
                <w:tcPr>
                  <w:tcW w:w="1080" w:type="pct"/>
                </w:tcPr>
                <w:p w14:paraId="0590CFA0">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有色金属冶炼、钢铁冶炼行业</w:t>
                  </w:r>
                </w:p>
              </w:tc>
              <w:tc>
                <w:tcPr>
                  <w:tcW w:w="2559" w:type="pct"/>
                </w:tcPr>
                <w:p w14:paraId="45C24887">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可能含重金属浸出超标，部分属HW48</w:t>
                  </w:r>
                </w:p>
              </w:tc>
            </w:tr>
            <w:tr w14:paraId="71AB1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 w:type="pct"/>
                  <w:vAlign w:val="center"/>
                </w:tcPr>
                <w:p w14:paraId="01CA9465">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4</w:t>
                  </w:r>
                </w:p>
              </w:tc>
              <w:tc>
                <w:tcPr>
                  <w:tcW w:w="1156" w:type="pct"/>
                </w:tcPr>
                <w:p w14:paraId="00A4AA91">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含重金属污染的土壤/底泥/沉淀渣</w:t>
                  </w:r>
                </w:p>
              </w:tc>
              <w:tc>
                <w:tcPr>
                  <w:tcW w:w="1080" w:type="pct"/>
                </w:tcPr>
                <w:p w14:paraId="43329F25">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场地修复工程、污水处理厂</w:t>
                  </w:r>
                </w:p>
              </w:tc>
              <w:tc>
                <w:tcPr>
                  <w:tcW w:w="2559" w:type="pct"/>
                </w:tcPr>
                <w:p w14:paraId="5EE6D559">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来源复杂，成分不确定，需逐批鉴定</w:t>
                  </w:r>
                </w:p>
              </w:tc>
            </w:tr>
            <w:tr w14:paraId="4E17F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 w:type="pct"/>
                  <w:vAlign w:val="center"/>
                </w:tcPr>
                <w:p w14:paraId="4D2EB2A7">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5</w:t>
                  </w:r>
                </w:p>
              </w:tc>
              <w:tc>
                <w:tcPr>
                  <w:tcW w:w="1156" w:type="pct"/>
                </w:tcPr>
                <w:p w14:paraId="78E3791F">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废蓄电池（含未破损的）</w:t>
                  </w:r>
                </w:p>
              </w:tc>
              <w:tc>
                <w:tcPr>
                  <w:tcW w:w="1080" w:type="pct"/>
                </w:tcPr>
                <w:p w14:paraId="13182E4C">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各类工业企业、机动车维修</w:t>
                  </w:r>
                </w:p>
              </w:tc>
              <w:tc>
                <w:tcPr>
                  <w:tcW w:w="2559" w:type="pct"/>
                </w:tcPr>
                <w:p w14:paraId="1102F18A">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属HW49，含铅酸/锂离子/镉镍电池，需专业资质单位拆解</w:t>
                  </w:r>
                </w:p>
              </w:tc>
            </w:tr>
            <w:tr w14:paraId="352E4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 w:type="pct"/>
                  <w:vAlign w:val="center"/>
                </w:tcPr>
                <w:p w14:paraId="1202700B">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6</w:t>
                  </w:r>
                </w:p>
              </w:tc>
              <w:tc>
                <w:tcPr>
                  <w:tcW w:w="1156" w:type="pct"/>
                </w:tcPr>
                <w:p w14:paraId="7681B50D">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废弃电器电子产品（含废电路板）</w:t>
                  </w:r>
                </w:p>
              </w:tc>
              <w:tc>
                <w:tcPr>
                  <w:tcW w:w="1080" w:type="pct"/>
                </w:tcPr>
                <w:p w14:paraId="219ED333">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电子设备制造、报废电子品回收</w:t>
                  </w:r>
                </w:p>
              </w:tc>
              <w:tc>
                <w:tcPr>
                  <w:tcW w:w="2559" w:type="pct"/>
                </w:tcPr>
                <w:p w14:paraId="39A9E30D">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含铅焊料、溴化阻燃剂、汞开关等多重污染物；废电路板属HW49（900-045-049）</w:t>
                  </w:r>
                </w:p>
              </w:tc>
            </w:tr>
            <w:tr w14:paraId="28F37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 w:type="pct"/>
                  <w:vAlign w:val="center"/>
                </w:tcPr>
                <w:p w14:paraId="729F211B">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7</w:t>
                  </w:r>
                </w:p>
              </w:tc>
              <w:tc>
                <w:tcPr>
                  <w:tcW w:w="1156" w:type="pct"/>
                </w:tcPr>
                <w:p w14:paraId="63CE188D">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含多氯联苯的电容器/变压器</w:t>
                  </w:r>
                </w:p>
              </w:tc>
              <w:tc>
                <w:tcPr>
                  <w:tcW w:w="1080" w:type="pct"/>
                </w:tcPr>
                <w:p w14:paraId="6073CDA6">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电气机械和器材制造、电力设备报废</w:t>
                  </w:r>
                </w:p>
              </w:tc>
              <w:tc>
                <w:tcPr>
                  <w:tcW w:w="2559" w:type="pct"/>
                </w:tcPr>
                <w:p w14:paraId="5324FF2F">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PCBs属持久性有机污染物，《斯德哥尔摩公约》管控物质</w:t>
                  </w:r>
                </w:p>
              </w:tc>
            </w:tr>
          </w:tbl>
          <w:p w14:paraId="79C6712B">
            <w:pPr>
              <w:pStyle w:val="4"/>
              <w:ind w:left="0" w:leftChars="0" w:firstLine="0" w:firstLineChars="0"/>
              <w:jc w:val="center"/>
              <w:rPr>
                <w:rFonts w:hint="eastAsia" w:eastAsia="宋体"/>
                <w:color w:val="auto"/>
                <w:lang w:eastAsia="zh-CN"/>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rPr>
              <w:fldChar w:fldCharType="begin"/>
            </w:r>
            <w:r>
              <w:rPr>
                <w:rFonts w:hint="default" w:ascii="Times New Roman" w:hAnsi="Times New Roman" w:cs="Times New Roman"/>
                <w:b/>
                <w:bCs/>
                <w:color w:val="auto"/>
                <w:sz w:val="21"/>
                <w:szCs w:val="21"/>
                <w:highlight w:val="none"/>
              </w:rPr>
              <w:instrText xml:space="preserve"> STYLEREF 1 \s </w:instrText>
            </w:r>
            <w:r>
              <w:rPr>
                <w:rFonts w:hint="default" w:ascii="Times New Roman" w:hAnsi="Times New Roman" w:cs="Times New Roman"/>
                <w:b/>
                <w:bCs/>
                <w:color w:val="auto"/>
                <w:sz w:val="21"/>
                <w:szCs w:val="21"/>
                <w:highlight w:val="none"/>
              </w:rPr>
              <w:fldChar w:fldCharType="separate"/>
            </w:r>
            <w:r>
              <w:rPr>
                <w:rFonts w:hint="default" w:ascii="Times New Roman" w:hAnsi="Times New Roman" w:cs="Times New Roman"/>
                <w:b/>
                <w:bCs/>
                <w:color w:val="auto"/>
                <w:sz w:val="21"/>
                <w:szCs w:val="21"/>
                <w:highlight w:val="none"/>
              </w:rPr>
              <w:t>2</w:t>
            </w:r>
            <w:r>
              <w:rPr>
                <w:rFonts w:hint="default" w:ascii="Times New Roman" w:hAnsi="Times New Roman" w:cs="Times New Roman"/>
                <w:b/>
                <w:bCs/>
                <w:color w:val="auto"/>
                <w:sz w:val="21"/>
                <w:szCs w:val="21"/>
                <w:highlight w:val="none"/>
              </w:rPr>
              <w:fldChar w:fldCharType="end"/>
            </w:r>
            <w:r>
              <w:rPr>
                <w:rFonts w:hint="default" w:ascii="Times New Roman" w:hAnsi="Times New Roman" w:cs="Times New Roman"/>
                <w:b/>
                <w:bCs/>
                <w:color w:val="auto"/>
                <w:sz w:val="21"/>
                <w:szCs w:val="21"/>
                <w:highlight w:val="none"/>
              </w:rPr>
              <w:t>-</w:t>
            </w:r>
            <w:r>
              <w:rPr>
                <w:rFonts w:hint="eastAsia" w:ascii="Times New Roman" w:cs="Times New Roman"/>
                <w:b/>
                <w:bCs/>
                <w:color w:val="auto"/>
                <w:sz w:val="21"/>
                <w:szCs w:val="21"/>
                <w:highlight w:val="none"/>
                <w:lang w:val="en-US" w:eastAsia="zh-CN"/>
              </w:rPr>
              <w:t>9</w:t>
            </w:r>
            <w:r>
              <w:rPr>
                <w:rFonts w:hint="eastAsia" w:ascii="Times New Roman" w:cs="Times New Roman"/>
                <w:b/>
                <w:color w:val="auto"/>
                <w:sz w:val="21"/>
                <w:szCs w:val="21"/>
                <w:highlight w:val="none"/>
                <w:lang w:val="en-US" w:eastAsia="zh-CN"/>
              </w:rPr>
              <w:t>严禁接收废物类别</w:t>
            </w:r>
            <w:r>
              <w:rPr>
                <w:rFonts w:hint="default" w:ascii="Times New Roman" w:hAnsi="Times New Roman" w:cs="Times New Roman"/>
                <w:b/>
                <w:color w:val="auto"/>
                <w:sz w:val="21"/>
                <w:szCs w:val="21"/>
                <w:highlight w:val="none"/>
              </w:rPr>
              <w:t>一览表</w:t>
            </w:r>
            <w:r>
              <w:rPr>
                <w:rFonts w:hint="eastAsia" w:ascii="Times New Roman" w:cs="Times New Roman"/>
                <w:b/>
                <w:color w:val="auto"/>
                <w:sz w:val="21"/>
                <w:szCs w:val="21"/>
                <w:highlight w:val="none"/>
                <w:lang w:eastAsia="zh-CN"/>
              </w:rPr>
              <w:t>（</w:t>
            </w:r>
            <w:r>
              <w:rPr>
                <w:rFonts w:hint="eastAsia" w:ascii="Times New Roman" w:cs="Times New Roman"/>
                <w:b/>
                <w:color w:val="auto"/>
                <w:sz w:val="21"/>
                <w:szCs w:val="21"/>
                <w:highlight w:val="none"/>
                <w:lang w:val="en-US" w:eastAsia="zh-CN"/>
              </w:rPr>
              <w:t>特殊管控废物</w:t>
            </w:r>
            <w:r>
              <w:rPr>
                <w:rFonts w:hint="eastAsia" w:ascii="Times New Roman" w:cs="Times New Roman"/>
                <w:b/>
                <w:color w:val="auto"/>
                <w:sz w:val="21"/>
                <w:szCs w:val="21"/>
                <w:highlight w:val="none"/>
                <w:lang w:eastAsia="zh-CN"/>
              </w:rPr>
              <w:t>）</w:t>
            </w:r>
          </w:p>
          <w:tbl>
            <w:tblPr>
              <w:tblStyle w:val="45"/>
              <w:tblW w:w="78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3"/>
              <w:gridCol w:w="3150"/>
              <w:gridCol w:w="4320"/>
            </w:tblGrid>
            <w:tr w14:paraId="7BC5F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vAlign w:val="center"/>
                </w:tcPr>
                <w:p w14:paraId="0C76DEB1">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序号</w:t>
                  </w:r>
                </w:p>
              </w:tc>
              <w:tc>
                <w:tcPr>
                  <w:tcW w:w="3150" w:type="dxa"/>
                  <w:vAlign w:val="center"/>
                </w:tcPr>
                <w:p w14:paraId="12B38E3A">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禁收类别</w:t>
                  </w:r>
                </w:p>
              </w:tc>
              <w:tc>
                <w:tcPr>
                  <w:tcW w:w="4320" w:type="dxa"/>
                  <w:vAlign w:val="center"/>
                </w:tcPr>
                <w:p w14:paraId="3A209147">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法律依据/管理要求</w:t>
                  </w:r>
                </w:p>
              </w:tc>
            </w:tr>
            <w:tr w14:paraId="79360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vAlign w:val="center"/>
                </w:tcPr>
                <w:p w14:paraId="44DFF246">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1</w:t>
                  </w:r>
                </w:p>
              </w:tc>
              <w:tc>
                <w:tcPr>
                  <w:tcW w:w="3150" w:type="dxa"/>
                </w:tcPr>
                <w:p w14:paraId="3B76735C">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医疗废物（感染性、损伤性、病理性、药物性、化学性）</w:t>
                  </w:r>
                </w:p>
              </w:tc>
              <w:tc>
                <w:tcPr>
                  <w:tcW w:w="4320" w:type="dxa"/>
                </w:tcPr>
                <w:p w14:paraId="4B17CF79">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《医疗废物管理条例》</w:t>
                  </w:r>
                </w:p>
              </w:tc>
            </w:tr>
            <w:tr w14:paraId="3D323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vAlign w:val="center"/>
                </w:tcPr>
                <w:p w14:paraId="1A386396">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2</w:t>
                  </w:r>
                </w:p>
              </w:tc>
              <w:tc>
                <w:tcPr>
                  <w:tcW w:w="3150" w:type="dxa"/>
                </w:tcPr>
                <w:p w14:paraId="119CD574">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石棉及含石棉建筑材料/制品</w:t>
                  </w:r>
                </w:p>
              </w:tc>
              <w:tc>
                <w:tcPr>
                  <w:tcW w:w="4320" w:type="dxa"/>
                </w:tcPr>
                <w:p w14:paraId="1ECFC273">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IARC一类致癌物；《工作场所职业卫生管理规定》</w:t>
                  </w:r>
                </w:p>
              </w:tc>
            </w:tr>
            <w:tr w14:paraId="025FE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tcPr>
                <w:p w14:paraId="6AB445AF">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3</w:t>
                  </w:r>
                </w:p>
              </w:tc>
              <w:tc>
                <w:tcPr>
                  <w:tcW w:w="3150" w:type="dxa"/>
                </w:tcPr>
                <w:p w14:paraId="4E84ECF3">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放射性污染物/疑似放射性废物</w:t>
                  </w:r>
                </w:p>
              </w:tc>
              <w:tc>
                <w:tcPr>
                  <w:tcW w:w="4320" w:type="dxa"/>
                </w:tcPr>
                <w:p w14:paraId="0732A32A">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《放射性污染防治法》</w:t>
                  </w:r>
                </w:p>
              </w:tc>
            </w:tr>
            <w:tr w14:paraId="46B82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tcPr>
                <w:p w14:paraId="2F8AA4A6">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4</w:t>
                  </w:r>
                </w:p>
              </w:tc>
              <w:tc>
                <w:tcPr>
                  <w:tcW w:w="3150" w:type="dxa"/>
                </w:tcPr>
                <w:p w14:paraId="32C9FE2C">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爆炸性物质/易燃易爆物品</w:t>
                  </w:r>
                </w:p>
              </w:tc>
              <w:tc>
                <w:tcPr>
                  <w:tcW w:w="4320" w:type="dxa"/>
                </w:tcPr>
                <w:p w14:paraId="6D0A5FE0">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《安全生产法》《民用爆炸物品安全管理条例》</w:t>
                  </w:r>
                </w:p>
              </w:tc>
            </w:tr>
            <w:tr w14:paraId="22059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tcPr>
                <w:p w14:paraId="60C9DFBF">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5</w:t>
                  </w:r>
                </w:p>
              </w:tc>
              <w:tc>
                <w:tcPr>
                  <w:tcW w:w="3150" w:type="dxa"/>
                </w:tcPr>
                <w:p w14:paraId="13597063">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剧毒化学品包装物/容器</w:t>
                  </w:r>
                </w:p>
              </w:tc>
              <w:tc>
                <w:tcPr>
                  <w:tcW w:w="4320" w:type="dxa"/>
                </w:tcPr>
                <w:p w14:paraId="42696411">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《危险化学品安全管理条例》</w:t>
                  </w:r>
                </w:p>
              </w:tc>
            </w:tr>
            <w:tr w14:paraId="3D9A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tcPr>
                <w:p w14:paraId="5ABBCDF7">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6</w:t>
                  </w:r>
                </w:p>
              </w:tc>
              <w:tc>
                <w:tcPr>
                  <w:tcW w:w="3150" w:type="dxa"/>
                </w:tcPr>
                <w:p w14:paraId="2E56F2A5">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农药包装废弃物</w:t>
                  </w:r>
                </w:p>
              </w:tc>
              <w:tc>
                <w:tcPr>
                  <w:tcW w:w="4320" w:type="dxa"/>
                </w:tcPr>
                <w:p w14:paraId="690B816C">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《农药包装废弃物回收处理管理办法》</w:t>
                  </w:r>
                </w:p>
              </w:tc>
            </w:tr>
            <w:tr w14:paraId="4A7EE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tcPr>
                <w:p w14:paraId="5A599AD0">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7</w:t>
                  </w:r>
                </w:p>
              </w:tc>
              <w:tc>
                <w:tcPr>
                  <w:tcW w:w="3150" w:type="dxa"/>
                </w:tcPr>
                <w:p w14:paraId="445ECBCB">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过期/变质/被污染的食品药品及其包装</w:t>
                  </w:r>
                </w:p>
              </w:tc>
              <w:tc>
                <w:tcPr>
                  <w:tcW w:w="4320" w:type="dxa"/>
                </w:tcPr>
                <w:p w14:paraId="32E98385">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《食品安全法》《药品管理法》</w:t>
                  </w:r>
                </w:p>
              </w:tc>
            </w:tr>
            <w:tr w14:paraId="17D0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dxa"/>
                </w:tcPr>
                <w:p w14:paraId="5F766106">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8</w:t>
                  </w:r>
                </w:p>
              </w:tc>
              <w:tc>
                <w:tcPr>
                  <w:tcW w:w="3150" w:type="dxa"/>
                </w:tcPr>
                <w:p w14:paraId="17416EDD">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废弃农药瓶/农膜</w:t>
                  </w:r>
                </w:p>
              </w:tc>
              <w:tc>
                <w:tcPr>
                  <w:tcW w:w="4320" w:type="dxa"/>
                </w:tcPr>
                <w:p w14:paraId="6351CB60">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《农用薄膜管理办法》</w:t>
                  </w:r>
                </w:p>
              </w:tc>
            </w:tr>
          </w:tbl>
          <w:p w14:paraId="64C760AC">
            <w:pPr>
              <w:pStyle w:val="4"/>
              <w:ind w:left="0" w:leftChars="0" w:firstLine="0" w:firstLineChars="0"/>
              <w:jc w:val="center"/>
              <w:rPr>
                <w:rFonts w:hint="eastAsia" w:eastAsia="宋体"/>
                <w:color w:val="auto"/>
                <w:lang w:eastAsia="zh-CN"/>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rPr>
              <w:fldChar w:fldCharType="begin"/>
            </w:r>
            <w:r>
              <w:rPr>
                <w:rFonts w:hint="default" w:ascii="Times New Roman" w:hAnsi="Times New Roman" w:cs="Times New Roman"/>
                <w:b/>
                <w:bCs/>
                <w:color w:val="auto"/>
                <w:sz w:val="21"/>
                <w:szCs w:val="21"/>
                <w:highlight w:val="none"/>
              </w:rPr>
              <w:instrText xml:space="preserve"> STYLEREF 1 \s </w:instrText>
            </w:r>
            <w:r>
              <w:rPr>
                <w:rFonts w:hint="default" w:ascii="Times New Roman" w:hAnsi="Times New Roman" w:cs="Times New Roman"/>
                <w:b/>
                <w:bCs/>
                <w:color w:val="auto"/>
                <w:sz w:val="21"/>
                <w:szCs w:val="21"/>
                <w:highlight w:val="none"/>
              </w:rPr>
              <w:fldChar w:fldCharType="separate"/>
            </w:r>
            <w:r>
              <w:rPr>
                <w:rFonts w:hint="default" w:ascii="Times New Roman" w:hAnsi="Times New Roman" w:cs="Times New Roman"/>
                <w:b/>
                <w:bCs/>
                <w:color w:val="auto"/>
                <w:sz w:val="21"/>
                <w:szCs w:val="21"/>
                <w:highlight w:val="none"/>
              </w:rPr>
              <w:t>2</w:t>
            </w:r>
            <w:r>
              <w:rPr>
                <w:rFonts w:hint="default" w:ascii="Times New Roman" w:hAnsi="Times New Roman" w:cs="Times New Roman"/>
                <w:b/>
                <w:bCs/>
                <w:color w:val="auto"/>
                <w:sz w:val="21"/>
                <w:szCs w:val="21"/>
                <w:highlight w:val="none"/>
              </w:rPr>
              <w:fldChar w:fldCharType="end"/>
            </w:r>
            <w:r>
              <w:rPr>
                <w:rFonts w:hint="default" w:ascii="Times New Roman" w:hAnsi="Times New Roman" w:cs="Times New Roman"/>
                <w:b/>
                <w:bCs/>
                <w:color w:val="auto"/>
                <w:sz w:val="21"/>
                <w:szCs w:val="21"/>
                <w:highlight w:val="none"/>
              </w:rPr>
              <w:t>-</w:t>
            </w:r>
            <w:r>
              <w:rPr>
                <w:rFonts w:hint="eastAsia" w:ascii="Times New Roman" w:cs="Times New Roman"/>
                <w:b/>
                <w:bCs/>
                <w:color w:val="auto"/>
                <w:sz w:val="21"/>
                <w:szCs w:val="21"/>
                <w:highlight w:val="none"/>
                <w:lang w:val="en-US" w:eastAsia="zh-CN"/>
              </w:rPr>
              <w:t>10</w:t>
            </w:r>
            <w:r>
              <w:rPr>
                <w:rFonts w:hint="eastAsia" w:ascii="Times New Roman" w:cs="Times New Roman"/>
                <w:b/>
                <w:color w:val="auto"/>
                <w:sz w:val="21"/>
                <w:szCs w:val="21"/>
                <w:highlight w:val="none"/>
                <w:lang w:val="en-US" w:eastAsia="zh-CN"/>
              </w:rPr>
              <w:t>严禁接收废物类别</w:t>
            </w:r>
            <w:r>
              <w:rPr>
                <w:rFonts w:hint="default" w:ascii="Times New Roman" w:hAnsi="Times New Roman" w:cs="Times New Roman"/>
                <w:b/>
                <w:color w:val="auto"/>
                <w:sz w:val="21"/>
                <w:szCs w:val="21"/>
                <w:highlight w:val="none"/>
              </w:rPr>
              <w:t>一览表</w:t>
            </w:r>
            <w:r>
              <w:rPr>
                <w:rFonts w:hint="eastAsia" w:ascii="Times New Roman" w:cs="Times New Roman"/>
                <w:b/>
                <w:color w:val="auto"/>
                <w:sz w:val="21"/>
                <w:szCs w:val="21"/>
                <w:highlight w:val="none"/>
                <w:lang w:eastAsia="zh-CN"/>
              </w:rPr>
              <w:t>（</w:t>
            </w:r>
            <w:r>
              <w:rPr>
                <w:rFonts w:hint="eastAsia" w:ascii="Times New Roman" w:cs="Times New Roman"/>
                <w:b/>
                <w:color w:val="auto"/>
                <w:sz w:val="21"/>
                <w:szCs w:val="21"/>
                <w:highlight w:val="none"/>
                <w:lang w:val="en-US" w:eastAsia="zh-CN"/>
              </w:rPr>
              <w:t>物理形态限制</w:t>
            </w:r>
            <w:r>
              <w:rPr>
                <w:rFonts w:hint="eastAsia" w:ascii="Times New Roman" w:cs="Times New Roman"/>
                <w:b/>
                <w:color w:val="auto"/>
                <w:sz w:val="21"/>
                <w:szCs w:val="21"/>
                <w:highlight w:val="none"/>
                <w:lang w:eastAsia="zh-CN"/>
              </w:rPr>
              <w:t>）</w:t>
            </w:r>
          </w:p>
          <w:tbl>
            <w:tblPr>
              <w:tblStyle w:val="4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
              <w:gridCol w:w="3170"/>
              <w:gridCol w:w="4193"/>
            </w:tblGrid>
            <w:tr w14:paraId="5DDAB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 w:type="pct"/>
                  <w:vAlign w:val="center"/>
                </w:tcPr>
                <w:p w14:paraId="07BA56FA">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序号</w:t>
                  </w:r>
                </w:p>
              </w:tc>
              <w:tc>
                <w:tcPr>
                  <w:tcW w:w="2020" w:type="pct"/>
                  <w:vAlign w:val="center"/>
                </w:tcPr>
                <w:p w14:paraId="4385298C">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禁收类别</w:t>
                  </w:r>
                </w:p>
              </w:tc>
              <w:tc>
                <w:tcPr>
                  <w:tcW w:w="2672" w:type="pct"/>
                  <w:vAlign w:val="center"/>
                </w:tcPr>
                <w:p w14:paraId="06715D3C">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禁收原因</w:t>
                  </w:r>
                </w:p>
              </w:tc>
            </w:tr>
            <w:tr w14:paraId="3A08B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 w:type="pct"/>
                  <w:vAlign w:val="center"/>
                </w:tcPr>
                <w:p w14:paraId="0C186019">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1</w:t>
                  </w:r>
                </w:p>
              </w:tc>
              <w:tc>
                <w:tcPr>
                  <w:tcW w:w="2020" w:type="pct"/>
                  <w:vAlign w:val="center"/>
                </w:tcPr>
                <w:p w14:paraId="09025636">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液态废物</w:t>
                  </w:r>
                </w:p>
              </w:tc>
              <w:tc>
                <w:tcPr>
                  <w:tcW w:w="2672" w:type="pct"/>
                  <w:vAlign w:val="center"/>
                </w:tcPr>
                <w:p w14:paraId="5C74808E">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项目无污水处理设施，无废水排放许可</w:t>
                  </w:r>
                </w:p>
              </w:tc>
            </w:tr>
            <w:tr w14:paraId="4E097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 w:type="pct"/>
                  <w:vAlign w:val="center"/>
                </w:tcPr>
                <w:p w14:paraId="724CFA2F">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2</w:t>
                  </w:r>
                </w:p>
              </w:tc>
              <w:tc>
                <w:tcPr>
                  <w:tcW w:w="2020" w:type="pct"/>
                  <w:vAlign w:val="center"/>
                </w:tcPr>
                <w:p w14:paraId="42AA6D43">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半固态/膏状废物（污泥、底泥、泥浆状物）</w:t>
                  </w:r>
                </w:p>
              </w:tc>
              <w:tc>
                <w:tcPr>
                  <w:tcW w:w="2672" w:type="pct"/>
                  <w:vAlign w:val="center"/>
                </w:tcPr>
                <w:p w14:paraId="7DDAEC4D">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易渗漏、难密闭运输、无防渗暂存条件</w:t>
                  </w:r>
                </w:p>
              </w:tc>
            </w:tr>
            <w:tr w14:paraId="5AD3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 w:type="pct"/>
                  <w:vAlign w:val="center"/>
                </w:tcPr>
                <w:p w14:paraId="4AB05639">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3</w:t>
                  </w:r>
                </w:p>
              </w:tc>
              <w:tc>
                <w:tcPr>
                  <w:tcW w:w="2020" w:type="pct"/>
                  <w:vAlign w:val="center"/>
                </w:tcPr>
                <w:p w14:paraId="2AF2D0E7">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具有强烈刺激性异味/恶臭的废物</w:t>
                  </w:r>
                </w:p>
              </w:tc>
              <w:tc>
                <w:tcPr>
                  <w:tcW w:w="2672" w:type="pct"/>
                  <w:vAlign w:val="center"/>
                </w:tcPr>
                <w:p w14:paraId="57E44D20">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项目无除臭设施，臭气浓度无法控制，影响周边环境</w:t>
                  </w:r>
                </w:p>
              </w:tc>
            </w:tr>
            <w:tr w14:paraId="5558B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 w:type="pct"/>
                  <w:vAlign w:val="center"/>
                </w:tcPr>
                <w:p w14:paraId="243C3123">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4</w:t>
                  </w:r>
                </w:p>
              </w:tc>
              <w:tc>
                <w:tcPr>
                  <w:tcW w:w="2020" w:type="pct"/>
                  <w:vAlign w:val="center"/>
                </w:tcPr>
                <w:p w14:paraId="2D5CE5BC">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有渗滤液产生的废物（如湿垃圾、厨余垃圾）</w:t>
                  </w:r>
                </w:p>
              </w:tc>
              <w:tc>
                <w:tcPr>
                  <w:tcW w:w="2672" w:type="pct"/>
                  <w:vAlign w:val="center"/>
                </w:tcPr>
                <w:p w14:paraId="30DE8804">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无渗滤液收集处理系统</w:t>
                  </w:r>
                </w:p>
              </w:tc>
            </w:tr>
            <w:tr w14:paraId="307E8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 w:type="pct"/>
                  <w:vAlign w:val="center"/>
                </w:tcPr>
                <w:p w14:paraId="19232C54">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5</w:t>
                  </w:r>
                </w:p>
              </w:tc>
              <w:tc>
                <w:tcPr>
                  <w:tcW w:w="2020" w:type="pct"/>
                  <w:vAlign w:val="center"/>
                </w:tcPr>
                <w:p w14:paraId="30EC7998">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建筑垃圾/装修垃圾</w:t>
                  </w:r>
                </w:p>
              </w:tc>
              <w:tc>
                <w:tcPr>
                  <w:tcW w:w="2672" w:type="pct"/>
                  <w:vAlign w:val="center"/>
                </w:tcPr>
                <w:p w14:paraId="4FBF21C7">
                  <w:pPr>
                    <w:keepNext w:val="0"/>
                    <w:keepLines w:val="0"/>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不属于工业固废范畴，已明确排除</w:t>
                  </w:r>
                </w:p>
              </w:tc>
            </w:tr>
          </w:tbl>
          <w:p w14:paraId="25C4EF9A">
            <w:pPr>
              <w:pStyle w:val="4"/>
              <w:ind w:left="0" w:leftChars="0" w:firstLine="0" w:firstLineChars="0"/>
              <w:jc w:val="center"/>
              <w:rPr>
                <w:rFonts w:hint="eastAsia" w:eastAsia="宋体"/>
                <w:color w:val="auto"/>
                <w:lang w:eastAsia="zh-CN"/>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rPr>
              <w:fldChar w:fldCharType="begin"/>
            </w:r>
            <w:r>
              <w:rPr>
                <w:rFonts w:hint="default" w:ascii="Times New Roman" w:hAnsi="Times New Roman" w:cs="Times New Roman"/>
                <w:b/>
                <w:bCs/>
                <w:color w:val="auto"/>
                <w:sz w:val="21"/>
                <w:szCs w:val="21"/>
                <w:highlight w:val="none"/>
              </w:rPr>
              <w:instrText xml:space="preserve"> STYLEREF 1 \s </w:instrText>
            </w:r>
            <w:r>
              <w:rPr>
                <w:rFonts w:hint="default" w:ascii="Times New Roman" w:hAnsi="Times New Roman" w:cs="Times New Roman"/>
                <w:b/>
                <w:bCs/>
                <w:color w:val="auto"/>
                <w:sz w:val="21"/>
                <w:szCs w:val="21"/>
                <w:highlight w:val="none"/>
              </w:rPr>
              <w:fldChar w:fldCharType="separate"/>
            </w:r>
            <w:r>
              <w:rPr>
                <w:rFonts w:hint="default" w:ascii="Times New Roman" w:hAnsi="Times New Roman" w:cs="Times New Roman"/>
                <w:b/>
                <w:bCs/>
                <w:color w:val="auto"/>
                <w:sz w:val="21"/>
                <w:szCs w:val="21"/>
                <w:highlight w:val="none"/>
              </w:rPr>
              <w:t>2</w:t>
            </w:r>
            <w:r>
              <w:rPr>
                <w:rFonts w:hint="default" w:ascii="Times New Roman" w:hAnsi="Times New Roman" w:cs="Times New Roman"/>
                <w:b/>
                <w:bCs/>
                <w:color w:val="auto"/>
                <w:sz w:val="21"/>
                <w:szCs w:val="21"/>
                <w:highlight w:val="none"/>
              </w:rPr>
              <w:fldChar w:fldCharType="end"/>
            </w:r>
            <w:r>
              <w:rPr>
                <w:rFonts w:hint="default" w:ascii="Times New Roman" w:hAnsi="Times New Roman" w:cs="Times New Roman"/>
                <w:b/>
                <w:bCs/>
                <w:color w:val="auto"/>
                <w:sz w:val="21"/>
                <w:szCs w:val="21"/>
                <w:highlight w:val="none"/>
              </w:rPr>
              <w:t>-</w:t>
            </w:r>
            <w:r>
              <w:rPr>
                <w:rFonts w:hint="eastAsia" w:ascii="Times New Roman" w:cs="Times New Roman"/>
                <w:b/>
                <w:bCs/>
                <w:color w:val="auto"/>
                <w:sz w:val="21"/>
                <w:szCs w:val="21"/>
                <w:highlight w:val="none"/>
                <w:lang w:val="en-US" w:eastAsia="zh-CN"/>
              </w:rPr>
              <w:t>11</w:t>
            </w:r>
            <w:r>
              <w:rPr>
                <w:rFonts w:hint="eastAsia" w:ascii="Times New Roman" w:cs="Times New Roman"/>
                <w:b/>
                <w:color w:val="auto"/>
                <w:sz w:val="21"/>
                <w:szCs w:val="21"/>
                <w:highlight w:val="none"/>
                <w:lang w:val="en-US" w:eastAsia="zh-CN"/>
              </w:rPr>
              <w:t>严禁接收废物类别</w:t>
            </w:r>
            <w:r>
              <w:rPr>
                <w:rFonts w:hint="default" w:ascii="Times New Roman" w:hAnsi="Times New Roman" w:cs="Times New Roman"/>
                <w:b/>
                <w:color w:val="auto"/>
                <w:sz w:val="21"/>
                <w:szCs w:val="21"/>
                <w:highlight w:val="none"/>
              </w:rPr>
              <w:t>一览表</w:t>
            </w:r>
            <w:r>
              <w:rPr>
                <w:rFonts w:hint="eastAsia" w:ascii="Times New Roman" w:cs="Times New Roman"/>
                <w:b/>
                <w:color w:val="auto"/>
                <w:sz w:val="21"/>
                <w:szCs w:val="21"/>
                <w:highlight w:val="none"/>
                <w:lang w:eastAsia="zh-CN"/>
              </w:rPr>
              <w:t>（</w:t>
            </w:r>
            <w:r>
              <w:rPr>
                <w:rFonts w:hint="eastAsia" w:ascii="Times New Roman" w:cs="Times New Roman"/>
                <w:b/>
                <w:color w:val="auto"/>
                <w:sz w:val="21"/>
                <w:szCs w:val="21"/>
                <w:highlight w:val="none"/>
                <w:lang w:val="en-US" w:eastAsia="zh-CN"/>
              </w:rPr>
              <w:t>来源/属性不明确的废物</w:t>
            </w:r>
            <w:r>
              <w:rPr>
                <w:rFonts w:hint="eastAsia" w:ascii="Times New Roman" w:cs="Times New Roman"/>
                <w:b/>
                <w:color w:val="auto"/>
                <w:sz w:val="21"/>
                <w:szCs w:val="21"/>
                <w:highlight w:val="none"/>
                <w:lang w:eastAsia="zh-CN"/>
              </w:rPr>
              <w:t>）</w:t>
            </w:r>
          </w:p>
          <w:tbl>
            <w:tblPr>
              <w:tblStyle w:val="45"/>
              <w:tblW w:w="7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
              <w:gridCol w:w="4538"/>
              <w:gridCol w:w="2772"/>
            </w:tblGrid>
            <w:tr w14:paraId="5BB2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47" w:type="dxa"/>
                  <w:vAlign w:val="center"/>
                </w:tcPr>
                <w:p w14:paraId="399CF866">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序号</w:t>
                  </w:r>
                </w:p>
              </w:tc>
              <w:tc>
                <w:tcPr>
                  <w:tcW w:w="4538" w:type="dxa"/>
                  <w:vAlign w:val="center"/>
                </w:tcPr>
                <w:p w14:paraId="67F422E1">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禁收情形</w:t>
                  </w:r>
                </w:p>
              </w:tc>
              <w:tc>
                <w:tcPr>
                  <w:tcW w:w="2772" w:type="dxa"/>
                  <w:vAlign w:val="center"/>
                </w:tcPr>
                <w:p w14:paraId="57AA36DF">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处置方式</w:t>
                  </w:r>
                </w:p>
              </w:tc>
            </w:tr>
            <w:tr w14:paraId="4E84B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dxa"/>
                  <w:vAlign w:val="center"/>
                </w:tcPr>
                <w:p w14:paraId="4CF59D12">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1</w:t>
                  </w:r>
                </w:p>
              </w:tc>
              <w:tc>
                <w:tcPr>
                  <w:tcW w:w="4538" w:type="dxa"/>
                  <w:vAlign w:val="center"/>
                </w:tcPr>
                <w:p w14:paraId="5B2A9B91">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无法提供产废单位营业执照和排污许可证的</w:t>
                  </w:r>
                </w:p>
              </w:tc>
              <w:tc>
                <w:tcPr>
                  <w:tcW w:w="2772" w:type="dxa"/>
                  <w:vAlign w:val="center"/>
                </w:tcPr>
                <w:p w14:paraId="73F9036A">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一律拒收</w:t>
                  </w:r>
                </w:p>
              </w:tc>
            </w:tr>
            <w:tr w14:paraId="27A3E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dxa"/>
                  <w:vAlign w:val="center"/>
                </w:tcPr>
                <w:p w14:paraId="3313E57A">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2</w:t>
                  </w:r>
                </w:p>
              </w:tc>
              <w:tc>
                <w:tcPr>
                  <w:tcW w:w="4538" w:type="dxa"/>
                  <w:vAlign w:val="center"/>
                </w:tcPr>
                <w:p w14:paraId="44A817C8">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无法提供废物产生工艺说明和成分检测报告的</w:t>
                  </w:r>
                </w:p>
              </w:tc>
              <w:tc>
                <w:tcPr>
                  <w:tcW w:w="2772" w:type="dxa"/>
                  <w:vAlign w:val="center"/>
                </w:tcPr>
                <w:p w14:paraId="1FCC0EF9">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一律拒收</w:t>
                  </w:r>
                </w:p>
              </w:tc>
            </w:tr>
            <w:tr w14:paraId="3FD89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dxa"/>
                  <w:vAlign w:val="center"/>
                </w:tcPr>
                <w:p w14:paraId="5B6BF43D">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3</w:t>
                  </w:r>
                </w:p>
              </w:tc>
              <w:tc>
                <w:tcPr>
                  <w:tcW w:w="4538" w:type="dxa"/>
                  <w:vAlign w:val="center"/>
                </w:tcPr>
                <w:p w14:paraId="2592FA47">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固废属性存疑、经初步鉴别不能确认为一般工业固废的</w:t>
                  </w:r>
                </w:p>
              </w:tc>
              <w:tc>
                <w:tcPr>
                  <w:tcW w:w="2772" w:type="dxa"/>
                  <w:vAlign w:val="center"/>
                </w:tcPr>
                <w:p w14:paraId="6479A29A">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一律拒收；委托有资质机构鉴别，期间暂存于隔离区</w:t>
                  </w:r>
                </w:p>
              </w:tc>
            </w:tr>
            <w:tr w14:paraId="4DBCF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dxa"/>
                  <w:vAlign w:val="center"/>
                </w:tcPr>
                <w:p w14:paraId="720FCF33">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4</w:t>
                  </w:r>
                </w:p>
              </w:tc>
              <w:tc>
                <w:tcPr>
                  <w:tcW w:w="4538" w:type="dxa"/>
                  <w:vAlign w:val="center"/>
                </w:tcPr>
                <w:p w14:paraId="1FBCB517">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与环评载明接收范围（表2-2所列9类）不符的废物</w:t>
                  </w:r>
                </w:p>
              </w:tc>
              <w:tc>
                <w:tcPr>
                  <w:tcW w:w="2772" w:type="dxa"/>
                  <w:vAlign w:val="center"/>
                </w:tcPr>
                <w:p w14:paraId="23CA8A41">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一律拒收</w:t>
                  </w:r>
                </w:p>
              </w:tc>
            </w:tr>
            <w:tr w14:paraId="66F03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dxa"/>
                  <w:vAlign w:val="center"/>
                </w:tcPr>
                <w:p w14:paraId="18CC5FE2">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5</w:t>
                  </w:r>
                </w:p>
              </w:tc>
              <w:tc>
                <w:tcPr>
                  <w:tcW w:w="4538" w:type="dxa"/>
                  <w:vAlign w:val="center"/>
                </w:tcPr>
                <w:p w14:paraId="27C31299">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进口固体废物（含洋垃圾、进口废塑料等）</w:t>
                  </w:r>
                </w:p>
              </w:tc>
              <w:tc>
                <w:tcPr>
                  <w:tcW w:w="2772" w:type="dxa"/>
                  <w:vAlign w:val="center"/>
                </w:tcPr>
                <w:p w14:paraId="48AAC19C">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依法禁止进口，一律拒收并报告生态环境部门</w:t>
                  </w:r>
                </w:p>
              </w:tc>
            </w:tr>
            <w:tr w14:paraId="582D5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dxa"/>
                  <w:vAlign w:val="center"/>
                </w:tcPr>
                <w:p w14:paraId="0222E996">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6</w:t>
                  </w:r>
                </w:p>
              </w:tc>
              <w:tc>
                <w:tcPr>
                  <w:tcW w:w="4538" w:type="dxa"/>
                  <w:vAlign w:val="center"/>
                </w:tcPr>
                <w:p w14:paraId="2C2F8224">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来源不明、无溯源记录的废物</w:t>
                  </w:r>
                </w:p>
              </w:tc>
              <w:tc>
                <w:tcPr>
                  <w:tcW w:w="2772" w:type="dxa"/>
                  <w:vAlign w:val="center"/>
                </w:tcPr>
                <w:p w14:paraId="276FB62D">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一律拒收</w:t>
                  </w:r>
                </w:p>
              </w:tc>
            </w:tr>
          </w:tbl>
          <w:p w14:paraId="5E5AC26F">
            <w:pPr>
              <w:pStyle w:val="4"/>
              <w:ind w:left="0" w:leftChars="0" w:firstLine="0" w:firstLineChars="0"/>
              <w:jc w:val="center"/>
              <w:rPr>
                <w:rFonts w:hint="eastAsia" w:eastAsia="宋体"/>
                <w:color w:val="auto"/>
                <w:lang w:eastAsia="zh-CN"/>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rPr>
              <w:fldChar w:fldCharType="begin"/>
            </w:r>
            <w:r>
              <w:rPr>
                <w:rFonts w:hint="default" w:ascii="Times New Roman" w:hAnsi="Times New Roman" w:cs="Times New Roman"/>
                <w:b/>
                <w:bCs/>
                <w:color w:val="auto"/>
                <w:sz w:val="21"/>
                <w:szCs w:val="21"/>
                <w:highlight w:val="none"/>
              </w:rPr>
              <w:instrText xml:space="preserve"> STYLEREF 1 \s </w:instrText>
            </w:r>
            <w:r>
              <w:rPr>
                <w:rFonts w:hint="default" w:ascii="Times New Roman" w:hAnsi="Times New Roman" w:cs="Times New Roman"/>
                <w:b/>
                <w:bCs/>
                <w:color w:val="auto"/>
                <w:sz w:val="21"/>
                <w:szCs w:val="21"/>
                <w:highlight w:val="none"/>
              </w:rPr>
              <w:fldChar w:fldCharType="separate"/>
            </w:r>
            <w:r>
              <w:rPr>
                <w:rFonts w:hint="default" w:ascii="Times New Roman" w:hAnsi="Times New Roman" w:cs="Times New Roman"/>
                <w:b/>
                <w:bCs/>
                <w:color w:val="auto"/>
                <w:sz w:val="21"/>
                <w:szCs w:val="21"/>
                <w:highlight w:val="none"/>
              </w:rPr>
              <w:t>2</w:t>
            </w:r>
            <w:r>
              <w:rPr>
                <w:rFonts w:hint="default" w:ascii="Times New Roman" w:hAnsi="Times New Roman" w:cs="Times New Roman"/>
                <w:b/>
                <w:bCs/>
                <w:color w:val="auto"/>
                <w:sz w:val="21"/>
                <w:szCs w:val="21"/>
                <w:highlight w:val="none"/>
              </w:rPr>
              <w:fldChar w:fldCharType="end"/>
            </w:r>
            <w:r>
              <w:rPr>
                <w:rFonts w:hint="default" w:ascii="Times New Roman" w:hAnsi="Times New Roman" w:cs="Times New Roman"/>
                <w:b/>
                <w:bCs/>
                <w:color w:val="auto"/>
                <w:sz w:val="21"/>
                <w:szCs w:val="21"/>
                <w:highlight w:val="none"/>
              </w:rPr>
              <w:t>-</w:t>
            </w:r>
            <w:r>
              <w:rPr>
                <w:rFonts w:hint="eastAsia" w:ascii="Times New Roman" w:cs="Times New Roman"/>
                <w:b/>
                <w:bCs/>
                <w:color w:val="auto"/>
                <w:sz w:val="21"/>
                <w:szCs w:val="21"/>
                <w:highlight w:val="none"/>
                <w:lang w:val="en-US" w:eastAsia="zh-CN"/>
              </w:rPr>
              <w:t>12</w:t>
            </w:r>
            <w:r>
              <w:rPr>
                <w:rFonts w:hint="eastAsia" w:ascii="Times New Roman" w:cs="Times New Roman"/>
                <w:b/>
                <w:color w:val="auto"/>
                <w:sz w:val="21"/>
                <w:szCs w:val="21"/>
                <w:highlight w:val="none"/>
                <w:lang w:val="en-US" w:eastAsia="zh-CN"/>
              </w:rPr>
              <w:t>有条件接收类别</w:t>
            </w:r>
            <w:r>
              <w:rPr>
                <w:rFonts w:hint="default" w:ascii="Times New Roman" w:hAnsi="Times New Roman" w:cs="Times New Roman"/>
                <w:b/>
                <w:color w:val="auto"/>
                <w:sz w:val="21"/>
                <w:szCs w:val="21"/>
                <w:highlight w:val="none"/>
              </w:rPr>
              <w:t>一览表</w:t>
            </w:r>
          </w:p>
          <w:tbl>
            <w:tblPr>
              <w:tblStyle w:val="45"/>
              <w:tblW w:w="7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8"/>
              <w:gridCol w:w="2160"/>
              <w:gridCol w:w="3246"/>
            </w:tblGrid>
            <w:tr w14:paraId="61513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8" w:type="dxa"/>
                </w:tcPr>
                <w:p w14:paraId="53BF131E">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类别</w:t>
                  </w:r>
                </w:p>
              </w:tc>
              <w:tc>
                <w:tcPr>
                  <w:tcW w:w="2160" w:type="dxa"/>
                </w:tcPr>
                <w:p w14:paraId="6275E01D">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附加审核条件</w:t>
                  </w:r>
                </w:p>
              </w:tc>
              <w:tc>
                <w:tcPr>
                  <w:tcW w:w="3246" w:type="dxa"/>
                </w:tcPr>
                <w:p w14:paraId="2BC15167">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证明材料</w:t>
                  </w:r>
                </w:p>
              </w:tc>
            </w:tr>
            <w:tr w14:paraId="1B297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8" w:type="dxa"/>
                </w:tcPr>
                <w:p w14:paraId="2F9EE318">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来自化工行业的废塑料包装物</w:t>
                  </w:r>
                </w:p>
              </w:tc>
              <w:tc>
                <w:tcPr>
                  <w:tcW w:w="2160" w:type="dxa"/>
                </w:tcPr>
                <w:p w14:paraId="0842E1B8">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须确认未接触危险化学品</w:t>
                  </w:r>
                </w:p>
              </w:tc>
              <w:tc>
                <w:tcPr>
                  <w:tcW w:w="3246" w:type="dxa"/>
                </w:tcPr>
                <w:p w14:paraId="42B09B27">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MSDS/SDS安全数据表 + 产污单位书面声明</w:t>
                  </w:r>
                </w:p>
              </w:tc>
            </w:tr>
            <w:tr w14:paraId="65CDA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8" w:type="dxa"/>
                </w:tcPr>
                <w:p w14:paraId="22914DF5">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来自污水处理厂的污泥</w:t>
                  </w:r>
                </w:p>
              </w:tc>
              <w:tc>
                <w:tcPr>
                  <w:tcW w:w="2160" w:type="dxa"/>
                </w:tcPr>
                <w:p w14:paraId="0900E31F">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须提供重金属浸出毒性检测报告</w:t>
                  </w:r>
                </w:p>
              </w:tc>
              <w:tc>
                <w:tcPr>
                  <w:tcW w:w="3246" w:type="dxa"/>
                </w:tcPr>
                <w:p w14:paraId="250E72B9">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CMA/CNAS资质机构出具的检测报告，符合GB18599入场限值</w:t>
                  </w:r>
                </w:p>
              </w:tc>
            </w:tr>
            <w:tr w14:paraId="45675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8" w:type="dxa"/>
                </w:tcPr>
                <w:p w14:paraId="6B961D5F">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来自非金属矿加工的粉尘/残渣</w:t>
                  </w:r>
                </w:p>
              </w:tc>
              <w:tc>
                <w:tcPr>
                  <w:tcW w:w="2160" w:type="dxa"/>
                </w:tcPr>
                <w:p w14:paraId="77483787">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须提供成分分析报告</w:t>
                  </w:r>
                </w:p>
              </w:tc>
              <w:tc>
                <w:tcPr>
                  <w:tcW w:w="3246" w:type="dxa"/>
                </w:tcPr>
                <w:p w14:paraId="3F0CC62B">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重金属含量不超过韶关市土壤背景值</w:t>
                  </w:r>
                </w:p>
              </w:tc>
            </w:tr>
            <w:tr w14:paraId="1DC5B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248" w:type="dxa"/>
                </w:tcPr>
                <w:p w14:paraId="1420844E">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废纺织品中可能含PVC涂层/印染残留的</w:t>
                  </w:r>
                </w:p>
              </w:tc>
              <w:tc>
                <w:tcPr>
                  <w:tcW w:w="2160" w:type="dxa"/>
                </w:tcPr>
                <w:p w14:paraId="434F0160">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须分拣剔除后仅接收纯天然纤维部分</w:t>
                  </w:r>
                </w:p>
              </w:tc>
              <w:tc>
                <w:tcPr>
                  <w:tcW w:w="3246" w:type="dxa"/>
                </w:tcPr>
                <w:p w14:paraId="08E32F89">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入厂分拣记录+抽检报告</w:t>
                  </w:r>
                </w:p>
              </w:tc>
            </w:tr>
            <w:tr w14:paraId="2F6B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8" w:type="dxa"/>
                </w:tcPr>
                <w:p w14:paraId="051388B7">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废轮胎（来自机动车拆解）</w:t>
                  </w:r>
                </w:p>
              </w:tc>
              <w:tc>
                <w:tcPr>
                  <w:tcW w:w="2160" w:type="dxa"/>
                </w:tcPr>
                <w:p w14:paraId="08425156">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须确认来自合法拆解企业</w:t>
                  </w:r>
                </w:p>
              </w:tc>
              <w:tc>
                <w:tcPr>
                  <w:tcW w:w="3246" w:type="dxa"/>
                </w:tcPr>
                <w:p w14:paraId="6829FB2F">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拆解企业资质证明 + 去除钢丝圈</w:t>
                  </w:r>
                </w:p>
              </w:tc>
            </w:tr>
          </w:tbl>
          <w:p w14:paraId="10BE8E68">
            <w:pPr>
              <w:pStyle w:val="10"/>
              <w:keepNext/>
              <w:keepLines/>
              <w:pageBreakBefore w:val="0"/>
              <w:widowControl w:val="0"/>
              <w:numPr>
                <w:ilvl w:val="0"/>
                <w:numId w:val="0"/>
              </w:numPr>
              <w:kinsoku/>
              <w:wordWrap/>
              <w:overflowPunct/>
              <w:topLinePunct w:val="0"/>
              <w:autoSpaceDE/>
              <w:autoSpaceDN/>
              <w:bidi w:val="0"/>
              <w:adjustRightInd/>
              <w:snapToGrid/>
              <w:ind w:left="0" w:leftChars="0" w:firstLine="480" w:firstLineChars="0"/>
              <w:textAlignment w:val="auto"/>
              <w:rPr>
                <w:rFonts w:hint="default"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lang w:val="en-US" w:eastAsia="zh-CN" w:bidi="ar-SA"/>
              </w:rPr>
              <w:t>4）</w:t>
            </w:r>
            <w:r>
              <w:rPr>
                <w:rFonts w:hint="eastAsia" w:cs="Times New Roman"/>
                <w:b w:val="0"/>
                <w:bCs w:val="0"/>
                <w:color w:val="auto"/>
                <w:kern w:val="2"/>
                <w:sz w:val="24"/>
                <w:szCs w:val="24"/>
                <w:highlight w:val="none"/>
                <w:lang w:val="en-US" w:eastAsia="zh-CN" w:bidi="ar-SA"/>
              </w:rPr>
              <w:t>建立严格的入厂固废检验制度，详见下表：</w:t>
            </w:r>
          </w:p>
          <w:p w14:paraId="760BAF82">
            <w:pPr>
              <w:pStyle w:val="4"/>
              <w:ind w:left="0" w:leftChars="0" w:firstLine="0" w:firstLineChars="0"/>
              <w:jc w:val="center"/>
              <w:rPr>
                <w:rFonts w:hint="default" w:eastAsia="宋体"/>
                <w:color w:val="auto"/>
                <w:lang w:val="en-US" w:eastAsia="zh-CN"/>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rPr>
              <w:fldChar w:fldCharType="begin"/>
            </w:r>
            <w:r>
              <w:rPr>
                <w:rFonts w:hint="default" w:ascii="Times New Roman" w:hAnsi="Times New Roman" w:cs="Times New Roman"/>
                <w:b/>
                <w:bCs/>
                <w:color w:val="auto"/>
                <w:sz w:val="21"/>
                <w:szCs w:val="21"/>
                <w:highlight w:val="none"/>
              </w:rPr>
              <w:instrText xml:space="preserve"> STYLEREF 1 \s </w:instrText>
            </w:r>
            <w:r>
              <w:rPr>
                <w:rFonts w:hint="default" w:ascii="Times New Roman" w:hAnsi="Times New Roman" w:cs="Times New Roman"/>
                <w:b/>
                <w:bCs/>
                <w:color w:val="auto"/>
                <w:sz w:val="21"/>
                <w:szCs w:val="21"/>
                <w:highlight w:val="none"/>
              </w:rPr>
              <w:fldChar w:fldCharType="separate"/>
            </w:r>
            <w:r>
              <w:rPr>
                <w:rFonts w:hint="default" w:ascii="Times New Roman" w:hAnsi="Times New Roman" w:cs="Times New Roman"/>
                <w:b/>
                <w:bCs/>
                <w:color w:val="auto"/>
                <w:sz w:val="21"/>
                <w:szCs w:val="21"/>
                <w:highlight w:val="none"/>
              </w:rPr>
              <w:t>2</w:t>
            </w:r>
            <w:r>
              <w:rPr>
                <w:rFonts w:hint="default" w:ascii="Times New Roman" w:hAnsi="Times New Roman" w:cs="Times New Roman"/>
                <w:b/>
                <w:bCs/>
                <w:color w:val="auto"/>
                <w:sz w:val="21"/>
                <w:szCs w:val="21"/>
                <w:highlight w:val="none"/>
              </w:rPr>
              <w:fldChar w:fldCharType="end"/>
            </w:r>
            <w:r>
              <w:rPr>
                <w:rFonts w:hint="default" w:ascii="Times New Roman" w:hAnsi="Times New Roman" w:cs="Times New Roman"/>
                <w:b/>
                <w:bCs/>
                <w:color w:val="auto"/>
                <w:sz w:val="21"/>
                <w:szCs w:val="21"/>
                <w:highlight w:val="none"/>
              </w:rPr>
              <w:t>-</w:t>
            </w:r>
            <w:r>
              <w:rPr>
                <w:rFonts w:hint="eastAsia" w:ascii="Times New Roman" w:cs="Times New Roman"/>
                <w:b/>
                <w:bCs/>
                <w:color w:val="auto"/>
                <w:sz w:val="21"/>
                <w:szCs w:val="21"/>
                <w:highlight w:val="none"/>
                <w:lang w:val="en-US" w:eastAsia="zh-CN"/>
              </w:rPr>
              <w:t xml:space="preserve">13 </w:t>
            </w:r>
            <w:r>
              <w:rPr>
                <w:rFonts w:hint="eastAsia" w:ascii="Times New Roman" w:cs="Times New Roman"/>
                <w:b/>
                <w:color w:val="auto"/>
                <w:sz w:val="21"/>
                <w:szCs w:val="21"/>
                <w:highlight w:val="none"/>
                <w:lang w:val="en-US" w:eastAsia="zh-CN"/>
              </w:rPr>
              <w:t>合作前源头预审</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0"/>
              <w:gridCol w:w="2445"/>
              <w:gridCol w:w="4802"/>
            </w:tblGrid>
            <w:tr w14:paraId="7131D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0" w:type="dxa"/>
                </w:tcPr>
                <w:p w14:paraId="5A387DB6">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序号</w:t>
                  </w:r>
                </w:p>
              </w:tc>
              <w:tc>
                <w:tcPr>
                  <w:tcW w:w="2445" w:type="dxa"/>
                </w:tcPr>
                <w:p w14:paraId="4312C7DD">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审核事项</w:t>
                  </w:r>
                </w:p>
              </w:tc>
              <w:tc>
                <w:tcPr>
                  <w:tcW w:w="4802" w:type="dxa"/>
                </w:tcPr>
                <w:p w14:paraId="50F6D0AF">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要求</w:t>
                  </w:r>
                </w:p>
              </w:tc>
            </w:tr>
            <w:tr w14:paraId="0E44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0" w:type="dxa"/>
                </w:tcPr>
                <w:p w14:paraId="70248E68">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1</w:t>
                  </w:r>
                </w:p>
              </w:tc>
              <w:tc>
                <w:tcPr>
                  <w:tcW w:w="2445" w:type="dxa"/>
                </w:tcPr>
                <w:p w14:paraId="58FEECE3">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核查产废单位营业执照</w:t>
                  </w:r>
                </w:p>
              </w:tc>
              <w:tc>
                <w:tcPr>
                  <w:tcW w:w="4802" w:type="dxa"/>
                </w:tcPr>
                <w:p w14:paraId="2616D876">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营业范围包含相关生产经营活动</w:t>
                  </w:r>
                </w:p>
              </w:tc>
            </w:tr>
            <w:tr w14:paraId="3032B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0" w:type="dxa"/>
                </w:tcPr>
                <w:p w14:paraId="242913BB">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2</w:t>
                  </w:r>
                </w:p>
              </w:tc>
              <w:tc>
                <w:tcPr>
                  <w:tcW w:w="2445" w:type="dxa"/>
                </w:tcPr>
                <w:p w14:paraId="0944A09C">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核查排污许可证</w:t>
                  </w:r>
                </w:p>
              </w:tc>
              <w:tc>
                <w:tcPr>
                  <w:tcW w:w="4802" w:type="dxa"/>
                </w:tcPr>
                <w:p w14:paraId="7DFA6996">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许可证载明的固废种类与拟交付一致</w:t>
                  </w:r>
                </w:p>
              </w:tc>
            </w:tr>
            <w:tr w14:paraId="088B5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0" w:type="dxa"/>
                </w:tcPr>
                <w:p w14:paraId="43395D79">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3</w:t>
                  </w:r>
                </w:p>
              </w:tc>
              <w:tc>
                <w:tcPr>
                  <w:tcW w:w="2445" w:type="dxa"/>
                </w:tcPr>
                <w:p w14:paraId="17B6B9DC">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签订书面协议</w:t>
                  </w:r>
                </w:p>
              </w:tc>
              <w:tc>
                <w:tcPr>
                  <w:tcW w:w="4802" w:type="dxa"/>
                </w:tcPr>
                <w:p w14:paraId="3CE25C06">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明确固废类别、代码、数量、交付频次、质量标准</w:t>
                  </w:r>
                </w:p>
              </w:tc>
            </w:tr>
            <w:tr w14:paraId="3441C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0" w:type="dxa"/>
                </w:tcPr>
                <w:p w14:paraId="735978F4">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4</w:t>
                  </w:r>
                </w:p>
              </w:tc>
              <w:tc>
                <w:tcPr>
                  <w:tcW w:w="2445" w:type="dxa"/>
                </w:tcPr>
                <w:p w14:paraId="62B1DE9B">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约定夹带责任条款</w:t>
                  </w:r>
                </w:p>
              </w:tc>
              <w:tc>
                <w:tcPr>
                  <w:tcW w:w="4802" w:type="dxa"/>
                </w:tcPr>
                <w:p w14:paraId="3097E980">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若发现夹带禁收物，由产废单位承担全部退运费用及相关法律责任</w:t>
                  </w:r>
                </w:p>
              </w:tc>
            </w:tr>
            <w:tr w14:paraId="7C9A4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0" w:type="dxa"/>
                </w:tcPr>
                <w:p w14:paraId="411F16A4">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5</w:t>
                  </w:r>
                </w:p>
              </w:tc>
              <w:tc>
                <w:tcPr>
                  <w:tcW w:w="2445" w:type="dxa"/>
                </w:tcPr>
                <w:p w14:paraId="2EECF226">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建立产废单位档案</w:t>
                  </w:r>
                </w:p>
              </w:tc>
              <w:tc>
                <w:tcPr>
                  <w:tcW w:w="4802" w:type="dxa"/>
                </w:tcPr>
                <w:p w14:paraId="55CE9A77">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一企一档，动态更新</w:t>
                  </w:r>
                </w:p>
              </w:tc>
            </w:tr>
          </w:tbl>
          <w:p w14:paraId="296F7E8A">
            <w:pPr>
              <w:pStyle w:val="4"/>
              <w:ind w:left="0" w:leftChars="0" w:firstLine="0" w:firstLineChars="0"/>
              <w:jc w:val="center"/>
              <w:rPr>
                <w:rFonts w:hint="default" w:cs="Times New Roman"/>
                <w:b w:val="0"/>
                <w:bCs w:val="0"/>
                <w:color w:val="auto"/>
                <w:kern w:val="2"/>
                <w:sz w:val="24"/>
                <w:szCs w:val="24"/>
                <w:highlight w:val="none"/>
                <w:lang w:val="en-US" w:eastAsia="zh-CN" w:bidi="ar-SA"/>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rPr>
              <w:fldChar w:fldCharType="begin"/>
            </w:r>
            <w:r>
              <w:rPr>
                <w:rFonts w:hint="default" w:ascii="Times New Roman" w:hAnsi="Times New Roman" w:cs="Times New Roman"/>
                <w:b/>
                <w:bCs/>
                <w:color w:val="auto"/>
                <w:sz w:val="21"/>
                <w:szCs w:val="21"/>
                <w:highlight w:val="none"/>
              </w:rPr>
              <w:instrText xml:space="preserve"> STYLEREF 1 \s </w:instrText>
            </w:r>
            <w:r>
              <w:rPr>
                <w:rFonts w:hint="default" w:ascii="Times New Roman" w:hAnsi="Times New Roman" w:cs="Times New Roman"/>
                <w:b/>
                <w:bCs/>
                <w:color w:val="auto"/>
                <w:sz w:val="21"/>
                <w:szCs w:val="21"/>
                <w:highlight w:val="none"/>
              </w:rPr>
              <w:fldChar w:fldCharType="separate"/>
            </w:r>
            <w:r>
              <w:rPr>
                <w:rFonts w:hint="default" w:ascii="Times New Roman" w:hAnsi="Times New Roman" w:cs="Times New Roman"/>
                <w:b/>
                <w:bCs/>
                <w:color w:val="auto"/>
                <w:sz w:val="21"/>
                <w:szCs w:val="21"/>
                <w:highlight w:val="none"/>
              </w:rPr>
              <w:t>2</w:t>
            </w:r>
            <w:r>
              <w:rPr>
                <w:rFonts w:hint="default" w:ascii="Times New Roman" w:hAnsi="Times New Roman" w:cs="Times New Roman"/>
                <w:b/>
                <w:bCs/>
                <w:color w:val="auto"/>
                <w:sz w:val="21"/>
                <w:szCs w:val="21"/>
                <w:highlight w:val="none"/>
              </w:rPr>
              <w:fldChar w:fldCharType="end"/>
            </w:r>
            <w:r>
              <w:rPr>
                <w:rFonts w:hint="default" w:ascii="Times New Roman" w:hAnsi="Times New Roman" w:cs="Times New Roman"/>
                <w:b/>
                <w:bCs/>
                <w:color w:val="auto"/>
                <w:sz w:val="21"/>
                <w:szCs w:val="21"/>
                <w:highlight w:val="none"/>
              </w:rPr>
              <w:t>-</w:t>
            </w:r>
            <w:r>
              <w:rPr>
                <w:rFonts w:hint="eastAsia" w:ascii="Times New Roman" w:cs="Times New Roman"/>
                <w:b/>
                <w:bCs/>
                <w:color w:val="auto"/>
                <w:sz w:val="21"/>
                <w:szCs w:val="21"/>
                <w:highlight w:val="none"/>
                <w:lang w:val="en-US" w:eastAsia="zh-CN"/>
              </w:rPr>
              <w:t xml:space="preserve">14 </w:t>
            </w:r>
            <w:r>
              <w:rPr>
                <w:rFonts w:hint="eastAsia" w:ascii="Times New Roman" w:cs="Times New Roman"/>
                <w:b/>
                <w:color w:val="auto"/>
                <w:sz w:val="21"/>
                <w:szCs w:val="21"/>
                <w:highlight w:val="none"/>
                <w:lang w:val="en-US" w:eastAsia="zh-CN"/>
              </w:rPr>
              <w:t>每批次入厂检验</w:t>
            </w:r>
          </w:p>
          <w:tbl>
            <w:tblPr>
              <w:tblStyle w:val="45"/>
              <w:tblW w:w="7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
              <w:gridCol w:w="1379"/>
              <w:gridCol w:w="3541"/>
              <w:gridCol w:w="2385"/>
            </w:tblGrid>
            <w:tr w14:paraId="438C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dxa"/>
                </w:tcPr>
                <w:p w14:paraId="30336CA0">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序号</w:t>
                  </w:r>
                </w:p>
              </w:tc>
              <w:tc>
                <w:tcPr>
                  <w:tcW w:w="1379" w:type="dxa"/>
                </w:tcPr>
                <w:p w14:paraId="43C1018E">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检验项目</w:t>
                  </w:r>
                </w:p>
              </w:tc>
              <w:tc>
                <w:tcPr>
                  <w:tcW w:w="3541" w:type="dxa"/>
                </w:tcPr>
                <w:p w14:paraId="56B00FE9">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方法</w:t>
                  </w:r>
                </w:p>
              </w:tc>
              <w:tc>
                <w:tcPr>
                  <w:tcW w:w="2385" w:type="dxa"/>
                </w:tcPr>
                <w:p w14:paraId="57029B60">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记录要求</w:t>
                  </w:r>
                </w:p>
              </w:tc>
            </w:tr>
            <w:tr w14:paraId="0498C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dxa"/>
                </w:tcPr>
                <w:p w14:paraId="6FBC5172">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1</w:t>
                  </w:r>
                </w:p>
              </w:tc>
              <w:tc>
                <w:tcPr>
                  <w:tcW w:w="1379" w:type="dxa"/>
                </w:tcPr>
                <w:p w14:paraId="6E5DD657">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外观检查</w:t>
                  </w:r>
                </w:p>
              </w:tc>
              <w:tc>
                <w:tcPr>
                  <w:tcW w:w="3541" w:type="dxa"/>
                </w:tcPr>
                <w:p w14:paraId="31E7FB17">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目视：颜色、形状、夹杂物、含水率</w:t>
                  </w:r>
                </w:p>
              </w:tc>
              <w:tc>
                <w:tcPr>
                  <w:tcW w:w="2385" w:type="dxa"/>
                </w:tcPr>
                <w:p w14:paraId="4BDC2434">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拍照留存</w:t>
                  </w:r>
                </w:p>
              </w:tc>
            </w:tr>
            <w:tr w14:paraId="2E5C5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dxa"/>
                </w:tcPr>
                <w:p w14:paraId="56E0A483">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2</w:t>
                  </w:r>
                </w:p>
              </w:tc>
              <w:tc>
                <w:tcPr>
                  <w:tcW w:w="1379" w:type="dxa"/>
                </w:tcPr>
                <w:p w14:paraId="0EE6903D">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气味检查</w:t>
                  </w:r>
                </w:p>
              </w:tc>
              <w:tc>
                <w:tcPr>
                  <w:tcW w:w="3541" w:type="dxa"/>
                </w:tcPr>
                <w:p w14:paraId="582E5DBC">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嗅觉：有无刺激性/恶臭/化学品气味</w:t>
                  </w:r>
                </w:p>
              </w:tc>
              <w:tc>
                <w:tcPr>
                  <w:tcW w:w="2385" w:type="dxa"/>
                </w:tcPr>
                <w:p w14:paraId="00209AC8">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记录描述</w:t>
                  </w:r>
                </w:p>
              </w:tc>
            </w:tr>
            <w:tr w14:paraId="6F39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dxa"/>
                </w:tcPr>
                <w:p w14:paraId="77BFEFA5">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3</w:t>
                  </w:r>
                </w:p>
              </w:tc>
              <w:tc>
                <w:tcPr>
                  <w:tcW w:w="1379" w:type="dxa"/>
                </w:tcPr>
                <w:p w14:paraId="49F869B1">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源头核验</w:t>
                  </w:r>
                </w:p>
              </w:tc>
              <w:tc>
                <w:tcPr>
                  <w:tcW w:w="3541" w:type="dxa"/>
                </w:tcPr>
                <w:p w14:paraId="55B4AFBF">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核对送货单与预约信息（来源、品类、数量）</w:t>
                  </w:r>
                </w:p>
              </w:tc>
              <w:tc>
                <w:tcPr>
                  <w:tcW w:w="2385" w:type="dxa"/>
                </w:tcPr>
                <w:p w14:paraId="52B53647">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双方签字确认</w:t>
                  </w:r>
                </w:p>
              </w:tc>
            </w:tr>
            <w:tr w14:paraId="1FC2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dxa"/>
                </w:tcPr>
                <w:p w14:paraId="49DF1B4C">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4</w:t>
                  </w:r>
                </w:p>
              </w:tc>
              <w:tc>
                <w:tcPr>
                  <w:tcW w:w="1379" w:type="dxa"/>
                </w:tcPr>
                <w:p w14:paraId="778F0F39">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抽样快检（建议配备）</w:t>
                  </w:r>
                </w:p>
              </w:tc>
              <w:tc>
                <w:tcPr>
                  <w:tcW w:w="3541" w:type="dxa"/>
                </w:tcPr>
                <w:p w14:paraId="1CAEAC25">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产废单位提供检测报告或便携式XRF荧光分析仪筛查重金属异常</w:t>
                  </w:r>
                </w:p>
              </w:tc>
              <w:tc>
                <w:tcPr>
                  <w:tcW w:w="2385" w:type="dxa"/>
                </w:tcPr>
                <w:p w14:paraId="3F15815E">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仪器读数存档</w:t>
                  </w:r>
                </w:p>
              </w:tc>
            </w:tr>
            <w:tr w14:paraId="3535C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dxa"/>
                </w:tcPr>
                <w:p w14:paraId="7263D9B4">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5</w:t>
                  </w:r>
                </w:p>
              </w:tc>
              <w:tc>
                <w:tcPr>
                  <w:tcW w:w="1379" w:type="dxa"/>
                </w:tcPr>
                <w:p w14:paraId="15B0CE4C">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台账登记</w:t>
                  </w:r>
                </w:p>
              </w:tc>
              <w:tc>
                <w:tcPr>
                  <w:tcW w:w="3541" w:type="dxa"/>
                </w:tcPr>
                <w:p w14:paraId="03DAF9C2">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批次号、来源单位、废物名称/代码、数量、检验结果、检验人签名</w:t>
                  </w:r>
                </w:p>
              </w:tc>
              <w:tc>
                <w:tcPr>
                  <w:tcW w:w="2385" w:type="dxa"/>
                </w:tcPr>
                <w:p w14:paraId="09800F61">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电子台账+纸质台账双备份</w:t>
                  </w:r>
                </w:p>
              </w:tc>
            </w:tr>
          </w:tbl>
          <w:p w14:paraId="51A58BF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cs="Times New Roman"/>
                <w:b w:val="0"/>
                <w:bCs w:val="0"/>
                <w:color w:val="auto"/>
                <w:kern w:val="2"/>
                <w:sz w:val="24"/>
                <w:szCs w:val="24"/>
                <w:highlight w:val="none"/>
                <w:lang w:val="en-US" w:eastAsia="zh-CN" w:bidi="ar-SA"/>
              </w:rPr>
            </w:pPr>
            <w:r>
              <w:rPr>
                <w:rFonts w:hint="eastAsia" w:cs="Times New Roman"/>
                <w:b w:val="0"/>
                <w:bCs w:val="0"/>
                <w:color w:val="auto"/>
                <w:kern w:val="2"/>
                <w:sz w:val="24"/>
                <w:szCs w:val="24"/>
                <w:highlight w:val="none"/>
                <w:lang w:val="en-US" w:eastAsia="zh-CN" w:bidi="ar-SA"/>
              </w:rPr>
              <w:t>5）建立异常处置流程制度，并制定应急预案进行细化。详见下表：</w:t>
            </w:r>
          </w:p>
          <w:p w14:paraId="32DC6024">
            <w:pPr>
              <w:pStyle w:val="4"/>
              <w:ind w:left="0" w:leftChars="0" w:firstLine="0" w:firstLineChars="0"/>
              <w:jc w:val="center"/>
              <w:rPr>
                <w:rFonts w:hint="default" w:cs="Times New Roman"/>
                <w:b w:val="0"/>
                <w:bCs w:val="0"/>
                <w:color w:val="auto"/>
                <w:kern w:val="2"/>
                <w:sz w:val="24"/>
                <w:szCs w:val="24"/>
                <w:highlight w:val="none"/>
                <w:lang w:val="en-US" w:eastAsia="zh-CN" w:bidi="ar-SA"/>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rPr>
              <w:fldChar w:fldCharType="begin"/>
            </w:r>
            <w:r>
              <w:rPr>
                <w:rFonts w:hint="default" w:ascii="Times New Roman" w:hAnsi="Times New Roman" w:cs="Times New Roman"/>
                <w:b/>
                <w:bCs/>
                <w:color w:val="auto"/>
                <w:sz w:val="21"/>
                <w:szCs w:val="21"/>
                <w:highlight w:val="none"/>
              </w:rPr>
              <w:instrText xml:space="preserve"> STYLEREF 1 \s </w:instrText>
            </w:r>
            <w:r>
              <w:rPr>
                <w:rFonts w:hint="default" w:ascii="Times New Roman" w:hAnsi="Times New Roman" w:cs="Times New Roman"/>
                <w:b/>
                <w:bCs/>
                <w:color w:val="auto"/>
                <w:sz w:val="21"/>
                <w:szCs w:val="21"/>
                <w:highlight w:val="none"/>
              </w:rPr>
              <w:fldChar w:fldCharType="separate"/>
            </w:r>
            <w:r>
              <w:rPr>
                <w:rFonts w:hint="default" w:ascii="Times New Roman" w:hAnsi="Times New Roman" w:cs="Times New Roman"/>
                <w:b/>
                <w:bCs/>
                <w:color w:val="auto"/>
                <w:sz w:val="21"/>
                <w:szCs w:val="21"/>
                <w:highlight w:val="none"/>
              </w:rPr>
              <w:t>2</w:t>
            </w:r>
            <w:r>
              <w:rPr>
                <w:rFonts w:hint="default" w:ascii="Times New Roman" w:hAnsi="Times New Roman" w:cs="Times New Roman"/>
                <w:b/>
                <w:bCs/>
                <w:color w:val="auto"/>
                <w:sz w:val="21"/>
                <w:szCs w:val="21"/>
                <w:highlight w:val="none"/>
              </w:rPr>
              <w:fldChar w:fldCharType="end"/>
            </w:r>
            <w:r>
              <w:rPr>
                <w:rFonts w:hint="default" w:ascii="Times New Roman" w:hAnsi="Times New Roman" w:cs="Times New Roman"/>
                <w:b/>
                <w:bCs/>
                <w:color w:val="auto"/>
                <w:sz w:val="21"/>
                <w:szCs w:val="21"/>
                <w:highlight w:val="none"/>
              </w:rPr>
              <w:t>-</w:t>
            </w:r>
            <w:r>
              <w:rPr>
                <w:rFonts w:hint="eastAsia" w:ascii="Times New Roman" w:cs="Times New Roman"/>
                <w:b/>
                <w:bCs/>
                <w:color w:val="auto"/>
                <w:sz w:val="21"/>
                <w:szCs w:val="21"/>
                <w:highlight w:val="none"/>
                <w:lang w:val="en-US" w:eastAsia="zh-CN"/>
              </w:rPr>
              <w:t xml:space="preserve">15 </w:t>
            </w:r>
            <w:r>
              <w:rPr>
                <w:rFonts w:hint="eastAsia" w:ascii="Times New Roman" w:cs="Times New Roman"/>
                <w:b/>
                <w:color w:val="auto"/>
                <w:sz w:val="21"/>
                <w:szCs w:val="21"/>
                <w:highlight w:val="none"/>
                <w:lang w:val="en-US" w:eastAsia="zh-CN"/>
              </w:rPr>
              <w:t>异常处置流程</w:t>
            </w:r>
          </w:p>
          <w:tbl>
            <w:tblPr>
              <w:tblStyle w:val="45"/>
              <w:tblW w:w="7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2055"/>
              <w:gridCol w:w="5018"/>
            </w:tblGrid>
            <w:tr w14:paraId="3787F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tcPr>
                <w:p w14:paraId="62FF699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序号</w:t>
                  </w:r>
                </w:p>
              </w:tc>
              <w:tc>
                <w:tcPr>
                  <w:tcW w:w="2055" w:type="dxa"/>
                </w:tcPr>
                <w:p w14:paraId="6066310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异常情况</w:t>
                  </w:r>
                </w:p>
              </w:tc>
              <w:tc>
                <w:tcPr>
                  <w:tcW w:w="5018" w:type="dxa"/>
                </w:tcPr>
                <w:p w14:paraId="4B23F2C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处置流程</w:t>
                  </w:r>
                </w:p>
              </w:tc>
            </w:tr>
            <w:tr w14:paraId="72352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vAlign w:val="center"/>
                </w:tcPr>
                <w:p w14:paraId="05CE99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1</w:t>
                  </w:r>
                </w:p>
              </w:tc>
              <w:tc>
                <w:tcPr>
                  <w:tcW w:w="2055" w:type="dxa"/>
                  <w:vAlign w:val="center"/>
                </w:tcPr>
                <w:p w14:paraId="08CE03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疑似危险废物</w:t>
                  </w:r>
                </w:p>
              </w:tc>
              <w:tc>
                <w:tcPr>
                  <w:tcW w:w="5018" w:type="dxa"/>
                </w:tcPr>
                <w:p w14:paraId="4458E037">
                  <w:pPr>
                    <w:keepNext w:val="0"/>
                    <w:keepLines w:val="0"/>
                    <w:pageBreakBefore w:val="0"/>
                    <w:widowControl w:val="0"/>
                    <w:numPr>
                      <w:ilvl w:val="0"/>
                      <w:numId w:val="9"/>
                    </w:numPr>
                    <w:kinsoku/>
                    <w:wordWrap/>
                    <w:overflowPunct/>
                    <w:topLinePunct w:val="0"/>
                    <w:autoSpaceDE/>
                    <w:autoSpaceDN/>
                    <w:bidi w:val="0"/>
                    <w:adjustRightInd/>
                    <w:snapToGrid/>
                    <w:spacing w:line="240" w:lineRule="auto"/>
                    <w:textAlignment w:val="auto"/>
                    <w:rPr>
                      <w:rFonts w:hint="eastAsia"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立即隔离至危废暂存间；</w:t>
                  </w:r>
                </w:p>
                <w:p w14:paraId="289B7234">
                  <w:pPr>
                    <w:keepNext w:val="0"/>
                    <w:keepLines w:val="0"/>
                    <w:pageBreakBefore w:val="0"/>
                    <w:widowControl w:val="0"/>
                    <w:numPr>
                      <w:ilvl w:val="0"/>
                      <w:numId w:val="9"/>
                    </w:numPr>
                    <w:kinsoku/>
                    <w:wordWrap/>
                    <w:overflowPunct/>
                    <w:topLinePunct w:val="0"/>
                    <w:autoSpaceDE/>
                    <w:autoSpaceDN/>
                    <w:bidi w:val="0"/>
                    <w:adjustRightInd/>
                    <w:snapToGrid/>
                    <w:spacing w:line="240" w:lineRule="auto"/>
                    <w:textAlignment w:val="auto"/>
                    <w:rPr>
                      <w:rFonts w:hint="default" w:cs="Times New Roman"/>
                      <w:b w:val="0"/>
                      <w:bCs w:val="0"/>
                      <w:color w:val="auto"/>
                      <w:kern w:val="2"/>
                      <w:sz w:val="21"/>
                      <w:szCs w:val="21"/>
                      <w:highlight w:val="none"/>
                      <w:vertAlign w:val="baseline"/>
                      <w:lang w:val="en-US" w:eastAsia="zh-CN" w:bidi="ar-SA"/>
                    </w:rPr>
                  </w:pPr>
                  <w:r>
                    <w:rPr>
                      <w:rFonts w:hint="default" w:cs="Times New Roman"/>
                      <w:b w:val="0"/>
                      <w:bCs w:val="0"/>
                      <w:color w:val="auto"/>
                      <w:kern w:val="2"/>
                      <w:sz w:val="21"/>
                      <w:szCs w:val="21"/>
                      <w:highlight w:val="none"/>
                      <w:vertAlign w:val="baseline"/>
                      <w:lang w:val="en-US" w:eastAsia="zh-CN" w:bidi="ar-SA"/>
                    </w:rPr>
                    <w:t>通知产废单位48小时内清退</w:t>
                  </w:r>
                  <w:r>
                    <w:rPr>
                      <w:rFonts w:hint="eastAsia" w:cs="Times New Roman"/>
                      <w:b w:val="0"/>
                      <w:bCs w:val="0"/>
                      <w:color w:val="auto"/>
                      <w:kern w:val="2"/>
                      <w:sz w:val="21"/>
                      <w:szCs w:val="21"/>
                      <w:highlight w:val="none"/>
                      <w:vertAlign w:val="baseline"/>
                      <w:lang w:val="en-US" w:eastAsia="zh-CN" w:bidi="ar-SA"/>
                    </w:rPr>
                    <w:t>；</w:t>
                  </w:r>
                </w:p>
                <w:p w14:paraId="1CCB37C6">
                  <w:pPr>
                    <w:keepNext w:val="0"/>
                    <w:keepLines w:val="0"/>
                    <w:pageBreakBefore w:val="0"/>
                    <w:widowControl w:val="0"/>
                    <w:numPr>
                      <w:ilvl w:val="0"/>
                      <w:numId w:val="9"/>
                    </w:numPr>
                    <w:kinsoku/>
                    <w:wordWrap/>
                    <w:overflowPunct/>
                    <w:topLinePunct w:val="0"/>
                    <w:autoSpaceDE/>
                    <w:autoSpaceDN/>
                    <w:bidi w:val="0"/>
                    <w:adjustRightInd/>
                    <w:snapToGrid/>
                    <w:spacing w:line="240" w:lineRule="auto"/>
                    <w:textAlignment w:val="auto"/>
                    <w:rPr>
                      <w:rFonts w:hint="default" w:cs="Times New Roman"/>
                      <w:b w:val="0"/>
                      <w:bCs w:val="0"/>
                      <w:color w:val="auto"/>
                      <w:kern w:val="2"/>
                      <w:sz w:val="21"/>
                      <w:szCs w:val="21"/>
                      <w:highlight w:val="none"/>
                      <w:vertAlign w:val="baseline"/>
                      <w:lang w:val="en-US" w:eastAsia="zh-CN" w:bidi="ar-SA"/>
                    </w:rPr>
                  </w:pPr>
                  <w:r>
                    <w:rPr>
                      <w:rFonts w:hint="default" w:cs="Times New Roman"/>
                      <w:b w:val="0"/>
                      <w:bCs w:val="0"/>
                      <w:color w:val="auto"/>
                      <w:kern w:val="2"/>
                      <w:sz w:val="21"/>
                      <w:szCs w:val="21"/>
                      <w:highlight w:val="none"/>
                      <w:vertAlign w:val="baseline"/>
                      <w:lang w:val="en-US" w:eastAsia="zh-CN" w:bidi="ar-SA"/>
                    </w:rPr>
                    <w:t>全程记录备查</w:t>
                  </w:r>
                  <w:r>
                    <w:rPr>
                      <w:rFonts w:hint="eastAsia" w:cs="Times New Roman"/>
                      <w:b w:val="0"/>
                      <w:bCs w:val="0"/>
                      <w:color w:val="auto"/>
                      <w:kern w:val="2"/>
                      <w:sz w:val="21"/>
                      <w:szCs w:val="21"/>
                      <w:highlight w:val="none"/>
                      <w:vertAlign w:val="baseline"/>
                      <w:lang w:val="en-US" w:eastAsia="zh-CN" w:bidi="ar-SA"/>
                    </w:rPr>
                    <w:t>。</w:t>
                  </w:r>
                </w:p>
              </w:tc>
            </w:tr>
            <w:tr w14:paraId="3FDE6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vAlign w:val="center"/>
                </w:tcPr>
                <w:p w14:paraId="325B6F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2</w:t>
                  </w:r>
                </w:p>
              </w:tc>
              <w:tc>
                <w:tcPr>
                  <w:tcW w:w="2055" w:type="dxa"/>
                  <w:vAlign w:val="center"/>
                </w:tcPr>
                <w:p w14:paraId="224BB5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属性无法判定</w:t>
                  </w:r>
                </w:p>
              </w:tc>
              <w:tc>
                <w:tcPr>
                  <w:tcW w:w="5018" w:type="dxa"/>
                </w:tcPr>
                <w:p w14:paraId="31D23F40">
                  <w:pPr>
                    <w:keepNext w:val="0"/>
                    <w:keepLines w:val="0"/>
                    <w:pageBreakBefore w:val="0"/>
                    <w:widowControl w:val="0"/>
                    <w:numPr>
                      <w:ilvl w:val="0"/>
                      <w:numId w:val="10"/>
                    </w:numPr>
                    <w:kinsoku/>
                    <w:wordWrap/>
                    <w:overflowPunct/>
                    <w:topLinePunct w:val="0"/>
                    <w:autoSpaceDE/>
                    <w:autoSpaceDN/>
                    <w:bidi w:val="0"/>
                    <w:adjustRightInd/>
                    <w:snapToGrid/>
                    <w:spacing w:line="240" w:lineRule="auto"/>
                    <w:textAlignment w:val="auto"/>
                    <w:rPr>
                      <w:rFonts w:hint="eastAsia"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送有资质机构鉴别；</w:t>
                  </w:r>
                </w:p>
                <w:p w14:paraId="6FA2A43F">
                  <w:pPr>
                    <w:keepNext w:val="0"/>
                    <w:keepLines w:val="0"/>
                    <w:pageBreakBefore w:val="0"/>
                    <w:widowControl w:val="0"/>
                    <w:numPr>
                      <w:ilvl w:val="0"/>
                      <w:numId w:val="10"/>
                    </w:numPr>
                    <w:kinsoku/>
                    <w:wordWrap/>
                    <w:overflowPunct/>
                    <w:topLinePunct w:val="0"/>
                    <w:autoSpaceDE/>
                    <w:autoSpaceDN/>
                    <w:bidi w:val="0"/>
                    <w:adjustRightInd/>
                    <w:snapToGrid/>
                    <w:spacing w:line="240" w:lineRule="auto"/>
                    <w:textAlignment w:val="auto"/>
                    <w:rPr>
                      <w:rFonts w:hint="eastAsia"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期间暂存于隔离区（不超过7天）；</w:t>
                  </w:r>
                </w:p>
                <w:p w14:paraId="14B16F6E">
                  <w:pPr>
                    <w:keepNext w:val="0"/>
                    <w:keepLines w:val="0"/>
                    <w:pageBreakBefore w:val="0"/>
                    <w:widowControl w:val="0"/>
                    <w:numPr>
                      <w:ilvl w:val="0"/>
                      <w:numId w:val="10"/>
                    </w:numPr>
                    <w:kinsoku/>
                    <w:wordWrap/>
                    <w:overflowPunct/>
                    <w:topLinePunct w:val="0"/>
                    <w:autoSpaceDE/>
                    <w:autoSpaceDN/>
                    <w:bidi w:val="0"/>
                    <w:adjustRightInd/>
                    <w:snapToGrid/>
                    <w:spacing w:line="240" w:lineRule="auto"/>
                    <w:textAlignment w:val="auto"/>
                    <w:rPr>
                      <w:rFonts w:hint="eastAsia"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按鉴别结果分类处置。</w:t>
                  </w:r>
                </w:p>
              </w:tc>
            </w:tr>
            <w:tr w14:paraId="5233C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vAlign w:val="center"/>
                </w:tcPr>
                <w:p w14:paraId="5587B7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3</w:t>
                  </w:r>
                </w:p>
              </w:tc>
              <w:tc>
                <w:tcPr>
                  <w:tcW w:w="2055" w:type="dxa"/>
                  <w:vAlign w:val="center"/>
                </w:tcPr>
                <w:p w14:paraId="109D53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重大违规夹带（放射性/剧毒/爆炸物）</w:t>
                  </w:r>
                </w:p>
              </w:tc>
              <w:tc>
                <w:tcPr>
                  <w:tcW w:w="5018" w:type="dxa"/>
                </w:tcPr>
                <w:p w14:paraId="4107404F">
                  <w:pPr>
                    <w:keepNext w:val="0"/>
                    <w:keepLines w:val="0"/>
                    <w:pageBreakBefore w:val="0"/>
                    <w:widowControl w:val="0"/>
                    <w:numPr>
                      <w:ilvl w:val="0"/>
                      <w:numId w:val="11"/>
                    </w:numPr>
                    <w:kinsoku/>
                    <w:wordWrap/>
                    <w:overflowPunct/>
                    <w:topLinePunct w:val="0"/>
                    <w:autoSpaceDE/>
                    <w:autoSpaceDN/>
                    <w:bidi w:val="0"/>
                    <w:adjustRightInd/>
                    <w:snapToGrid/>
                    <w:spacing w:line="240" w:lineRule="auto"/>
                    <w:textAlignment w:val="auto"/>
                    <w:rPr>
                      <w:rFonts w:hint="eastAsia"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立即停收；</w:t>
                  </w:r>
                </w:p>
                <w:p w14:paraId="2097322B">
                  <w:pPr>
                    <w:keepNext w:val="0"/>
                    <w:keepLines w:val="0"/>
                    <w:pageBreakBefore w:val="0"/>
                    <w:widowControl w:val="0"/>
                    <w:numPr>
                      <w:ilvl w:val="0"/>
                      <w:numId w:val="11"/>
                    </w:numPr>
                    <w:kinsoku/>
                    <w:wordWrap/>
                    <w:overflowPunct/>
                    <w:topLinePunct w:val="0"/>
                    <w:autoSpaceDE/>
                    <w:autoSpaceDN/>
                    <w:bidi w:val="0"/>
                    <w:adjustRightInd/>
                    <w:snapToGrid/>
                    <w:spacing w:line="240" w:lineRule="auto"/>
                    <w:textAlignment w:val="auto"/>
                    <w:rPr>
                      <w:rFonts w:hint="eastAsia"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保护现场；</w:t>
                  </w:r>
                </w:p>
                <w:p w14:paraId="218FAAC5">
                  <w:pPr>
                    <w:keepNext w:val="0"/>
                    <w:keepLines w:val="0"/>
                    <w:pageBreakBefore w:val="0"/>
                    <w:widowControl w:val="0"/>
                    <w:numPr>
                      <w:ilvl w:val="0"/>
                      <w:numId w:val="11"/>
                    </w:numPr>
                    <w:kinsoku/>
                    <w:wordWrap/>
                    <w:overflowPunct/>
                    <w:topLinePunct w:val="0"/>
                    <w:autoSpaceDE/>
                    <w:autoSpaceDN/>
                    <w:bidi w:val="0"/>
                    <w:adjustRightInd/>
                    <w:snapToGrid/>
                    <w:spacing w:line="240" w:lineRule="auto"/>
                    <w:textAlignment w:val="auto"/>
                    <w:rPr>
                      <w:rFonts w:hint="eastAsia"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向韶关市生态环境局乐昌分局报告；</w:t>
                  </w:r>
                </w:p>
                <w:p w14:paraId="25DB9CB7">
                  <w:pPr>
                    <w:keepNext w:val="0"/>
                    <w:keepLines w:val="0"/>
                    <w:pageBreakBefore w:val="0"/>
                    <w:widowControl w:val="0"/>
                    <w:numPr>
                      <w:ilvl w:val="0"/>
                      <w:numId w:val="11"/>
                    </w:numPr>
                    <w:kinsoku/>
                    <w:wordWrap/>
                    <w:overflowPunct/>
                    <w:topLinePunct w:val="0"/>
                    <w:autoSpaceDE/>
                    <w:autoSpaceDN/>
                    <w:bidi w:val="0"/>
                    <w:adjustRightInd/>
                    <w:snapToGrid/>
                    <w:spacing w:line="240" w:lineRule="auto"/>
                    <w:textAlignment w:val="auto"/>
                    <w:rPr>
                      <w:rFonts w:hint="eastAsia"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配合调查取证。</w:t>
                  </w:r>
                </w:p>
              </w:tc>
            </w:tr>
          </w:tbl>
          <w:p w14:paraId="157A1A4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s="Times New Roman"/>
                <w:b w:val="0"/>
                <w:bCs w:val="0"/>
                <w:color w:val="auto"/>
                <w:kern w:val="2"/>
                <w:sz w:val="24"/>
                <w:szCs w:val="24"/>
                <w:highlight w:val="none"/>
                <w:lang w:val="en-US" w:eastAsia="zh-CN" w:bidi="ar-SA"/>
              </w:rPr>
            </w:pPr>
            <w:r>
              <w:rPr>
                <w:rFonts w:hint="eastAsia" w:cs="Times New Roman"/>
                <w:b w:val="0"/>
                <w:bCs w:val="0"/>
                <w:color w:val="auto"/>
                <w:kern w:val="2"/>
                <w:sz w:val="24"/>
                <w:szCs w:val="24"/>
                <w:highlight w:val="none"/>
                <w:lang w:val="en-US" w:eastAsia="zh-CN" w:bidi="ar-SA"/>
              </w:rPr>
              <w:t>（6）建立档案与台账管理要求</w:t>
            </w:r>
          </w:p>
          <w:p w14:paraId="309A6942">
            <w:pPr>
              <w:pStyle w:val="4"/>
              <w:ind w:left="0" w:leftChars="0" w:firstLine="0" w:firstLineChars="0"/>
              <w:jc w:val="center"/>
              <w:rPr>
                <w:rFonts w:hint="default" w:cs="Times New Roman"/>
                <w:b w:val="0"/>
                <w:bCs w:val="0"/>
                <w:color w:val="auto"/>
                <w:kern w:val="2"/>
                <w:sz w:val="24"/>
                <w:szCs w:val="24"/>
                <w:highlight w:val="none"/>
                <w:lang w:val="en-US" w:eastAsia="zh-CN" w:bidi="ar-SA"/>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rPr>
              <w:fldChar w:fldCharType="begin"/>
            </w:r>
            <w:r>
              <w:rPr>
                <w:rFonts w:hint="default" w:ascii="Times New Roman" w:hAnsi="Times New Roman" w:cs="Times New Roman"/>
                <w:b/>
                <w:bCs/>
                <w:color w:val="auto"/>
                <w:sz w:val="21"/>
                <w:szCs w:val="21"/>
                <w:highlight w:val="none"/>
              </w:rPr>
              <w:instrText xml:space="preserve"> STYLEREF 1 \s </w:instrText>
            </w:r>
            <w:r>
              <w:rPr>
                <w:rFonts w:hint="default" w:ascii="Times New Roman" w:hAnsi="Times New Roman" w:cs="Times New Roman"/>
                <w:b/>
                <w:bCs/>
                <w:color w:val="auto"/>
                <w:sz w:val="21"/>
                <w:szCs w:val="21"/>
                <w:highlight w:val="none"/>
              </w:rPr>
              <w:fldChar w:fldCharType="separate"/>
            </w:r>
            <w:r>
              <w:rPr>
                <w:rFonts w:hint="default" w:ascii="Times New Roman" w:hAnsi="Times New Roman" w:cs="Times New Roman"/>
                <w:b/>
                <w:bCs/>
                <w:color w:val="auto"/>
                <w:sz w:val="21"/>
                <w:szCs w:val="21"/>
                <w:highlight w:val="none"/>
              </w:rPr>
              <w:t>2</w:t>
            </w:r>
            <w:r>
              <w:rPr>
                <w:rFonts w:hint="default" w:ascii="Times New Roman" w:hAnsi="Times New Roman" w:cs="Times New Roman"/>
                <w:b/>
                <w:bCs/>
                <w:color w:val="auto"/>
                <w:sz w:val="21"/>
                <w:szCs w:val="21"/>
                <w:highlight w:val="none"/>
              </w:rPr>
              <w:fldChar w:fldCharType="end"/>
            </w:r>
            <w:r>
              <w:rPr>
                <w:rFonts w:hint="default" w:ascii="Times New Roman" w:hAnsi="Times New Roman" w:cs="Times New Roman"/>
                <w:b/>
                <w:bCs/>
                <w:color w:val="auto"/>
                <w:sz w:val="21"/>
                <w:szCs w:val="21"/>
                <w:highlight w:val="none"/>
              </w:rPr>
              <w:t>-</w:t>
            </w:r>
            <w:r>
              <w:rPr>
                <w:rFonts w:hint="eastAsia" w:ascii="Times New Roman" w:cs="Times New Roman"/>
                <w:b/>
                <w:bCs/>
                <w:color w:val="auto"/>
                <w:sz w:val="21"/>
                <w:szCs w:val="21"/>
                <w:highlight w:val="none"/>
                <w:lang w:val="en-US" w:eastAsia="zh-CN"/>
              </w:rPr>
              <w:t xml:space="preserve">16 </w:t>
            </w:r>
            <w:r>
              <w:rPr>
                <w:rFonts w:hint="eastAsia" w:ascii="Times New Roman" w:cs="Times New Roman"/>
                <w:b/>
                <w:color w:val="auto"/>
                <w:sz w:val="21"/>
                <w:szCs w:val="21"/>
                <w:highlight w:val="none"/>
                <w:lang w:val="en-US" w:eastAsia="zh-CN"/>
              </w:rPr>
              <w:t>档案与台账管理要求</w:t>
            </w:r>
          </w:p>
          <w:tbl>
            <w:tblPr>
              <w:tblStyle w:val="45"/>
              <w:tblW w:w="7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5"/>
              <w:gridCol w:w="6053"/>
            </w:tblGrid>
            <w:tr w14:paraId="00CC0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tcPr>
                <w:p w14:paraId="6A1725C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项目</w:t>
                  </w:r>
                </w:p>
              </w:tc>
              <w:tc>
                <w:tcPr>
                  <w:tcW w:w="6053" w:type="dxa"/>
                </w:tcPr>
                <w:p w14:paraId="456DC06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要求</w:t>
                  </w:r>
                </w:p>
              </w:tc>
            </w:tr>
            <w:tr w14:paraId="2FD13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tcPr>
                <w:p w14:paraId="5C51D0B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台账保存期限</w:t>
                  </w:r>
                </w:p>
              </w:tc>
              <w:tc>
                <w:tcPr>
                  <w:tcW w:w="6053" w:type="dxa"/>
                </w:tcPr>
                <w:p w14:paraId="5A50159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不少于5年</w:t>
                  </w:r>
                </w:p>
              </w:tc>
            </w:tr>
            <w:tr w14:paraId="37C3E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tcPr>
                <w:p w14:paraId="3CE6C1F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每批次记录内容</w:t>
                  </w:r>
                </w:p>
              </w:tc>
              <w:tc>
                <w:tcPr>
                  <w:tcW w:w="6053" w:type="dxa"/>
                </w:tcPr>
                <w:p w14:paraId="3EBBF60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日期、来源单位、废物名称/代码、数量、运输车辆/车牌、检验结果、去向、经办人。</w:t>
                  </w:r>
                </w:p>
              </w:tc>
            </w:tr>
            <w:tr w14:paraId="17061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tcPr>
                <w:p w14:paraId="6C1BE6A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定期报送</w:t>
                  </w:r>
                </w:p>
              </w:tc>
              <w:tc>
                <w:tcPr>
                  <w:tcW w:w="6053" w:type="dxa"/>
                </w:tcPr>
                <w:p w14:paraId="7C7CE56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每季度向韶关市生态环境局乐昌分局报送固废来源清单和去向汇总表。</w:t>
                  </w:r>
                </w:p>
              </w:tc>
            </w:tr>
            <w:tr w14:paraId="36B39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tcPr>
                <w:p w14:paraId="67500D0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信息平台录入</w:t>
                  </w:r>
                </w:p>
              </w:tc>
              <w:tc>
                <w:tcPr>
                  <w:tcW w:w="6053" w:type="dxa"/>
                </w:tcPr>
                <w:p w14:paraId="462A1B2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所有转移活动通过广东省固体废物环境监管信息平台申报登记。</w:t>
                  </w:r>
                </w:p>
              </w:tc>
            </w:tr>
          </w:tbl>
          <w:p w14:paraId="4224F82E">
            <w:pPr>
              <w:pStyle w:val="9"/>
              <w:numPr>
                <w:ilvl w:val="2"/>
                <w:numId w:val="0"/>
              </w:numPr>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三、总平面布局合理性分析</w:t>
            </w:r>
          </w:p>
          <w:p w14:paraId="532AA74B">
            <w:pPr>
              <w:pStyle w:val="10"/>
              <w:numPr>
                <w:ilvl w:val="3"/>
                <w:numId w:val="0"/>
              </w:numPr>
              <w:ind w:left="480" w:left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1、用地合</w:t>
            </w:r>
            <w:r>
              <w:rPr>
                <w:rFonts w:hint="eastAsia" w:cs="Times New Roman"/>
                <w:color w:val="auto"/>
                <w:highlight w:val="none"/>
                <w:lang w:eastAsia="zh-CN"/>
              </w:rPr>
              <w:t>理性</w:t>
            </w:r>
            <w:r>
              <w:rPr>
                <w:rFonts w:hint="default" w:ascii="Times New Roman" w:hAnsi="Times New Roman" w:cs="Times New Roman"/>
                <w:color w:val="auto"/>
                <w:highlight w:val="none"/>
              </w:rPr>
              <w:t>、合法性分析</w:t>
            </w:r>
          </w:p>
          <w:p w14:paraId="626C5538">
            <w:pPr>
              <w:pStyle w:val="10"/>
              <w:numPr>
                <w:ilvl w:val="3"/>
                <w:numId w:val="0"/>
              </w:numPr>
              <w:ind w:firstLine="480" w:firstLineChars="200"/>
              <w:rPr>
                <w:rFonts w:hint="default" w:ascii="Times New Roman" w:hAnsi="Times New Roman" w:cs="Times New Roman"/>
                <w:b w:val="0"/>
                <w:color w:val="auto"/>
                <w:szCs w:val="24"/>
                <w:highlight w:val="none"/>
              </w:rPr>
            </w:pPr>
            <w:r>
              <w:rPr>
                <w:rFonts w:hint="default" w:ascii="Times New Roman" w:hAnsi="Times New Roman" w:cs="Times New Roman"/>
                <w:b w:val="0"/>
                <w:color w:val="auto"/>
                <w:szCs w:val="24"/>
                <w:highlight w:val="none"/>
              </w:rPr>
              <w:t>建设单位拟于</w:t>
            </w:r>
            <w:r>
              <w:rPr>
                <w:rFonts w:hint="default" w:ascii="Times New Roman" w:hAnsi="Times New Roman" w:cs="Times New Roman"/>
                <w:b w:val="0"/>
                <w:color w:val="auto"/>
                <w:szCs w:val="24"/>
                <w:highlight w:val="none"/>
                <w:lang w:eastAsia="zh-CN"/>
              </w:rPr>
              <w:t>广东省乐昌市乐廊路六公里乐昌市产业转移园鸿图工艺厂房A2</w:t>
            </w:r>
            <w:r>
              <w:rPr>
                <w:rFonts w:hint="default" w:ascii="Times New Roman" w:hAnsi="Times New Roman" w:cs="Times New Roman"/>
                <w:b w:val="0"/>
                <w:color w:val="auto"/>
                <w:szCs w:val="24"/>
                <w:highlight w:val="none"/>
              </w:rPr>
              <w:t>进行生产，根据中华人民共和国不动产权证书（详见附件</w:t>
            </w:r>
            <w:r>
              <w:rPr>
                <w:rFonts w:hint="default" w:ascii="Times New Roman" w:hAnsi="Times New Roman" w:cs="Times New Roman"/>
                <w:b w:val="0"/>
                <w:color w:val="auto"/>
                <w:szCs w:val="24"/>
                <w:highlight w:val="none"/>
                <w:lang w:val="en-US" w:eastAsia="zh-CN"/>
              </w:rPr>
              <w:t>3</w:t>
            </w:r>
            <w:r>
              <w:rPr>
                <w:rFonts w:hint="default" w:ascii="Times New Roman" w:hAnsi="Times New Roman" w:cs="Times New Roman"/>
                <w:b w:val="0"/>
                <w:color w:val="auto"/>
                <w:szCs w:val="24"/>
                <w:highlight w:val="none"/>
              </w:rPr>
              <w:t>）可知，项目用地用途为工业用地。</w:t>
            </w:r>
          </w:p>
          <w:p w14:paraId="201C6710">
            <w:pPr>
              <w:pStyle w:val="10"/>
              <w:numPr>
                <w:ilvl w:val="3"/>
                <w:numId w:val="0"/>
              </w:numPr>
              <w:ind w:left="480" w:leftChars="200"/>
              <w:rPr>
                <w:rFonts w:hint="default" w:ascii="Times New Roman" w:hAnsi="Times New Roman" w:cs="Times New Roman"/>
                <w:color w:val="auto"/>
                <w:highlight w:val="none"/>
              </w:rPr>
            </w:pPr>
            <w:r>
              <w:rPr>
                <w:rFonts w:hint="default" w:ascii="Times New Roman" w:hAnsi="Times New Roman" w:cs="Times New Roman"/>
                <w:color w:val="auto"/>
                <w:highlight w:val="none"/>
              </w:rPr>
              <w:t>2、四至分析</w:t>
            </w:r>
          </w:p>
          <w:p w14:paraId="3EF9825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highlight w:val="none"/>
              </w:rPr>
            </w:pPr>
            <w:bookmarkStart w:id="17" w:name="_Toc21623"/>
            <w:bookmarkStart w:id="18" w:name="_Toc15878"/>
            <w:r>
              <w:rPr>
                <w:rFonts w:hint="default" w:ascii="Times New Roman" w:hAnsi="Times New Roman" w:cs="Times New Roman"/>
                <w:bCs/>
                <w:color w:val="auto"/>
                <w:highlight w:val="none"/>
              </w:rPr>
              <w:t>本项目</w:t>
            </w:r>
            <w:r>
              <w:rPr>
                <w:rFonts w:hint="default" w:ascii="Times New Roman" w:hAnsi="Times New Roman" w:cs="Times New Roman"/>
                <w:bCs/>
                <w:color w:val="auto"/>
                <w:highlight w:val="none"/>
                <w:lang w:val="en-US" w:eastAsia="zh-CN"/>
              </w:rPr>
              <w:t>南面</w:t>
            </w:r>
            <w:r>
              <w:rPr>
                <w:rFonts w:hint="eastAsia" w:cs="Times New Roman"/>
                <w:bCs/>
                <w:color w:val="auto"/>
                <w:highlight w:val="none"/>
                <w:lang w:eastAsia="zh-CN"/>
              </w:rPr>
              <w:t>、</w:t>
            </w:r>
            <w:r>
              <w:rPr>
                <w:rFonts w:hint="default" w:ascii="Times New Roman" w:hAnsi="Times New Roman" w:cs="Times New Roman"/>
                <w:bCs/>
                <w:color w:val="auto"/>
                <w:highlight w:val="none"/>
                <w:lang w:val="en-US" w:eastAsia="zh-CN"/>
              </w:rPr>
              <w:t>北面</w:t>
            </w:r>
            <w:r>
              <w:rPr>
                <w:rFonts w:hint="eastAsia" w:cs="Times New Roman"/>
                <w:bCs/>
                <w:color w:val="auto"/>
                <w:highlight w:val="none"/>
                <w:lang w:val="en-US" w:eastAsia="zh-CN"/>
              </w:rPr>
              <w:t>、</w:t>
            </w:r>
            <w:r>
              <w:rPr>
                <w:rFonts w:hint="default" w:ascii="Times New Roman" w:hAnsi="Times New Roman" w:cs="Times New Roman"/>
                <w:bCs/>
                <w:color w:val="auto"/>
                <w:highlight w:val="none"/>
                <w:lang w:val="en-US" w:eastAsia="zh-CN"/>
              </w:rPr>
              <w:t>西面</w:t>
            </w:r>
            <w:r>
              <w:rPr>
                <w:rFonts w:hint="eastAsia" w:cs="Times New Roman"/>
                <w:bCs/>
                <w:color w:val="auto"/>
                <w:highlight w:val="none"/>
                <w:lang w:val="en-US" w:eastAsia="zh-CN"/>
              </w:rPr>
              <w:t>、</w:t>
            </w:r>
            <w:r>
              <w:rPr>
                <w:rFonts w:hint="default" w:ascii="Times New Roman" w:hAnsi="Times New Roman" w:cs="Times New Roman"/>
                <w:bCs/>
                <w:color w:val="auto"/>
                <w:highlight w:val="none"/>
                <w:lang w:val="en-US" w:eastAsia="zh-CN"/>
              </w:rPr>
              <w:t>东面</w:t>
            </w:r>
            <w:r>
              <w:rPr>
                <w:rFonts w:hint="eastAsia" w:cs="Times New Roman"/>
                <w:bCs/>
                <w:color w:val="auto"/>
                <w:highlight w:val="none"/>
                <w:lang w:val="en-US" w:eastAsia="zh-CN"/>
              </w:rPr>
              <w:t>均为空厂房</w:t>
            </w:r>
            <w:r>
              <w:rPr>
                <w:rFonts w:hint="default" w:ascii="Times New Roman" w:hAnsi="Times New Roman" w:cs="Times New Roman"/>
                <w:color w:val="auto"/>
                <w:highlight w:val="none"/>
              </w:rPr>
              <w:t>。</w:t>
            </w:r>
            <w:bookmarkEnd w:id="17"/>
            <w:bookmarkEnd w:id="18"/>
          </w:p>
          <w:p w14:paraId="5FDA32FD">
            <w:pPr>
              <w:keepNext w:val="0"/>
              <w:keepLines w:val="0"/>
              <w:pageBreakBefore w:val="0"/>
              <w:widowControl w:val="0"/>
              <w:kinsoku/>
              <w:wordWrap/>
              <w:overflowPunct/>
              <w:topLinePunct w:val="0"/>
              <w:autoSpaceDE/>
              <w:autoSpaceDN/>
              <w:bidi w:val="0"/>
              <w:adjustRightInd w:val="0"/>
              <w:snapToGrid/>
              <w:ind w:firstLine="480" w:firstLineChars="200"/>
              <w:textAlignment w:val="auto"/>
              <w:outlineLvl w:val="9"/>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3、总平面布局</w:t>
            </w:r>
          </w:p>
          <w:p w14:paraId="63220595">
            <w:pPr>
              <w:keepNext w:val="0"/>
              <w:keepLines w:val="0"/>
              <w:pageBreakBefore w:val="0"/>
              <w:widowControl w:val="0"/>
              <w:kinsoku/>
              <w:wordWrap/>
              <w:overflowPunct/>
              <w:topLinePunct w:val="0"/>
              <w:autoSpaceDE/>
              <w:autoSpaceDN/>
              <w:bidi w:val="0"/>
              <w:adjustRightInd w:val="0"/>
              <w:snapToGrid/>
              <w:ind w:firstLine="480" w:firstLineChars="200"/>
              <w:textAlignment w:val="auto"/>
              <w:outlineLvl w:val="9"/>
              <w:rPr>
                <w:rFonts w:hint="eastAsia" w:ascii="Times New Roman" w:hAnsi="Times New Roman" w:eastAsia="宋体" w:cs="Times New Roman"/>
                <w:color w:val="auto"/>
                <w:highlight w:val="none"/>
                <w:lang w:val="en-US" w:eastAsia="zh-CN"/>
              </w:rPr>
            </w:pPr>
            <w:r>
              <w:rPr>
                <w:rFonts w:hint="eastAsia" w:eastAsia="宋体" w:cs="Times New Roman"/>
                <w:color w:val="auto"/>
                <w:sz w:val="24"/>
                <w:highlight w:val="none"/>
                <w:lang w:val="en-US" w:eastAsia="zh-CN"/>
              </w:rPr>
              <w:t>本</w:t>
            </w:r>
            <w:r>
              <w:rPr>
                <w:rFonts w:hint="default" w:ascii="Times New Roman" w:hAnsi="Times New Roman" w:eastAsia="宋体" w:cs="Times New Roman"/>
                <w:color w:val="auto"/>
                <w:sz w:val="24"/>
                <w:highlight w:val="none"/>
              </w:rPr>
              <w:t>项目</w:t>
            </w:r>
            <w:r>
              <w:rPr>
                <w:rFonts w:hint="default" w:ascii="Times New Roman" w:hAnsi="Times New Roman" w:eastAsia="宋体" w:cs="Times New Roman"/>
                <w:color w:val="auto"/>
                <w:sz w:val="24"/>
                <w:highlight w:val="none"/>
                <w:lang w:val="en-US" w:eastAsia="zh-CN"/>
              </w:rPr>
              <w:t>规划总用地面积</w:t>
            </w:r>
            <w:r>
              <w:rPr>
                <w:rFonts w:hint="eastAsia" w:ascii="Times New Roman" w:hAnsi="Times New Roman" w:eastAsia="宋体" w:cs="Times New Roman"/>
                <w:color w:val="auto"/>
                <w:sz w:val="24"/>
                <w:highlight w:val="none"/>
                <w:lang w:val="en-US" w:eastAsia="zh-CN"/>
              </w:rPr>
              <w:t>为</w:t>
            </w:r>
            <w:r>
              <w:rPr>
                <w:rFonts w:hint="eastAsia" w:eastAsia="宋体" w:cs="Times New Roman"/>
                <w:color w:val="auto"/>
                <w:sz w:val="24"/>
                <w:highlight w:val="none"/>
                <w:lang w:val="en-US" w:eastAsia="zh-CN"/>
              </w:rPr>
              <w:t>3</w:t>
            </w:r>
            <w:r>
              <w:rPr>
                <w:rFonts w:hint="eastAsia" w:cs="Times New Roman"/>
                <w:color w:val="auto"/>
                <w:sz w:val="24"/>
                <w:highlight w:val="none"/>
                <w:lang w:val="en-US" w:eastAsia="zh-CN"/>
              </w:rPr>
              <w:t>4</w:t>
            </w:r>
            <w:r>
              <w:rPr>
                <w:rFonts w:hint="eastAsia" w:eastAsia="宋体" w:cs="Times New Roman"/>
                <w:color w:val="auto"/>
                <w:sz w:val="24"/>
                <w:highlight w:val="none"/>
                <w:lang w:val="en-US" w:eastAsia="zh-CN"/>
              </w:rPr>
              <w:t>20</w:t>
            </w:r>
            <w:r>
              <w:rPr>
                <w:rFonts w:hint="default" w:ascii="Times New Roman" w:hAnsi="Times New Roman" w:eastAsia="宋体" w:cs="Times New Roman"/>
                <w:color w:val="auto"/>
                <w:sz w:val="24"/>
                <w:highlight w:val="none"/>
              </w:rPr>
              <w:t>平方米，</w:t>
            </w:r>
            <w:r>
              <w:rPr>
                <w:rFonts w:hint="eastAsia" w:ascii="Times New Roman" w:hAnsi="Times New Roman" w:eastAsia="宋体" w:cs="Times New Roman"/>
                <w:color w:val="auto"/>
                <w:sz w:val="24"/>
                <w:highlight w:val="none"/>
                <w:lang w:val="en-US" w:eastAsia="zh-CN"/>
              </w:rPr>
              <w:t>总</w:t>
            </w:r>
            <w:r>
              <w:rPr>
                <w:rFonts w:hint="default" w:ascii="Times New Roman" w:hAnsi="Times New Roman" w:eastAsia="宋体" w:cs="Times New Roman"/>
                <w:color w:val="auto"/>
                <w:sz w:val="24"/>
                <w:highlight w:val="none"/>
              </w:rPr>
              <w:t>建筑面积</w:t>
            </w:r>
            <w:r>
              <w:rPr>
                <w:rFonts w:hint="eastAsia" w:ascii="Times New Roman" w:hAnsi="Times New Roman" w:eastAsia="宋体" w:cs="Times New Roman"/>
                <w:color w:val="auto"/>
                <w:sz w:val="24"/>
                <w:highlight w:val="none"/>
                <w:lang w:val="en-US" w:eastAsia="zh-CN"/>
              </w:rPr>
              <w:t>为</w:t>
            </w:r>
            <w:r>
              <w:rPr>
                <w:rFonts w:hint="eastAsia" w:eastAsia="宋体" w:cs="Times New Roman"/>
                <w:color w:val="auto"/>
                <w:sz w:val="24"/>
                <w:highlight w:val="none"/>
                <w:lang w:val="en-US" w:eastAsia="zh-CN"/>
              </w:rPr>
              <w:t>3</w:t>
            </w:r>
            <w:r>
              <w:rPr>
                <w:rFonts w:hint="eastAsia" w:cs="Times New Roman"/>
                <w:color w:val="auto"/>
                <w:sz w:val="24"/>
                <w:highlight w:val="none"/>
                <w:lang w:val="en-US" w:eastAsia="zh-CN"/>
              </w:rPr>
              <w:t>4</w:t>
            </w:r>
            <w:r>
              <w:rPr>
                <w:rFonts w:hint="eastAsia" w:eastAsia="宋体" w:cs="Times New Roman"/>
                <w:color w:val="auto"/>
                <w:sz w:val="24"/>
                <w:highlight w:val="none"/>
                <w:lang w:val="en-US" w:eastAsia="zh-CN"/>
              </w:rPr>
              <w:t>20</w:t>
            </w:r>
            <w:r>
              <w:rPr>
                <w:rFonts w:hint="default" w:ascii="Times New Roman" w:hAnsi="Times New Roman" w:eastAsia="宋体" w:cs="Times New Roman"/>
                <w:color w:val="auto"/>
                <w:sz w:val="24"/>
                <w:highlight w:val="none"/>
              </w:rPr>
              <w:t>平方米，</w:t>
            </w:r>
            <w:r>
              <w:rPr>
                <w:rFonts w:hint="eastAsia" w:ascii="Times New Roman" w:hAnsi="Times New Roman" w:eastAsia="宋体" w:cs="Times New Roman"/>
                <w:color w:val="auto"/>
                <w:sz w:val="24"/>
                <w:highlight w:val="none"/>
                <w:lang w:val="en-US" w:eastAsia="zh-CN"/>
              </w:rPr>
              <w:t>拟租赁已建成</w:t>
            </w:r>
            <w:r>
              <w:rPr>
                <w:rFonts w:hint="default" w:ascii="Times New Roman" w:hAnsi="Times New Roman" w:eastAsia="宋体" w:cs="Times New Roman"/>
                <w:color w:val="auto"/>
                <w:sz w:val="24"/>
                <w:highlight w:val="none"/>
              </w:rPr>
              <w:t>厂房。</w:t>
            </w:r>
            <w:r>
              <w:rPr>
                <w:rFonts w:hint="default" w:ascii="Times New Roman" w:hAnsi="Times New Roman" w:eastAsia="宋体" w:cs="Times New Roman"/>
                <w:color w:val="auto"/>
                <w:spacing w:val="-1"/>
                <w:sz w:val="24"/>
                <w:szCs w:val="24"/>
                <w:highlight w:val="none"/>
              </w:rPr>
              <w:t>各</w:t>
            </w:r>
            <w:r>
              <w:rPr>
                <w:rFonts w:hint="eastAsia" w:ascii="Times New Roman" w:hAnsi="Times New Roman" w:eastAsia="宋体" w:cs="Times New Roman"/>
                <w:color w:val="auto"/>
                <w:spacing w:val="-1"/>
                <w:sz w:val="24"/>
                <w:szCs w:val="24"/>
                <w:highlight w:val="none"/>
                <w:lang w:val="en-US" w:eastAsia="zh-CN"/>
              </w:rPr>
              <w:t>层</w:t>
            </w:r>
            <w:r>
              <w:rPr>
                <w:rFonts w:hint="default" w:ascii="Times New Roman" w:hAnsi="Times New Roman"/>
                <w:color w:val="auto"/>
                <w:sz w:val="24"/>
                <w:szCs w:val="24"/>
                <w:highlight w:val="none"/>
              </w:rPr>
              <w:t>布局功能分区</w:t>
            </w:r>
            <w:r>
              <w:rPr>
                <w:rFonts w:hint="default" w:ascii="Times New Roman" w:hAnsi="Times New Roman" w:eastAsia="宋体" w:cs="Times New Roman"/>
                <w:color w:val="auto"/>
                <w:sz w:val="24"/>
                <w:szCs w:val="24"/>
                <w:highlight w:val="none"/>
              </w:rPr>
              <w:t>划分明确</w:t>
            </w:r>
            <w:r>
              <w:rPr>
                <w:rFonts w:hint="eastAsia" w:ascii="Times New Roman" w:hAnsi="Times New Roman" w:eastAsia="宋体" w:cs="Times New Roman"/>
                <w:color w:val="auto"/>
                <w:sz w:val="24"/>
                <w:szCs w:val="24"/>
                <w:highlight w:val="none"/>
                <w:lang w:val="en-US" w:eastAsia="zh-CN"/>
              </w:rPr>
              <w:t>且</w:t>
            </w:r>
            <w:r>
              <w:rPr>
                <w:rFonts w:hint="default" w:ascii="Times New Roman" w:hAnsi="Times New Roman" w:eastAsia="宋体" w:cs="Times New Roman"/>
                <w:color w:val="auto"/>
                <w:spacing w:val="-1"/>
                <w:sz w:val="24"/>
                <w:szCs w:val="24"/>
                <w:highlight w:val="none"/>
              </w:rPr>
              <w:t>紧凑</w:t>
            </w:r>
            <w:r>
              <w:rPr>
                <w:rFonts w:hint="default" w:ascii="Times New Roman" w:hAnsi="Times New Roman" w:eastAsia="宋体" w:cs="Times New Roman"/>
                <w:color w:val="auto"/>
                <w:sz w:val="24"/>
                <w:szCs w:val="24"/>
                <w:highlight w:val="none"/>
              </w:rPr>
              <w:t>，人流、物流线路清晰，平面布置合理可行</w:t>
            </w:r>
            <w:r>
              <w:rPr>
                <w:rFonts w:hint="default" w:ascii="Times New Roman" w:hAnsi="Times New Roman" w:eastAsia="宋体" w:cs="Times New Roman"/>
                <w:color w:val="auto"/>
                <w:kern w:val="2"/>
                <w:sz w:val="24"/>
                <w:szCs w:val="24"/>
                <w:highlight w:val="none"/>
                <w:lang w:val="en-US" w:eastAsia="zh-CN" w:bidi="ar-SA"/>
              </w:rPr>
              <w:t>，具体</w:t>
            </w:r>
            <w:r>
              <w:rPr>
                <w:rFonts w:hint="eastAsia" w:ascii="Times New Roman" w:hAnsi="Times New Roman" w:eastAsia="宋体" w:cs="Times New Roman"/>
                <w:color w:val="auto"/>
                <w:kern w:val="2"/>
                <w:sz w:val="24"/>
                <w:szCs w:val="24"/>
                <w:highlight w:val="none"/>
                <w:lang w:val="en-US" w:eastAsia="zh-CN" w:bidi="ar-SA"/>
              </w:rPr>
              <w:t>总平面</w:t>
            </w:r>
            <w:r>
              <w:rPr>
                <w:rFonts w:hint="default" w:ascii="Times New Roman" w:hAnsi="Times New Roman" w:eastAsia="宋体" w:cs="Times New Roman"/>
                <w:color w:val="auto"/>
                <w:kern w:val="2"/>
                <w:sz w:val="24"/>
                <w:szCs w:val="24"/>
                <w:highlight w:val="none"/>
                <w:lang w:val="en-US" w:eastAsia="zh-CN" w:bidi="ar-SA"/>
              </w:rPr>
              <w:t>布置</w:t>
            </w:r>
            <w:r>
              <w:rPr>
                <w:rFonts w:hint="eastAsia" w:ascii="Times New Roman" w:hAnsi="Times New Roman" w:eastAsia="宋体" w:cs="Times New Roman"/>
                <w:color w:val="auto"/>
                <w:kern w:val="2"/>
                <w:sz w:val="24"/>
                <w:szCs w:val="24"/>
                <w:highlight w:val="none"/>
                <w:lang w:val="en-US" w:eastAsia="zh-CN" w:bidi="ar-SA"/>
              </w:rPr>
              <w:t>及生产</w:t>
            </w:r>
            <w:r>
              <w:rPr>
                <w:rFonts w:hint="eastAsia" w:ascii="Times New Roman" w:hAnsi="Times New Roman" w:eastAsia="宋体"/>
                <w:color w:val="auto"/>
                <w:sz w:val="24"/>
                <w:szCs w:val="24"/>
                <w:highlight w:val="none"/>
                <w:lang w:val="en-US" w:eastAsia="zh-CN"/>
              </w:rPr>
              <w:t>厂房</w:t>
            </w:r>
            <w:r>
              <w:rPr>
                <w:rFonts w:hint="eastAsia" w:ascii="Times New Roman" w:hAnsi="Times New Roman"/>
                <w:color w:val="auto"/>
                <w:sz w:val="24"/>
                <w:szCs w:val="24"/>
                <w:highlight w:val="none"/>
                <w:lang w:val="en-US" w:eastAsia="zh-CN"/>
              </w:rPr>
              <w:t>布局</w:t>
            </w:r>
            <w:r>
              <w:rPr>
                <w:rFonts w:hint="default" w:ascii="Times New Roman" w:hAnsi="Times New Roman" w:eastAsia="宋体" w:cs="Times New Roman"/>
                <w:color w:val="auto"/>
                <w:kern w:val="2"/>
                <w:sz w:val="24"/>
                <w:szCs w:val="24"/>
                <w:highlight w:val="none"/>
                <w:lang w:val="en-US" w:eastAsia="zh-CN" w:bidi="ar-SA"/>
              </w:rPr>
              <w:t>详见</w:t>
            </w:r>
            <w:r>
              <w:rPr>
                <w:rFonts w:hint="default" w:ascii="Times New Roman" w:hAnsi="Times New Roman" w:eastAsia="宋体" w:cs="Times New Roman"/>
                <w:color w:val="auto"/>
                <w:sz w:val="24"/>
                <w:szCs w:val="24"/>
                <w:highlight w:val="none"/>
              </w:rPr>
              <w:t>附图</w:t>
            </w:r>
            <w:r>
              <w:rPr>
                <w:rFonts w:hint="eastAsia" w:ascii="Times New Roman" w:hAnsi="Times New Roman" w:eastAsia="宋体" w:cs="Times New Roman"/>
                <w:color w:val="auto"/>
                <w:sz w:val="24"/>
                <w:szCs w:val="24"/>
                <w:highlight w:val="none"/>
                <w:lang w:val="en-US" w:eastAsia="zh-CN"/>
              </w:rPr>
              <w:t>3</w:t>
            </w:r>
            <w:r>
              <w:rPr>
                <w:rFonts w:hint="eastAsia"/>
                <w:color w:val="auto"/>
                <w:lang w:eastAsia="zh-CN"/>
              </w:rPr>
              <w:t>。</w:t>
            </w:r>
          </w:p>
        </w:tc>
      </w:tr>
      <w:tr w14:paraId="1E9F7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66" w:type="pct"/>
            <w:vAlign w:val="center"/>
          </w:tcPr>
          <w:p w14:paraId="15310000">
            <w:pPr>
              <w:keepNext w:val="0"/>
              <w:keepLines w:val="0"/>
              <w:pageBreakBefore w:val="0"/>
              <w:widowControl w:val="0"/>
              <w:numPr>
                <w:ilvl w:val="1"/>
                <w:numId w:val="0"/>
              </w:numPr>
              <w:tabs>
                <w:tab w:val="left" w:pos="420"/>
              </w:tabs>
              <w:kinsoku/>
              <w:wordWrap/>
              <w:overflowPunct/>
              <w:topLinePunct w:val="0"/>
              <w:autoSpaceDE/>
              <w:autoSpaceDN/>
              <w:bidi w:val="0"/>
              <w:adjustRightInd/>
              <w:snapToGrid/>
              <w:spacing w:line="240" w:lineRule="auto"/>
              <w:textAlignment w:val="auto"/>
              <w:outlineLvl w:val="9"/>
              <w:rPr>
                <w:rFonts w:hint="default" w:ascii="Times New Roman" w:hAnsi="Times New Roman" w:cs="Times New Roman"/>
                <w:color w:val="auto"/>
                <w:highlight w:val="none"/>
              </w:rPr>
            </w:pPr>
            <w:bookmarkStart w:id="19" w:name="_Toc29759"/>
            <w:bookmarkStart w:id="20" w:name="_Toc7091"/>
            <w:bookmarkStart w:id="21" w:name="_Toc14179"/>
            <w:bookmarkStart w:id="22" w:name="_Toc25729"/>
            <w:bookmarkStart w:id="23" w:name="_Toc22477"/>
            <w:r>
              <w:rPr>
                <w:rFonts w:hint="default" w:ascii="Times New Roman" w:hAnsi="Times New Roman" w:cs="Times New Roman"/>
                <w:color w:val="auto"/>
                <w:highlight w:val="none"/>
              </w:rPr>
              <w:t>工艺流程和产排污环节</w:t>
            </w:r>
            <w:bookmarkEnd w:id="19"/>
            <w:bookmarkEnd w:id="20"/>
            <w:bookmarkEnd w:id="21"/>
            <w:bookmarkEnd w:id="22"/>
            <w:bookmarkEnd w:id="23"/>
          </w:p>
        </w:tc>
        <w:tc>
          <w:tcPr>
            <w:tcW w:w="4733" w:type="pct"/>
          </w:tcPr>
          <w:p w14:paraId="39272304">
            <w:pPr>
              <w:keepNext w:val="0"/>
              <w:keepLines w:val="0"/>
              <w:pageBreakBefore w:val="0"/>
              <w:widowControl w:val="0"/>
              <w:numPr>
                <w:ilvl w:val="0"/>
                <w:numId w:val="12"/>
              </w:numPr>
              <w:kinsoku/>
              <w:wordWrap/>
              <w:overflowPunct/>
              <w:topLinePunct w:val="0"/>
              <w:autoSpaceDE/>
              <w:autoSpaceDN/>
              <w:bidi w:val="0"/>
              <w:adjustRightInd w:val="0"/>
              <w:snapToGrid w:val="0"/>
              <w:spacing w:before="157" w:beforeLines="50" w:line="360" w:lineRule="auto"/>
              <w:ind w:firstLine="480" w:firstLineChars="200"/>
              <w:textAlignment w:val="auto"/>
              <w:rPr>
                <w:rFonts w:hint="default" w:ascii="Times New Roman" w:hAnsi="Times New Roman" w:cs="Times New Roman"/>
                <w:b/>
                <w:bCs w:val="0"/>
                <w:color w:val="auto"/>
                <w:sz w:val="24"/>
                <w:szCs w:val="24"/>
                <w:highlight w:val="none"/>
                <w:lang w:eastAsia="zh-CN"/>
              </w:rPr>
            </w:pPr>
            <w:r>
              <w:rPr>
                <w:rFonts w:hint="default" w:ascii="Times New Roman" w:hAnsi="Times New Roman" w:cs="Times New Roman"/>
                <w:b/>
                <w:bCs w:val="0"/>
                <w:color w:val="auto"/>
                <w:sz w:val="24"/>
                <w:szCs w:val="24"/>
                <w:highlight w:val="none"/>
                <w:lang w:val="en-US" w:eastAsia="zh-CN"/>
              </w:rPr>
              <w:t>项目</w:t>
            </w:r>
            <w:r>
              <w:rPr>
                <w:rFonts w:hint="default" w:ascii="Times New Roman" w:hAnsi="Times New Roman" w:eastAsia="宋体" w:cs="Times New Roman"/>
                <w:b/>
                <w:bCs w:val="0"/>
                <w:color w:val="auto"/>
                <w:sz w:val="24"/>
                <w:szCs w:val="24"/>
                <w:highlight w:val="none"/>
                <w:lang w:eastAsia="zh-CN"/>
              </w:rPr>
              <w:t>运营期工艺</w:t>
            </w:r>
            <w:r>
              <w:rPr>
                <w:rFonts w:hint="default" w:ascii="Times New Roman" w:hAnsi="Times New Roman" w:cs="Times New Roman"/>
                <w:b/>
                <w:bCs w:val="0"/>
                <w:color w:val="auto"/>
                <w:sz w:val="24"/>
                <w:szCs w:val="24"/>
                <w:highlight w:val="none"/>
                <w:lang w:eastAsia="zh-CN"/>
              </w:rPr>
              <w:t>流程</w:t>
            </w:r>
            <w:r>
              <w:rPr>
                <w:rFonts w:hint="default" w:ascii="Times New Roman" w:hAnsi="Times New Roman" w:eastAsia="宋体" w:cs="Times New Roman"/>
                <w:b/>
                <w:bCs w:val="0"/>
                <w:color w:val="auto"/>
                <w:sz w:val="24"/>
                <w:szCs w:val="24"/>
                <w:highlight w:val="none"/>
                <w:lang w:eastAsia="zh-CN"/>
              </w:rPr>
              <w:t>及产污</w:t>
            </w:r>
            <w:r>
              <w:rPr>
                <w:rFonts w:hint="default" w:ascii="Times New Roman" w:hAnsi="Times New Roman" w:cs="Times New Roman"/>
                <w:b/>
                <w:bCs w:val="0"/>
                <w:color w:val="auto"/>
                <w:sz w:val="24"/>
                <w:szCs w:val="24"/>
                <w:highlight w:val="none"/>
                <w:lang w:eastAsia="zh-CN"/>
              </w:rPr>
              <w:t>环节</w:t>
            </w:r>
          </w:p>
          <w:p w14:paraId="19227ECF">
            <w:pPr>
              <w:pageBreakBefore w:val="0"/>
              <w:numPr>
                <w:ilvl w:val="0"/>
                <w:numId w:val="0"/>
              </w:numPr>
              <w:tabs>
                <w:tab w:val="left" w:pos="420"/>
              </w:tabs>
              <w:kinsoku/>
              <w:overflowPunct/>
              <w:topLinePunct w:val="0"/>
              <w:bidi w:val="0"/>
              <w:snapToGrid/>
              <w:ind w:left="480" w:leftChars="200"/>
              <w:outlineLvl w:val="9"/>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lang w:eastAsia="zh-CN"/>
              </w:rPr>
              <w:t>主要</w:t>
            </w:r>
            <w:r>
              <w:rPr>
                <w:rFonts w:hint="default" w:ascii="Times New Roman" w:hAnsi="Times New Roman" w:cs="Times New Roman"/>
                <w:b/>
                <w:bCs/>
                <w:color w:val="auto"/>
                <w:highlight w:val="none"/>
              </w:rPr>
              <w:t>工艺</w:t>
            </w:r>
            <w:r>
              <w:rPr>
                <w:rFonts w:hint="default" w:ascii="Times New Roman" w:hAnsi="Times New Roman" w:cs="Times New Roman"/>
                <w:b/>
                <w:bCs/>
                <w:color w:val="auto"/>
                <w:highlight w:val="none"/>
                <w:lang w:eastAsia="zh-CN"/>
              </w:rPr>
              <w:t>流程简述</w:t>
            </w:r>
            <w:r>
              <w:rPr>
                <w:rFonts w:hint="default" w:ascii="Times New Roman" w:hAnsi="Times New Roman" w:cs="Times New Roman"/>
                <w:b/>
                <w:bCs/>
                <w:color w:val="auto"/>
                <w:highlight w:val="none"/>
              </w:rPr>
              <w:t>：</w:t>
            </w:r>
          </w:p>
          <w:p w14:paraId="1F0F7E0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b w:val="0"/>
                <w:color w:val="auto"/>
                <w:kern w:val="2"/>
                <w:sz w:val="24"/>
                <w:szCs w:val="24"/>
                <w:highlight w:val="none"/>
                <w:lang w:val="en-US" w:eastAsia="zh-CN" w:bidi="ar-SA"/>
              </w:rPr>
            </w:pPr>
            <w:r>
              <w:rPr>
                <w:rFonts w:hint="eastAsia" w:cs="Times New Roman"/>
                <w:b w:val="0"/>
                <w:bCs w:val="0"/>
                <w:color w:val="auto"/>
                <w:sz w:val="24"/>
                <w:szCs w:val="24"/>
                <w:highlight w:val="none"/>
                <w:lang w:val="en-US" w:eastAsia="zh-CN"/>
              </w:rPr>
              <w:t>1）卸料：按照分类、分区的原则，将收集的一般固体废物进行卸料</w:t>
            </w:r>
            <w:r>
              <w:rPr>
                <w:rFonts w:hint="default" w:ascii="Times New Roman" w:hAnsi="Times New Roman" w:eastAsia="宋体" w:cs="Times New Roman"/>
                <w:b w:val="0"/>
                <w:color w:val="auto"/>
                <w:kern w:val="2"/>
                <w:sz w:val="24"/>
                <w:szCs w:val="24"/>
                <w:highlight w:val="none"/>
                <w:lang w:val="en-US" w:eastAsia="zh-CN" w:bidi="ar-SA"/>
              </w:rPr>
              <w:t>。</w:t>
            </w:r>
            <w:r>
              <w:rPr>
                <w:rFonts w:hint="eastAsia" w:cs="Times New Roman"/>
                <w:b w:val="0"/>
                <w:color w:val="auto"/>
                <w:kern w:val="2"/>
                <w:sz w:val="24"/>
                <w:szCs w:val="24"/>
                <w:highlight w:val="none"/>
                <w:lang w:val="en-US" w:eastAsia="zh-CN" w:bidi="ar-SA"/>
              </w:rPr>
              <w:t>在卸料过程中会产生颗粒物、臭气浓度、噪声。</w:t>
            </w:r>
          </w:p>
          <w:p w14:paraId="03E80E4B">
            <w:pPr>
              <w:keepNext w:val="0"/>
              <w:keepLines w:val="0"/>
              <w:pageBreakBefore w:val="0"/>
              <w:widowControl w:val="0"/>
              <w:numPr>
                <w:ilvl w:val="0"/>
                <w:numId w:val="13"/>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b w:val="0"/>
                <w:color w:val="auto"/>
                <w:kern w:val="2"/>
                <w:sz w:val="24"/>
                <w:szCs w:val="24"/>
                <w:highlight w:val="none"/>
                <w:lang w:val="en-US" w:eastAsia="zh-CN" w:bidi="ar-SA"/>
              </w:rPr>
            </w:pPr>
            <w:r>
              <w:rPr>
                <w:rFonts w:hint="eastAsia" w:cs="Times New Roman"/>
                <w:b w:val="0"/>
                <w:color w:val="auto"/>
                <w:kern w:val="2"/>
                <w:sz w:val="24"/>
                <w:szCs w:val="24"/>
                <w:highlight w:val="none"/>
                <w:lang w:val="en-US" w:eastAsia="zh-CN" w:bidi="ar-SA"/>
              </w:rPr>
              <w:t>分拣</w:t>
            </w:r>
            <w:r>
              <w:rPr>
                <w:rFonts w:hint="default" w:ascii="Times New Roman" w:hAnsi="Times New Roman" w:eastAsia="宋体" w:cs="Times New Roman"/>
                <w:b w:val="0"/>
                <w:color w:val="auto"/>
                <w:kern w:val="2"/>
                <w:sz w:val="24"/>
                <w:szCs w:val="24"/>
                <w:highlight w:val="none"/>
                <w:lang w:val="en-US" w:eastAsia="zh-CN" w:bidi="ar-SA"/>
              </w:rPr>
              <w:t>：</w:t>
            </w:r>
            <w:r>
              <w:rPr>
                <w:rFonts w:hint="eastAsia" w:cs="Times New Roman"/>
                <w:b w:val="0"/>
                <w:color w:val="auto"/>
                <w:kern w:val="2"/>
                <w:sz w:val="24"/>
                <w:szCs w:val="24"/>
                <w:highlight w:val="none"/>
                <w:lang w:val="en-US" w:eastAsia="zh-CN" w:bidi="ar-SA"/>
              </w:rPr>
              <w:t>将一般固体废物由堆放点转移到分拣区域，按照可再生利用类和不可再生利用类的原则进行人工分拣</w:t>
            </w:r>
            <w:r>
              <w:rPr>
                <w:rFonts w:hint="default" w:ascii="Times New Roman" w:hAnsi="Times New Roman" w:eastAsia="宋体" w:cs="Times New Roman"/>
                <w:b w:val="0"/>
                <w:color w:val="auto"/>
                <w:kern w:val="2"/>
                <w:sz w:val="24"/>
                <w:szCs w:val="24"/>
                <w:highlight w:val="none"/>
                <w:lang w:val="en-US" w:eastAsia="zh-CN" w:bidi="ar-SA"/>
              </w:rPr>
              <w:t>。</w:t>
            </w:r>
            <w:r>
              <w:rPr>
                <w:rFonts w:hint="eastAsia" w:cs="Times New Roman"/>
                <w:b w:val="0"/>
                <w:color w:val="auto"/>
                <w:kern w:val="2"/>
                <w:sz w:val="24"/>
                <w:szCs w:val="24"/>
                <w:highlight w:val="none"/>
                <w:lang w:val="en-US" w:eastAsia="zh-CN" w:bidi="ar-SA"/>
              </w:rPr>
              <w:t>此过程会产生少量颗粒物、臭气浓度、噪声。</w:t>
            </w:r>
          </w:p>
          <w:p w14:paraId="0B824119">
            <w:pPr>
              <w:keepNext w:val="0"/>
              <w:keepLines w:val="0"/>
              <w:pageBreakBefore w:val="0"/>
              <w:widowControl w:val="0"/>
              <w:numPr>
                <w:ilvl w:val="0"/>
                <w:numId w:val="13"/>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b w:val="0"/>
                <w:color w:val="auto"/>
                <w:kern w:val="2"/>
                <w:sz w:val="24"/>
                <w:szCs w:val="24"/>
                <w:highlight w:val="none"/>
                <w:lang w:val="en-US" w:eastAsia="zh-CN" w:bidi="ar-SA"/>
              </w:rPr>
            </w:pPr>
            <w:r>
              <w:rPr>
                <w:rFonts w:hint="eastAsia" w:cs="Times New Roman"/>
                <w:b w:val="0"/>
                <w:bCs w:val="0"/>
                <w:color w:val="auto"/>
                <w:sz w:val="24"/>
                <w:szCs w:val="24"/>
                <w:highlight w:val="none"/>
                <w:lang w:val="en-US" w:eastAsia="zh-CN"/>
              </w:rPr>
              <w:t>压实打包：将分拣后的一般固废分别压实并用编织袋打包</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压实过程中产生颗粒物、臭气浓度、噪声。</w:t>
            </w:r>
          </w:p>
          <w:p w14:paraId="72754A96">
            <w:pPr>
              <w:keepNext w:val="0"/>
              <w:keepLines w:val="0"/>
              <w:pageBreakBefore w:val="0"/>
              <w:widowControl w:val="0"/>
              <w:numPr>
                <w:ilvl w:val="0"/>
                <w:numId w:val="13"/>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cs="Times New Roman"/>
                <w:b w:val="0"/>
                <w:color w:val="auto"/>
                <w:kern w:val="2"/>
                <w:sz w:val="24"/>
                <w:szCs w:val="24"/>
                <w:highlight w:val="none"/>
                <w:lang w:val="en-US" w:eastAsia="zh-CN" w:bidi="ar-SA"/>
              </w:rPr>
            </w:pPr>
            <w:r>
              <w:rPr>
                <w:rFonts w:hint="eastAsia" w:cs="Times New Roman"/>
                <w:b w:val="0"/>
                <w:color w:val="auto"/>
                <w:kern w:val="2"/>
                <w:sz w:val="24"/>
                <w:szCs w:val="24"/>
                <w:highlight w:val="none"/>
                <w:lang w:val="en-US" w:eastAsia="zh-CN" w:bidi="ar-SA"/>
              </w:rPr>
              <w:t>入库堆放：将打包完毕的各类一般固体废物运至贮存区，定期将可再生利用类委外综合利用，不可再生利用类委外处理。入库堆放时会产生颗粒物、臭气浓度、噪声。</w:t>
            </w:r>
          </w:p>
          <w:p w14:paraId="4B154F8A">
            <w:pPr>
              <w:keepNext w:val="0"/>
              <w:keepLines w:val="0"/>
              <w:pageBreakBefore w:val="0"/>
              <w:widowControl w:val="0"/>
              <w:numPr>
                <w:ilvl w:val="-1"/>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cs="Times New Roman"/>
                <w:b w:val="0"/>
                <w:color w:val="auto"/>
                <w:kern w:val="2"/>
                <w:sz w:val="24"/>
                <w:szCs w:val="24"/>
                <w:highlight w:val="none"/>
                <w:lang w:val="en-US" w:eastAsia="zh-CN" w:bidi="ar-SA"/>
              </w:rPr>
            </w:pPr>
            <w:r>
              <w:rPr>
                <w:rFonts w:hint="eastAsia" w:cs="Times New Roman"/>
                <w:b w:val="0"/>
                <w:color w:val="auto"/>
                <w:kern w:val="2"/>
                <w:sz w:val="24"/>
                <w:szCs w:val="24"/>
                <w:highlight w:val="none"/>
                <w:lang w:val="en-US" w:eastAsia="zh-CN" w:bidi="ar-SA"/>
              </w:rPr>
              <w:t>说明：本项目所有生产、分拣、贮存环节均在封闭厂房内进行，厂区无露天堆场，地面全部硬化。</w:t>
            </w:r>
          </w:p>
          <w:p w14:paraId="1FFCAC71">
            <w:pPr>
              <w:pStyle w:val="17"/>
              <w:pageBreakBefore w:val="0"/>
              <w:kinsoku/>
              <w:overflowPunct/>
              <w:topLinePunct w:val="0"/>
              <w:bidi w:val="0"/>
              <w:snapToGrid/>
              <w:ind w:firstLine="420" w:firstLineChars="200"/>
              <w:jc w:val="both"/>
              <w:outlineLvl w:val="9"/>
              <w:rPr>
                <w:rFonts w:hint="default" w:ascii="Times New Roman" w:hAnsi="Times New Roman" w:cs="Times New Roman"/>
                <w:color w:val="auto"/>
                <w:sz w:val="24"/>
                <w:szCs w:val="24"/>
                <w:highlight w:val="none"/>
              </w:rPr>
            </w:pPr>
            <w:r>
              <w:rPr>
                <w:color w:val="auto"/>
              </w:rPr>
              <w:drawing>
                <wp:inline distT="0" distB="0" distL="114300" distR="114300">
                  <wp:extent cx="4189730" cy="3019425"/>
                  <wp:effectExtent l="0" t="0" r="0" b="9525"/>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pic:cNvPicPr>
                            <a:picLocks noChangeAspect="1"/>
                          </pic:cNvPicPr>
                        </pic:nvPicPr>
                        <pic:blipFill>
                          <a:blip r:embed="rId12"/>
                          <a:stretch>
                            <a:fillRect/>
                          </a:stretch>
                        </pic:blipFill>
                        <pic:spPr>
                          <a:xfrm>
                            <a:off x="0" y="0"/>
                            <a:ext cx="4189730" cy="3019425"/>
                          </a:xfrm>
                          <a:prstGeom prst="rect">
                            <a:avLst/>
                          </a:prstGeom>
                          <a:noFill/>
                          <a:ln>
                            <a:noFill/>
                          </a:ln>
                        </pic:spPr>
                      </pic:pic>
                    </a:graphicData>
                  </a:graphic>
                </wp:inline>
              </w:drawing>
            </w:r>
          </w:p>
          <w:p w14:paraId="086BC65D">
            <w:pPr>
              <w:pageBreakBefore w:val="0"/>
              <w:numPr>
                <w:ilvl w:val="-1"/>
                <w:numId w:val="0"/>
              </w:numPr>
              <w:kinsoku/>
              <w:overflowPunct/>
              <w:topLinePunct w:val="0"/>
              <w:bidi w:val="0"/>
              <w:adjustRightInd w:val="0"/>
              <w:snapToGrid w:val="0"/>
              <w:spacing w:before="157" w:beforeLines="50"/>
              <w:jc w:val="center"/>
              <w:outlineLvl w:val="9"/>
              <w:rPr>
                <w:rFonts w:hint="default"/>
                <w:b/>
                <w:bCs/>
                <w:color w:val="auto"/>
                <w:lang w:val="en-US" w:eastAsia="zh-CN"/>
              </w:rPr>
            </w:pPr>
            <w:r>
              <w:rPr>
                <w:color w:val="auto"/>
              </w:rPr>
              <w:drawing>
                <wp:inline distT="0" distB="0" distL="0" distR="0">
                  <wp:extent cx="635" cy="0"/>
                  <wp:effectExtent l="0" t="0" r="0" b="0"/>
                  <wp:docPr id="1027" name="图片 1"/>
                  <wp:cNvGraphicFramePr/>
                  <a:graphic xmlns:a="http://schemas.openxmlformats.org/drawingml/2006/main">
                    <a:graphicData uri="http://schemas.openxmlformats.org/drawingml/2006/picture">
                      <pic:pic xmlns:pic="http://schemas.openxmlformats.org/drawingml/2006/picture">
                        <pic:nvPicPr>
                          <pic:cNvPr id="1027" name="图片 1"/>
                          <pic:cNvPicPr/>
                        </pic:nvPicPr>
                        <pic:blipFill>
                          <a:blip r:embed="rId13" cstate="print"/>
                          <a:srcRect/>
                          <a:stretch>
                            <a:fillRect/>
                          </a:stretch>
                        </pic:blipFill>
                        <pic:spPr>
                          <a:xfrm>
                            <a:off x="0" y="0"/>
                            <a:ext cx="635" cy="0"/>
                          </a:xfrm>
                          <a:prstGeom prst="rect">
                            <a:avLst/>
                          </a:prstGeom>
                          <a:ln>
                            <a:noFill/>
                          </a:ln>
                        </pic:spPr>
                      </pic:pic>
                    </a:graphicData>
                  </a:graphic>
                </wp:inline>
              </w:drawing>
            </w:r>
            <w:r>
              <w:rPr>
                <w:color w:val="auto"/>
              </w:rPr>
              <w:drawing>
                <wp:inline distT="0" distB="0" distL="0" distR="0">
                  <wp:extent cx="635" cy="0"/>
                  <wp:effectExtent l="0" t="0" r="0" b="0"/>
                  <wp:docPr id="1028" name="图片 2"/>
                  <wp:cNvGraphicFramePr/>
                  <a:graphic xmlns:a="http://schemas.openxmlformats.org/drawingml/2006/main">
                    <a:graphicData uri="http://schemas.openxmlformats.org/drawingml/2006/picture">
                      <pic:pic xmlns:pic="http://schemas.openxmlformats.org/drawingml/2006/picture">
                        <pic:nvPicPr>
                          <pic:cNvPr id="1028" name="图片 2"/>
                          <pic:cNvPicPr/>
                        </pic:nvPicPr>
                        <pic:blipFill>
                          <a:blip r:embed="rId13" cstate="print"/>
                          <a:srcRect/>
                          <a:stretch>
                            <a:fillRect/>
                          </a:stretch>
                        </pic:blipFill>
                        <pic:spPr>
                          <a:xfrm>
                            <a:off x="0" y="0"/>
                            <a:ext cx="635" cy="0"/>
                          </a:xfrm>
                          <a:prstGeom prst="rect">
                            <a:avLst/>
                          </a:prstGeom>
                          <a:ln>
                            <a:noFill/>
                          </a:ln>
                        </pic:spPr>
                      </pic:pic>
                    </a:graphicData>
                  </a:graphic>
                </wp:inline>
              </w:drawing>
            </w:r>
            <w:r>
              <w:rPr>
                <w:rFonts w:hint="default" w:ascii="Times New Roman" w:hAnsi="Times New Roman" w:cs="Times New Roman"/>
                <w:b/>
                <w:bCs/>
                <w:color w:val="auto"/>
                <w:highlight w:val="none"/>
              </w:rPr>
              <w:t>图</w:t>
            </w:r>
            <w:r>
              <w:rPr>
                <w:rFonts w:hint="default" w:ascii="Times New Roman" w:hAnsi="Times New Roman" w:cs="Times New Roman"/>
                <w:b/>
                <w:bCs/>
                <w:color w:val="auto"/>
                <w:highlight w:val="none"/>
              </w:rPr>
              <w:fldChar w:fldCharType="begin"/>
            </w:r>
            <w:r>
              <w:rPr>
                <w:rFonts w:hint="default" w:ascii="Times New Roman" w:hAnsi="Times New Roman" w:cs="Times New Roman"/>
                <w:b/>
                <w:bCs/>
                <w:color w:val="auto"/>
                <w:highlight w:val="none"/>
              </w:rPr>
              <w:instrText xml:space="preserve"> STYLEREF 1 \s </w:instrText>
            </w:r>
            <w:r>
              <w:rPr>
                <w:rFonts w:hint="default" w:ascii="Times New Roman" w:hAnsi="Times New Roman" w:cs="Times New Roman"/>
                <w:b/>
                <w:bCs/>
                <w:color w:val="auto"/>
                <w:highlight w:val="none"/>
              </w:rPr>
              <w:fldChar w:fldCharType="separate"/>
            </w:r>
            <w:r>
              <w:rPr>
                <w:rFonts w:hint="default" w:ascii="Times New Roman" w:hAnsi="Times New Roman" w:cs="Times New Roman"/>
                <w:b/>
                <w:bCs/>
                <w:color w:val="auto"/>
                <w:highlight w:val="none"/>
              </w:rPr>
              <w:t>2</w:t>
            </w:r>
            <w:r>
              <w:rPr>
                <w:rFonts w:hint="default" w:ascii="Times New Roman" w:hAnsi="Times New Roman" w:cs="Times New Roman"/>
                <w:b/>
                <w:bCs/>
                <w:color w:val="auto"/>
                <w:highlight w:val="none"/>
              </w:rPr>
              <w:fldChar w:fldCharType="end"/>
            </w:r>
            <w:r>
              <w:rPr>
                <w:rFonts w:hint="default" w:ascii="Times New Roman" w:hAnsi="Times New Roman" w:cs="Times New Roman"/>
                <w:b/>
                <w:bCs/>
                <w:color w:val="auto"/>
                <w:highlight w:val="none"/>
              </w:rPr>
              <w:t>-</w:t>
            </w:r>
            <w:r>
              <w:rPr>
                <w:rFonts w:hint="eastAsia" w:cs="Times New Roman"/>
                <w:b/>
                <w:bCs/>
                <w:color w:val="auto"/>
                <w:highlight w:val="none"/>
                <w:lang w:val="en-US" w:eastAsia="zh-CN"/>
              </w:rPr>
              <w:t>2</w:t>
            </w:r>
            <w:r>
              <w:rPr>
                <w:rFonts w:hint="default" w:ascii="Times New Roman" w:hAnsi="Times New Roman" w:cs="Times New Roman"/>
                <w:b/>
                <w:bCs/>
                <w:color w:val="auto"/>
                <w:highlight w:val="none"/>
                <w:lang w:val="en-US" w:eastAsia="zh-CN"/>
              </w:rPr>
              <w:t>项目</w:t>
            </w:r>
            <w:r>
              <w:rPr>
                <w:rFonts w:hint="default" w:ascii="Times New Roman" w:hAnsi="Times New Roman" w:cs="Times New Roman"/>
                <w:b/>
                <w:bCs/>
                <w:color w:val="auto"/>
                <w:highlight w:val="none"/>
              </w:rPr>
              <w:t>生产工艺流程图</w:t>
            </w:r>
          </w:p>
          <w:p w14:paraId="5C120028">
            <w:pPr>
              <w:pStyle w:val="17"/>
              <w:pageBreakBefore w:val="0"/>
              <w:kinsoku/>
              <w:overflowPunct/>
              <w:topLinePunct w:val="0"/>
              <w:bidi w:val="0"/>
              <w:snapToGrid/>
              <w:ind w:firstLine="480" w:firstLineChars="200"/>
              <w:jc w:val="both"/>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二、产污环节分析</w:t>
            </w:r>
          </w:p>
          <w:p w14:paraId="25C115A2">
            <w:pPr>
              <w:pStyle w:val="17"/>
              <w:pageBreakBefore w:val="0"/>
              <w:kinsoku/>
              <w:overflowPunct/>
              <w:topLinePunct w:val="0"/>
              <w:bidi w:val="0"/>
              <w:snapToGrid/>
              <w:spacing w:line="240" w:lineRule="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表</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STYLEREF 1 \s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2</w:t>
            </w:r>
            <w:r>
              <w:rPr>
                <w:rFonts w:hint="default" w:ascii="Times New Roman" w:hAnsi="Times New Roman" w:cs="Times New Roman"/>
                <w:color w:val="auto"/>
                <w:highlight w:val="none"/>
              </w:rPr>
              <w:fldChar w:fldCharType="end"/>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8</w:t>
            </w:r>
            <w:r>
              <w:rPr>
                <w:rStyle w:val="62"/>
                <w:rFonts w:hint="default" w:ascii="Times New Roman" w:hAnsi="Times New Roman" w:cs="Times New Roman"/>
                <w:b/>
                <w:bCs/>
                <w:color w:val="auto"/>
                <w:highlight w:val="none"/>
                <w:lang w:val="zh-CN"/>
              </w:rPr>
              <w:t>主要污染节点分析一览表</w:t>
            </w:r>
          </w:p>
          <w:tbl>
            <w:tblPr>
              <w:tblStyle w:val="4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1680"/>
              <w:gridCol w:w="2292"/>
              <w:gridCol w:w="3138"/>
            </w:tblGrid>
            <w:tr w14:paraId="24377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7" w:type="pct"/>
                  <w:vAlign w:val="center"/>
                </w:tcPr>
                <w:p w14:paraId="0EE90030">
                  <w:pPr>
                    <w:pStyle w:val="124"/>
                    <w:bidi w:val="0"/>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类别</w:t>
                  </w:r>
                </w:p>
              </w:tc>
              <w:tc>
                <w:tcPr>
                  <w:tcW w:w="1071" w:type="pct"/>
                  <w:vAlign w:val="center"/>
                </w:tcPr>
                <w:p w14:paraId="0F006447">
                  <w:pPr>
                    <w:pStyle w:val="124"/>
                    <w:bidi w:val="0"/>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污染工序</w:t>
                  </w:r>
                </w:p>
              </w:tc>
              <w:tc>
                <w:tcPr>
                  <w:tcW w:w="1461" w:type="pct"/>
                  <w:vAlign w:val="center"/>
                </w:tcPr>
                <w:p w14:paraId="237EDEA0">
                  <w:pPr>
                    <w:pStyle w:val="124"/>
                    <w:bidi w:val="0"/>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污染物</w:t>
                  </w:r>
                </w:p>
              </w:tc>
              <w:tc>
                <w:tcPr>
                  <w:tcW w:w="2000" w:type="pct"/>
                  <w:vAlign w:val="center"/>
                </w:tcPr>
                <w:p w14:paraId="7AE8F739">
                  <w:pPr>
                    <w:pStyle w:val="124"/>
                    <w:bidi w:val="0"/>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治理措施</w:t>
                  </w:r>
                </w:p>
              </w:tc>
            </w:tr>
            <w:tr w14:paraId="55607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67" w:type="pct"/>
                  <w:vMerge w:val="restart"/>
                  <w:vAlign w:val="center"/>
                </w:tcPr>
                <w:p w14:paraId="16653D61">
                  <w:pPr>
                    <w:pStyle w:val="124"/>
                    <w:bidi w:val="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废气</w:t>
                  </w:r>
                </w:p>
              </w:tc>
              <w:tc>
                <w:tcPr>
                  <w:tcW w:w="1071" w:type="pct"/>
                  <w:vAlign w:val="center"/>
                </w:tcPr>
                <w:p w14:paraId="19F4471A">
                  <w:pPr>
                    <w:pStyle w:val="124"/>
                    <w:bidi w:val="0"/>
                    <w:ind w:firstLine="0" w:firstLineChars="0"/>
                    <w:rPr>
                      <w:rFonts w:hint="default" w:cs="Times New Roman"/>
                      <w:color w:val="auto"/>
                      <w:highlight w:val="none"/>
                      <w:lang w:val="en-US" w:eastAsia="zh-CN"/>
                    </w:rPr>
                  </w:pPr>
                  <w:r>
                    <w:rPr>
                      <w:rFonts w:hint="eastAsia" w:cs="Times New Roman"/>
                      <w:color w:val="auto"/>
                      <w:highlight w:val="none"/>
                      <w:lang w:val="en-US" w:eastAsia="zh-CN"/>
                    </w:rPr>
                    <w:t>卸料</w:t>
                  </w:r>
                </w:p>
              </w:tc>
              <w:tc>
                <w:tcPr>
                  <w:tcW w:w="1461" w:type="pct"/>
                  <w:vAlign w:val="center"/>
                </w:tcPr>
                <w:p w14:paraId="1309BD20">
                  <w:pPr>
                    <w:pStyle w:val="124"/>
                    <w:bidi w:val="0"/>
                    <w:ind w:firstLine="0" w:firstLineChars="0"/>
                    <w:rPr>
                      <w:rFonts w:hint="eastAsia" w:cs="Times New Roman"/>
                      <w:color w:val="auto"/>
                      <w:highlight w:val="none"/>
                      <w:lang w:val="en-US" w:eastAsia="zh-CN"/>
                    </w:rPr>
                  </w:pPr>
                  <w:r>
                    <w:rPr>
                      <w:rFonts w:hint="eastAsia" w:cs="Times New Roman"/>
                      <w:color w:val="auto"/>
                      <w:highlight w:val="none"/>
                      <w:lang w:val="en-US" w:eastAsia="zh-CN"/>
                    </w:rPr>
                    <w:t>臭气浓度、颗粒物</w:t>
                  </w:r>
                </w:p>
              </w:tc>
              <w:tc>
                <w:tcPr>
                  <w:tcW w:w="2000" w:type="pct"/>
                  <w:vAlign w:val="center"/>
                </w:tcPr>
                <w:p w14:paraId="0B359CF1">
                  <w:pPr>
                    <w:pStyle w:val="12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加强车间通风后无组织排放</w:t>
                  </w:r>
                </w:p>
              </w:tc>
            </w:tr>
            <w:tr w14:paraId="5277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67" w:type="pct"/>
                  <w:vMerge w:val="continue"/>
                  <w:vAlign w:val="center"/>
                </w:tcPr>
                <w:p w14:paraId="6535703B">
                  <w:pPr>
                    <w:pStyle w:val="124"/>
                    <w:bidi w:val="0"/>
                    <w:rPr>
                      <w:rFonts w:hint="default" w:ascii="Times New Roman" w:hAnsi="Times New Roman" w:eastAsia="宋体" w:cs="Times New Roman"/>
                      <w:color w:val="auto"/>
                      <w:highlight w:val="none"/>
                      <w:lang w:val="en-US" w:eastAsia="zh-CN"/>
                    </w:rPr>
                  </w:pPr>
                </w:p>
              </w:tc>
              <w:tc>
                <w:tcPr>
                  <w:tcW w:w="1071" w:type="pct"/>
                  <w:vAlign w:val="center"/>
                </w:tcPr>
                <w:p w14:paraId="022774D0">
                  <w:pPr>
                    <w:pStyle w:val="124"/>
                    <w:bidi w:val="0"/>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highlight w:val="none"/>
                      <w:lang w:val="en-US" w:eastAsia="zh-CN"/>
                    </w:rPr>
                    <w:t>分拣</w:t>
                  </w:r>
                </w:p>
              </w:tc>
              <w:tc>
                <w:tcPr>
                  <w:tcW w:w="1461" w:type="pct"/>
                  <w:vAlign w:val="center"/>
                </w:tcPr>
                <w:p w14:paraId="4F56B3E6">
                  <w:pPr>
                    <w:pStyle w:val="124"/>
                    <w:bidi w:val="0"/>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highlight w:val="none"/>
                      <w:lang w:val="en-US" w:eastAsia="zh-CN"/>
                    </w:rPr>
                    <w:t>臭气浓度、颗粒物</w:t>
                  </w:r>
                </w:p>
              </w:tc>
              <w:tc>
                <w:tcPr>
                  <w:tcW w:w="2000" w:type="pct"/>
                  <w:vAlign w:val="center"/>
                </w:tcPr>
                <w:p w14:paraId="307440D8">
                  <w:pPr>
                    <w:pStyle w:val="12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加强车间通风后无组织排放</w:t>
                  </w:r>
                </w:p>
              </w:tc>
            </w:tr>
            <w:tr w14:paraId="5F2C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467" w:type="pct"/>
                  <w:vMerge w:val="continue"/>
                  <w:vAlign w:val="center"/>
                </w:tcPr>
                <w:p w14:paraId="70D2EF82">
                  <w:pPr>
                    <w:pStyle w:val="124"/>
                    <w:bidi w:val="0"/>
                    <w:rPr>
                      <w:rFonts w:hint="default" w:ascii="Times New Roman" w:hAnsi="Times New Roman" w:cs="Times New Roman"/>
                      <w:color w:val="auto"/>
                      <w:highlight w:val="none"/>
                    </w:rPr>
                  </w:pPr>
                </w:p>
              </w:tc>
              <w:tc>
                <w:tcPr>
                  <w:tcW w:w="1071" w:type="pct"/>
                  <w:vAlign w:val="center"/>
                </w:tcPr>
                <w:p w14:paraId="4F7C8005">
                  <w:pPr>
                    <w:pStyle w:val="124"/>
                    <w:bidi w:val="0"/>
                    <w:ind w:firstLine="0" w:firstLineChars="0"/>
                    <w:rPr>
                      <w:rFonts w:hint="default" w:cs="Times New Roman"/>
                      <w:color w:val="auto"/>
                      <w:highlight w:val="none"/>
                      <w:lang w:val="en-US" w:eastAsia="zh-CN"/>
                    </w:rPr>
                  </w:pPr>
                  <w:r>
                    <w:rPr>
                      <w:rFonts w:hint="eastAsia" w:cs="Times New Roman"/>
                      <w:color w:val="auto"/>
                      <w:highlight w:val="none"/>
                      <w:lang w:val="en-US" w:eastAsia="zh-CN"/>
                    </w:rPr>
                    <w:t>压实</w:t>
                  </w:r>
                </w:p>
              </w:tc>
              <w:tc>
                <w:tcPr>
                  <w:tcW w:w="1461" w:type="pct"/>
                  <w:vAlign w:val="center"/>
                </w:tcPr>
                <w:p w14:paraId="3325D3DF">
                  <w:pPr>
                    <w:pStyle w:val="124"/>
                    <w:bidi w:val="0"/>
                    <w:ind w:firstLine="0" w:firstLineChars="0"/>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臭气浓度、颗粒物</w:t>
                  </w:r>
                </w:p>
              </w:tc>
              <w:tc>
                <w:tcPr>
                  <w:tcW w:w="2000" w:type="pct"/>
                  <w:vAlign w:val="center"/>
                </w:tcPr>
                <w:p w14:paraId="2AAFD295">
                  <w:pPr>
                    <w:pStyle w:val="12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加强车间通风后无组织排放</w:t>
                  </w:r>
                </w:p>
              </w:tc>
            </w:tr>
            <w:tr w14:paraId="4FD5F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467" w:type="pct"/>
                  <w:vMerge w:val="continue"/>
                  <w:vAlign w:val="center"/>
                </w:tcPr>
                <w:p w14:paraId="517E91AB">
                  <w:pPr>
                    <w:pStyle w:val="124"/>
                    <w:bidi w:val="0"/>
                    <w:rPr>
                      <w:rFonts w:hint="default" w:ascii="Times New Roman" w:hAnsi="Times New Roman" w:cs="Times New Roman"/>
                      <w:color w:val="auto"/>
                      <w:highlight w:val="none"/>
                    </w:rPr>
                  </w:pPr>
                </w:p>
              </w:tc>
              <w:tc>
                <w:tcPr>
                  <w:tcW w:w="1071" w:type="pct"/>
                  <w:vAlign w:val="center"/>
                </w:tcPr>
                <w:p w14:paraId="7DB088D3">
                  <w:pPr>
                    <w:pStyle w:val="124"/>
                    <w:bidi w:val="0"/>
                    <w:ind w:firstLine="0" w:firstLineChars="0"/>
                    <w:rPr>
                      <w:rFonts w:hint="default" w:cs="Times New Roman"/>
                      <w:color w:val="auto"/>
                      <w:highlight w:val="none"/>
                      <w:lang w:val="en-US" w:eastAsia="zh-CN"/>
                    </w:rPr>
                  </w:pPr>
                  <w:r>
                    <w:rPr>
                      <w:rFonts w:hint="eastAsia" w:cs="Times New Roman"/>
                      <w:color w:val="auto"/>
                      <w:highlight w:val="none"/>
                      <w:lang w:val="en-US" w:eastAsia="zh-CN"/>
                    </w:rPr>
                    <w:t>入库</w:t>
                  </w:r>
                </w:p>
              </w:tc>
              <w:tc>
                <w:tcPr>
                  <w:tcW w:w="2293" w:type="dxa"/>
                  <w:vAlign w:val="center"/>
                </w:tcPr>
                <w:p w14:paraId="01DD6003">
                  <w:pPr>
                    <w:pStyle w:val="124"/>
                    <w:bidi w:val="0"/>
                    <w:ind w:firstLine="0" w:firstLineChars="0"/>
                    <w:rPr>
                      <w:color w:val="auto"/>
                    </w:rPr>
                  </w:pPr>
                  <w:r>
                    <w:rPr>
                      <w:rFonts w:hint="eastAsia" w:cs="Times New Roman"/>
                      <w:color w:val="auto"/>
                      <w:highlight w:val="none"/>
                      <w:lang w:val="en-US" w:eastAsia="zh-CN"/>
                    </w:rPr>
                    <w:t>臭气浓度、颗粒物</w:t>
                  </w:r>
                </w:p>
              </w:tc>
              <w:tc>
                <w:tcPr>
                  <w:tcW w:w="3140" w:type="dxa"/>
                  <w:vAlign w:val="center"/>
                </w:tcPr>
                <w:p w14:paraId="5932AFEE">
                  <w:pPr>
                    <w:pStyle w:val="124"/>
                    <w:bidi w:val="0"/>
                    <w:ind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加强车间通风后无组织排放</w:t>
                  </w:r>
                </w:p>
              </w:tc>
            </w:tr>
            <w:tr w14:paraId="7FD8C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7" w:type="pct"/>
                  <w:vMerge w:val="restart"/>
                  <w:vAlign w:val="center"/>
                </w:tcPr>
                <w:p w14:paraId="5BF30692">
                  <w:pPr>
                    <w:pStyle w:val="124"/>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固废</w:t>
                  </w:r>
                </w:p>
              </w:tc>
              <w:tc>
                <w:tcPr>
                  <w:tcW w:w="1071" w:type="pct"/>
                  <w:vAlign w:val="center"/>
                </w:tcPr>
                <w:p w14:paraId="51F9342B">
                  <w:pPr>
                    <w:pStyle w:val="124"/>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生活垃圾</w:t>
                  </w:r>
                </w:p>
              </w:tc>
              <w:tc>
                <w:tcPr>
                  <w:tcW w:w="1461" w:type="pct"/>
                  <w:vAlign w:val="center"/>
                </w:tcPr>
                <w:p w14:paraId="24176AE8">
                  <w:pPr>
                    <w:pStyle w:val="124"/>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生活垃圾</w:t>
                  </w:r>
                </w:p>
              </w:tc>
              <w:tc>
                <w:tcPr>
                  <w:tcW w:w="2000" w:type="pct"/>
                  <w:vAlign w:val="center"/>
                </w:tcPr>
                <w:p w14:paraId="7110771C">
                  <w:pPr>
                    <w:pStyle w:val="124"/>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rPr>
                    <w:t>交由环卫部门统一清运</w:t>
                  </w:r>
                </w:p>
              </w:tc>
            </w:tr>
            <w:tr w14:paraId="363AB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7" w:type="pct"/>
                  <w:vMerge w:val="continue"/>
                  <w:vAlign w:val="center"/>
                </w:tcPr>
                <w:p w14:paraId="2E7B2CCA">
                  <w:pPr>
                    <w:pStyle w:val="124"/>
                    <w:bidi w:val="0"/>
                    <w:rPr>
                      <w:rFonts w:hint="default" w:ascii="Times New Roman" w:hAnsi="Times New Roman" w:cs="Times New Roman"/>
                      <w:color w:val="auto"/>
                      <w:highlight w:val="none"/>
                    </w:rPr>
                  </w:pPr>
                </w:p>
              </w:tc>
              <w:tc>
                <w:tcPr>
                  <w:tcW w:w="1071" w:type="pct"/>
                  <w:vMerge w:val="restart"/>
                  <w:vAlign w:val="center"/>
                </w:tcPr>
                <w:p w14:paraId="6087FA91">
                  <w:pPr>
                    <w:pStyle w:val="124"/>
                    <w:bidi w:val="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一般工业固体废物</w:t>
                  </w:r>
                </w:p>
              </w:tc>
              <w:tc>
                <w:tcPr>
                  <w:tcW w:w="1461" w:type="pct"/>
                  <w:shd w:val="clear" w:color="auto" w:fill="auto"/>
                  <w:vAlign w:val="center"/>
                </w:tcPr>
                <w:p w14:paraId="331F1FE5">
                  <w:pPr>
                    <w:pStyle w:val="124"/>
                    <w:bidi w:val="0"/>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可再生利用类固废</w:t>
                  </w:r>
                </w:p>
              </w:tc>
              <w:tc>
                <w:tcPr>
                  <w:tcW w:w="2000" w:type="pct"/>
                  <w:vMerge w:val="restart"/>
                  <w:vAlign w:val="center"/>
                </w:tcPr>
                <w:p w14:paraId="015E570F">
                  <w:pPr>
                    <w:pStyle w:val="124"/>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经收集后交专业回收公司处理</w:t>
                  </w:r>
                </w:p>
              </w:tc>
            </w:tr>
            <w:tr w14:paraId="6D22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467" w:type="pct"/>
                  <w:vMerge w:val="continue"/>
                  <w:vAlign w:val="center"/>
                </w:tcPr>
                <w:p w14:paraId="370BE83A">
                  <w:pPr>
                    <w:pStyle w:val="124"/>
                    <w:bidi w:val="0"/>
                    <w:rPr>
                      <w:rFonts w:hint="default" w:ascii="Times New Roman" w:hAnsi="Times New Roman" w:cs="Times New Roman"/>
                      <w:color w:val="auto"/>
                      <w:highlight w:val="none"/>
                    </w:rPr>
                  </w:pPr>
                </w:p>
              </w:tc>
              <w:tc>
                <w:tcPr>
                  <w:tcW w:w="1071" w:type="pct"/>
                  <w:vMerge w:val="continue"/>
                  <w:vAlign w:val="center"/>
                </w:tcPr>
                <w:p w14:paraId="319F3F2C">
                  <w:pPr>
                    <w:pStyle w:val="124"/>
                    <w:bidi w:val="0"/>
                    <w:rPr>
                      <w:rFonts w:hint="default" w:ascii="Times New Roman" w:hAnsi="Times New Roman" w:cs="Times New Roman"/>
                      <w:color w:val="auto"/>
                      <w:highlight w:val="none"/>
                    </w:rPr>
                  </w:pPr>
                </w:p>
              </w:tc>
              <w:tc>
                <w:tcPr>
                  <w:tcW w:w="1461" w:type="pct"/>
                  <w:shd w:val="clear" w:color="auto" w:fill="auto"/>
                  <w:vAlign w:val="center"/>
                </w:tcPr>
                <w:p w14:paraId="6CDB9C2C">
                  <w:pPr>
                    <w:pStyle w:val="124"/>
                    <w:bidi w:val="0"/>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不可再生利用类固废</w:t>
                  </w:r>
                </w:p>
              </w:tc>
              <w:tc>
                <w:tcPr>
                  <w:tcW w:w="2000" w:type="pct"/>
                  <w:vMerge w:val="continue"/>
                  <w:vAlign w:val="center"/>
                </w:tcPr>
                <w:p w14:paraId="2B79D8CC">
                  <w:pPr>
                    <w:pStyle w:val="124"/>
                    <w:bidi w:val="0"/>
                    <w:rPr>
                      <w:rFonts w:hint="default" w:ascii="Times New Roman" w:hAnsi="Times New Roman" w:cs="Times New Roman"/>
                      <w:color w:val="auto"/>
                      <w:highlight w:val="none"/>
                      <w:lang w:val="en-US" w:eastAsia="zh-CN"/>
                    </w:rPr>
                  </w:pPr>
                </w:p>
              </w:tc>
            </w:tr>
            <w:tr w14:paraId="70B28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467" w:type="pct"/>
                  <w:vMerge w:val="continue"/>
                  <w:vAlign w:val="center"/>
                </w:tcPr>
                <w:p w14:paraId="56EDA7BB">
                  <w:pPr>
                    <w:pStyle w:val="124"/>
                    <w:bidi w:val="0"/>
                    <w:rPr>
                      <w:rFonts w:hint="default" w:ascii="Times New Roman" w:hAnsi="Times New Roman" w:cs="Times New Roman"/>
                      <w:color w:val="auto"/>
                      <w:highlight w:val="none"/>
                    </w:rPr>
                  </w:pPr>
                </w:p>
              </w:tc>
              <w:tc>
                <w:tcPr>
                  <w:tcW w:w="1071" w:type="pct"/>
                  <w:vAlign w:val="center"/>
                </w:tcPr>
                <w:p w14:paraId="0917DBB2">
                  <w:pPr>
                    <w:pStyle w:val="124"/>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危险废物</w:t>
                  </w:r>
                </w:p>
              </w:tc>
              <w:tc>
                <w:tcPr>
                  <w:tcW w:w="1461" w:type="pct"/>
                  <w:vAlign w:val="center"/>
                </w:tcPr>
                <w:p w14:paraId="0AA362AD">
                  <w:pPr>
                    <w:pStyle w:val="124"/>
                    <w:bidi w:val="0"/>
                    <w:ind w:firstLine="0" w:firstLine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highlight w:val="none"/>
                      <w:lang w:val="en-US" w:eastAsia="zh-CN"/>
                    </w:rPr>
                    <w:t>废矿物油</w:t>
                  </w:r>
                  <w:r>
                    <w:rPr>
                      <w:rFonts w:hint="eastAsia" w:cs="Times New Roman"/>
                      <w:color w:val="auto"/>
                      <w:highlight w:val="none"/>
                      <w:lang w:val="en-US" w:eastAsia="zh-CN"/>
                    </w:rPr>
                    <w:t>及</w:t>
                  </w:r>
                  <w:r>
                    <w:rPr>
                      <w:rFonts w:hint="default" w:ascii="Times New Roman" w:hAnsi="Times New Roman" w:cs="Times New Roman"/>
                      <w:color w:val="auto"/>
                      <w:highlight w:val="none"/>
                      <w:lang w:val="en-US" w:eastAsia="zh-CN"/>
                    </w:rPr>
                    <w:t>油桶、含油废抹布及手套</w:t>
                  </w:r>
                </w:p>
              </w:tc>
              <w:tc>
                <w:tcPr>
                  <w:tcW w:w="2000" w:type="pct"/>
                  <w:vAlign w:val="center"/>
                </w:tcPr>
                <w:p w14:paraId="3D8EA1BC">
                  <w:pPr>
                    <w:pStyle w:val="124"/>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rPr>
                    <w:t>交由有资质的单位处置</w:t>
                  </w:r>
                </w:p>
              </w:tc>
            </w:tr>
            <w:tr w14:paraId="768FC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7" w:type="pct"/>
                  <w:vAlign w:val="center"/>
                </w:tcPr>
                <w:p w14:paraId="7F6B0B1C">
                  <w:pPr>
                    <w:pStyle w:val="124"/>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噪声</w:t>
                  </w:r>
                </w:p>
              </w:tc>
              <w:tc>
                <w:tcPr>
                  <w:tcW w:w="1071" w:type="pct"/>
                  <w:vAlign w:val="center"/>
                </w:tcPr>
                <w:p w14:paraId="51FC69FC">
                  <w:pPr>
                    <w:pStyle w:val="124"/>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设备噪声</w:t>
                  </w:r>
                </w:p>
              </w:tc>
              <w:tc>
                <w:tcPr>
                  <w:tcW w:w="1461" w:type="pct"/>
                  <w:vAlign w:val="center"/>
                </w:tcPr>
                <w:p w14:paraId="5FCE3FFA">
                  <w:pPr>
                    <w:pStyle w:val="124"/>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机械噪声</w:t>
                  </w:r>
                </w:p>
              </w:tc>
              <w:tc>
                <w:tcPr>
                  <w:tcW w:w="2000" w:type="pct"/>
                  <w:vAlign w:val="center"/>
                </w:tcPr>
                <w:p w14:paraId="716F2157">
                  <w:pPr>
                    <w:pStyle w:val="124"/>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rPr>
                    <w:t>合理布局、距离衰减、墙体隔声</w:t>
                  </w:r>
                </w:p>
              </w:tc>
            </w:tr>
          </w:tbl>
          <w:p w14:paraId="77392BE1">
            <w:pPr>
              <w:pStyle w:val="21"/>
              <w:pageBreakBefore w:val="0"/>
              <w:kinsoku/>
              <w:overflowPunct/>
              <w:topLinePunct w:val="0"/>
              <w:bidi w:val="0"/>
              <w:snapToGrid/>
              <w:ind w:firstLine="0" w:firstLineChars="0"/>
              <w:outlineLvl w:val="9"/>
              <w:rPr>
                <w:rFonts w:hint="default" w:ascii="Times New Roman" w:hAnsi="Times New Roman" w:cs="Times New Roman"/>
                <w:b/>
                <w:bCs/>
                <w:color w:val="auto"/>
                <w:sz w:val="21"/>
                <w:szCs w:val="21"/>
                <w:highlight w:val="none"/>
              </w:rPr>
            </w:pPr>
          </w:p>
        </w:tc>
      </w:tr>
      <w:tr w14:paraId="1BD3B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6" w:hRule="atLeast"/>
        </w:trPr>
        <w:tc>
          <w:tcPr>
            <w:tcW w:w="266" w:type="pct"/>
            <w:vAlign w:val="center"/>
          </w:tcPr>
          <w:p w14:paraId="6EE3D503">
            <w:pPr>
              <w:keepNext w:val="0"/>
              <w:keepLines w:val="0"/>
              <w:pageBreakBefore w:val="0"/>
              <w:widowControl w:val="0"/>
              <w:numPr>
                <w:ilvl w:val="1"/>
                <w:numId w:val="0"/>
              </w:numPr>
              <w:tabs>
                <w:tab w:val="left" w:pos="420"/>
              </w:tabs>
              <w:kinsoku/>
              <w:wordWrap/>
              <w:overflowPunct/>
              <w:topLinePunct w:val="0"/>
              <w:autoSpaceDE/>
              <w:autoSpaceDN/>
              <w:bidi w:val="0"/>
              <w:adjustRightInd w:val="0"/>
              <w:snapToGrid w:val="0"/>
              <w:spacing w:line="240" w:lineRule="auto"/>
              <w:textAlignment w:val="auto"/>
              <w:outlineLvl w:val="9"/>
              <w:rPr>
                <w:rFonts w:hint="default" w:ascii="Times New Roman" w:hAnsi="Times New Roman" w:cs="Times New Roman"/>
                <w:color w:val="auto"/>
                <w:highlight w:val="none"/>
              </w:rPr>
            </w:pPr>
            <w:bookmarkStart w:id="24" w:name="_Toc631"/>
            <w:bookmarkStart w:id="25" w:name="_Toc21908"/>
            <w:bookmarkStart w:id="26" w:name="_Toc8130"/>
            <w:bookmarkStart w:id="27" w:name="_Toc25856"/>
            <w:bookmarkStart w:id="28" w:name="_Toc24696"/>
            <w:bookmarkStart w:id="29" w:name="_Toc5613"/>
            <w:bookmarkStart w:id="30" w:name="_Toc11592"/>
            <w:bookmarkStart w:id="31" w:name="_Toc5833"/>
            <w:bookmarkStart w:id="32" w:name="_Toc13420"/>
            <w:bookmarkStart w:id="33" w:name="_Toc14546"/>
            <w:r>
              <w:rPr>
                <w:rFonts w:hint="default" w:ascii="Times New Roman" w:hAnsi="Times New Roman" w:cs="Times New Roman"/>
                <w:color w:val="auto"/>
                <w:highlight w:val="none"/>
              </w:rPr>
              <w:t>与项目有关的原有环境污染问题</w:t>
            </w:r>
            <w:bookmarkEnd w:id="24"/>
            <w:bookmarkEnd w:id="25"/>
            <w:bookmarkEnd w:id="26"/>
            <w:bookmarkEnd w:id="27"/>
            <w:bookmarkEnd w:id="28"/>
            <w:bookmarkEnd w:id="29"/>
            <w:bookmarkEnd w:id="30"/>
            <w:bookmarkEnd w:id="31"/>
            <w:bookmarkEnd w:id="32"/>
            <w:bookmarkEnd w:id="33"/>
          </w:p>
        </w:tc>
        <w:tc>
          <w:tcPr>
            <w:tcW w:w="4733" w:type="pct"/>
            <w:vAlign w:val="center"/>
          </w:tcPr>
          <w:p w14:paraId="01470B9C">
            <w:pPr>
              <w:adjustRightInd w:val="0"/>
              <w:snapToGrid w:val="0"/>
              <w:ind w:firstLine="480" w:firstLineChars="200"/>
              <w:jc w:val="left"/>
              <w:rPr>
                <w:color w:val="auto"/>
              </w:rPr>
            </w:pPr>
          </w:p>
          <w:p w14:paraId="7A34BC82">
            <w:pPr>
              <w:adjustRightInd w:val="0"/>
              <w:snapToGrid w:val="0"/>
              <w:ind w:firstLine="480" w:firstLineChars="200"/>
              <w:jc w:val="left"/>
              <w:rPr>
                <w:color w:val="auto"/>
                <w:sz w:val="24"/>
                <w:szCs w:val="21"/>
              </w:rPr>
            </w:pPr>
            <w:r>
              <w:rPr>
                <w:b/>
                <w:color w:val="auto"/>
                <w:sz w:val="24"/>
                <w:szCs w:val="21"/>
              </w:rPr>
              <w:t>1.</w:t>
            </w:r>
            <w:r>
              <w:rPr>
                <w:b/>
                <w:color w:val="auto"/>
                <w:sz w:val="24"/>
              </w:rPr>
              <w:t>与本项目有关的原有污染情况</w:t>
            </w:r>
          </w:p>
          <w:p w14:paraId="62248B0F">
            <w:pPr>
              <w:adjustRightInd w:val="0"/>
              <w:snapToGrid w:val="0"/>
              <w:spacing w:line="360" w:lineRule="auto"/>
              <w:ind w:firstLine="480" w:firstLineChars="200"/>
              <w:rPr>
                <w:color w:val="auto"/>
                <w:sz w:val="24"/>
                <w:szCs w:val="20"/>
              </w:rPr>
            </w:pPr>
            <w:r>
              <w:rPr>
                <w:color w:val="auto"/>
                <w:sz w:val="24"/>
                <w:szCs w:val="21"/>
              </w:rPr>
              <w:t>本项目属新建项目，无与本项目有关的原有污染情况。</w:t>
            </w:r>
          </w:p>
          <w:p w14:paraId="179CE656">
            <w:pPr>
              <w:adjustRightInd w:val="0"/>
              <w:snapToGrid w:val="0"/>
              <w:spacing w:line="360" w:lineRule="auto"/>
              <w:ind w:firstLine="480" w:firstLineChars="200"/>
              <w:rPr>
                <w:b/>
                <w:color w:val="auto"/>
                <w:sz w:val="24"/>
                <w:szCs w:val="21"/>
              </w:rPr>
            </w:pPr>
            <w:r>
              <w:rPr>
                <w:b/>
                <w:color w:val="auto"/>
                <w:sz w:val="24"/>
                <w:szCs w:val="21"/>
              </w:rPr>
              <w:t>2.园区现状污染源情况</w:t>
            </w:r>
          </w:p>
          <w:p w14:paraId="14B6B268">
            <w:pPr>
              <w:adjustRightInd w:val="0"/>
              <w:snapToGrid w:val="0"/>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截至202</w:t>
            </w:r>
            <w:r>
              <w:rPr>
                <w:rFonts w:hint="eastAsia" w:cs="Times New Roman"/>
                <w:color w:val="auto"/>
                <w:sz w:val="24"/>
                <w:szCs w:val="24"/>
                <w:lang w:val="en-US" w:eastAsia="zh-CN"/>
              </w:rPr>
              <w:t>6</w:t>
            </w:r>
            <w:r>
              <w:rPr>
                <w:rFonts w:ascii="Times New Roman" w:hAnsi="Times New Roman" w:cs="Times New Roman"/>
                <w:color w:val="auto"/>
                <w:sz w:val="24"/>
                <w:szCs w:val="24"/>
              </w:rPr>
              <w:t>年</w:t>
            </w:r>
            <w:r>
              <w:rPr>
                <w:rFonts w:hint="eastAsia" w:cs="Times New Roman"/>
                <w:color w:val="auto"/>
                <w:sz w:val="24"/>
                <w:szCs w:val="24"/>
                <w:lang w:val="en-US" w:eastAsia="zh-CN"/>
              </w:rPr>
              <w:t>5</w:t>
            </w:r>
            <w:r>
              <w:rPr>
                <w:rFonts w:ascii="Times New Roman" w:hAnsi="Times New Roman" w:cs="Times New Roman"/>
                <w:color w:val="auto"/>
                <w:sz w:val="24"/>
                <w:szCs w:val="24"/>
              </w:rPr>
              <w:t>月，</w:t>
            </w:r>
            <w:r>
              <w:rPr>
                <w:rFonts w:hint="eastAsia" w:ascii="Times New Roman" w:hAnsi="Times New Roman" w:cs="Times New Roman"/>
                <w:color w:val="auto"/>
                <w:sz w:val="24"/>
                <w:szCs w:val="24"/>
              </w:rPr>
              <w:t>乐昌产业转移工业园</w:t>
            </w:r>
            <w:r>
              <w:rPr>
                <w:rFonts w:ascii="Times New Roman" w:hAnsi="Times New Roman" w:cs="Times New Roman"/>
                <w:color w:val="auto"/>
                <w:sz w:val="24"/>
                <w:szCs w:val="24"/>
              </w:rPr>
              <w:t>范围内产业现状基本以工业产业为主，共涉及</w:t>
            </w:r>
            <w:r>
              <w:rPr>
                <w:rFonts w:hint="eastAsia" w:cs="Times New Roman"/>
                <w:color w:val="auto"/>
                <w:sz w:val="24"/>
                <w:szCs w:val="24"/>
                <w:lang w:val="en-US" w:eastAsia="zh-CN"/>
              </w:rPr>
              <w:t>11</w:t>
            </w:r>
            <w:r>
              <w:rPr>
                <w:rFonts w:hint="eastAsia" w:ascii="Times New Roman" w:hAnsi="Times New Roman" w:cs="Times New Roman"/>
                <w:color w:val="auto"/>
                <w:sz w:val="24"/>
                <w:szCs w:val="24"/>
              </w:rPr>
              <w:t>4</w:t>
            </w:r>
            <w:r>
              <w:rPr>
                <w:rFonts w:ascii="Times New Roman" w:hAnsi="Times New Roman" w:cs="Times New Roman"/>
                <w:color w:val="auto"/>
                <w:sz w:val="24"/>
                <w:szCs w:val="24"/>
              </w:rPr>
              <w:t>家企业，其中</w:t>
            </w:r>
            <w:r>
              <w:rPr>
                <w:rFonts w:hint="eastAsia" w:cs="Times New Roman"/>
                <w:color w:val="auto"/>
                <w:sz w:val="24"/>
                <w:szCs w:val="24"/>
                <w:lang w:val="en-US" w:eastAsia="zh-CN"/>
              </w:rPr>
              <w:t>6</w:t>
            </w:r>
            <w:r>
              <w:rPr>
                <w:rFonts w:ascii="Times New Roman" w:hAnsi="Times New Roman" w:cs="Times New Roman"/>
                <w:color w:val="auto"/>
                <w:sz w:val="24"/>
                <w:szCs w:val="24"/>
              </w:rPr>
              <w:t>家已经停产。本评价根据环评情况和建设生产情况，将企业分为已建、在建、停产三大类：已建企业为已经投产运行或正在试运行的企业；在建企业为已通过环评，正在建设的企业；停产企业为已经建成，但停产的企业。根据分类，已建企业</w:t>
            </w:r>
            <w:r>
              <w:rPr>
                <w:rFonts w:hint="eastAsia" w:cs="Times New Roman"/>
                <w:color w:val="auto"/>
                <w:sz w:val="24"/>
                <w:szCs w:val="24"/>
                <w:lang w:val="en-US" w:eastAsia="zh-CN"/>
              </w:rPr>
              <w:t>92</w:t>
            </w:r>
            <w:r>
              <w:rPr>
                <w:rFonts w:ascii="Times New Roman" w:hAnsi="Times New Roman" w:cs="Times New Roman"/>
                <w:color w:val="auto"/>
                <w:sz w:val="24"/>
                <w:szCs w:val="24"/>
              </w:rPr>
              <w:t>家，在建企业</w:t>
            </w:r>
            <w:r>
              <w:rPr>
                <w:rFonts w:hint="eastAsia" w:cs="Times New Roman"/>
                <w:color w:val="auto"/>
                <w:sz w:val="24"/>
                <w:szCs w:val="24"/>
                <w:lang w:val="en-US" w:eastAsia="zh-CN"/>
              </w:rPr>
              <w:t>16</w:t>
            </w:r>
            <w:r>
              <w:rPr>
                <w:rFonts w:ascii="Times New Roman" w:hAnsi="Times New Roman" w:cs="Times New Roman"/>
                <w:color w:val="auto"/>
                <w:sz w:val="24"/>
                <w:szCs w:val="24"/>
              </w:rPr>
              <w:t>家停产企业</w:t>
            </w:r>
            <w:r>
              <w:rPr>
                <w:rFonts w:hint="eastAsia" w:cs="Times New Roman"/>
                <w:color w:val="auto"/>
                <w:sz w:val="24"/>
                <w:szCs w:val="24"/>
                <w:lang w:val="en-US" w:eastAsia="zh-CN"/>
              </w:rPr>
              <w:t>6</w:t>
            </w:r>
            <w:r>
              <w:rPr>
                <w:rFonts w:ascii="Times New Roman" w:hAnsi="Times New Roman" w:cs="Times New Roman"/>
                <w:color w:val="auto"/>
                <w:sz w:val="24"/>
                <w:szCs w:val="24"/>
              </w:rPr>
              <w:t>家。</w:t>
            </w:r>
            <w:r>
              <w:rPr>
                <w:rFonts w:hint="eastAsia" w:ascii="Times New Roman" w:hAnsi="Times New Roman" w:cs="Times New Roman"/>
                <w:color w:val="auto"/>
                <w:sz w:val="24"/>
                <w:szCs w:val="24"/>
              </w:rPr>
              <w:t>产业园</w:t>
            </w:r>
            <w:r>
              <w:rPr>
                <w:rFonts w:ascii="Times New Roman" w:hAnsi="Times New Roman" w:cs="Times New Roman"/>
                <w:color w:val="auto"/>
                <w:sz w:val="24"/>
                <w:szCs w:val="24"/>
              </w:rPr>
              <w:t>内企业情况详见表</w:t>
            </w:r>
            <w:r>
              <w:rPr>
                <w:rFonts w:hint="eastAsia" w:ascii="Times New Roman" w:hAnsi="Times New Roman" w:cs="Times New Roman"/>
                <w:color w:val="auto"/>
                <w:sz w:val="24"/>
                <w:szCs w:val="24"/>
                <w:lang w:val="en-US" w:eastAsia="zh-CN"/>
              </w:rPr>
              <w:t>2-</w:t>
            </w:r>
            <w:r>
              <w:rPr>
                <w:rFonts w:hint="eastAsia" w:cs="Times New Roman"/>
                <w:color w:val="auto"/>
                <w:sz w:val="24"/>
                <w:szCs w:val="24"/>
                <w:lang w:val="en-US" w:eastAsia="zh-CN"/>
              </w:rPr>
              <w:t>9</w:t>
            </w:r>
            <w:r>
              <w:rPr>
                <w:rFonts w:ascii="Times New Roman" w:hAnsi="Times New Roman" w:cs="Times New Roman"/>
                <w:color w:val="auto"/>
                <w:sz w:val="24"/>
                <w:szCs w:val="24"/>
              </w:rPr>
              <w:t>。</w:t>
            </w:r>
          </w:p>
          <w:p w14:paraId="77F8E920">
            <w:pPr>
              <w:adjustRightInd w:val="0"/>
              <w:snapToGrid w:val="0"/>
              <w:ind w:firstLine="480" w:firstLineChars="200"/>
              <w:jc w:val="center"/>
              <w:rPr>
                <w:rFonts w:ascii="Times New Roman" w:hAnsi="Times New Roman" w:cs="Times New Roman"/>
                <w:color w:val="auto"/>
                <w:sz w:val="24"/>
                <w:szCs w:val="24"/>
              </w:rPr>
            </w:pPr>
            <w:r>
              <w:rPr>
                <w:b/>
                <w:color w:val="auto"/>
                <w:sz w:val="24"/>
              </w:rPr>
              <w:t>表</w:t>
            </w:r>
            <w:r>
              <w:rPr>
                <w:rFonts w:hint="eastAsia"/>
                <w:b/>
                <w:color w:val="auto"/>
                <w:sz w:val="24"/>
                <w:lang w:val="en-US" w:eastAsia="zh-CN"/>
              </w:rPr>
              <w:t>2-9</w:t>
            </w:r>
            <w:r>
              <w:rPr>
                <w:b/>
                <w:color w:val="auto"/>
                <w:sz w:val="24"/>
              </w:rPr>
              <w:t xml:space="preserve"> </w:t>
            </w:r>
            <w:r>
              <w:rPr>
                <w:rFonts w:hint="eastAsia"/>
                <w:b/>
                <w:color w:val="auto"/>
                <w:sz w:val="24"/>
              </w:rPr>
              <w:t>园区</w:t>
            </w:r>
            <w:r>
              <w:rPr>
                <w:b/>
                <w:color w:val="auto"/>
                <w:sz w:val="24"/>
              </w:rPr>
              <w:t>通过环评审批企业情况统计</w:t>
            </w:r>
          </w:p>
          <w:tbl>
            <w:tblPr>
              <w:tblStyle w:val="126"/>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1"/>
              <w:gridCol w:w="961"/>
              <w:gridCol w:w="600"/>
              <w:gridCol w:w="915"/>
              <w:gridCol w:w="1140"/>
              <w:gridCol w:w="2053"/>
              <w:gridCol w:w="1878"/>
            </w:tblGrid>
            <w:tr w14:paraId="7C3189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311" w:type="dxa"/>
                  <w:vAlign w:val="center"/>
                </w:tcPr>
                <w:p w14:paraId="09A2496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序号</w:t>
                  </w:r>
                </w:p>
              </w:tc>
              <w:tc>
                <w:tcPr>
                  <w:tcW w:w="961" w:type="dxa"/>
                  <w:vAlign w:val="center"/>
                </w:tcPr>
                <w:p w14:paraId="3D9F983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企业名称</w:t>
                  </w:r>
                </w:p>
              </w:tc>
              <w:tc>
                <w:tcPr>
                  <w:tcW w:w="600" w:type="dxa"/>
                  <w:vAlign w:val="center"/>
                </w:tcPr>
                <w:p w14:paraId="086B8FE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建设情况</w:t>
                  </w:r>
                </w:p>
              </w:tc>
              <w:tc>
                <w:tcPr>
                  <w:tcW w:w="915" w:type="dxa"/>
                  <w:vAlign w:val="center"/>
                </w:tcPr>
                <w:p w14:paraId="10FD243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产业类型</w:t>
                  </w:r>
                </w:p>
              </w:tc>
              <w:tc>
                <w:tcPr>
                  <w:tcW w:w="1140" w:type="dxa"/>
                  <w:vAlign w:val="center"/>
                </w:tcPr>
                <w:p w14:paraId="60232D90">
                  <w:pPr>
                    <w:keepNext w:val="0"/>
                    <w:keepLines w:val="0"/>
                    <w:pageBreakBefore w:val="0"/>
                    <w:widowControl/>
                    <w:kinsoku w:val="0"/>
                    <w:wordWrap/>
                    <w:overflowPunct/>
                    <w:topLinePunct w:val="0"/>
                    <w:autoSpaceDE w:val="0"/>
                    <w:autoSpaceDN w:val="0"/>
                    <w:bidi w:val="0"/>
                    <w:adjustRightInd w:val="0"/>
                    <w:snapToGrid w:val="0"/>
                    <w:spacing w:line="240" w:lineRule="auto"/>
                    <w:ind w:left="0" w:right="134" w:firstLine="133"/>
                    <w:jc w:val="center"/>
                    <w:textAlignment w:val="baseline"/>
                    <w:rPr>
                      <w:rFonts w:ascii="宋体" w:hAnsi="宋体" w:eastAsia="宋体" w:cs="宋体"/>
                      <w:color w:val="auto"/>
                      <w:sz w:val="21"/>
                      <w:szCs w:val="21"/>
                    </w:rPr>
                  </w:pPr>
                  <w:r>
                    <w:rPr>
                      <w:rFonts w:ascii="宋体" w:hAnsi="宋体" w:eastAsia="宋体" w:cs="宋体"/>
                      <w:color w:val="auto"/>
                      <w:spacing w:val="-11"/>
                      <w:sz w:val="21"/>
                      <w:szCs w:val="21"/>
                    </w:rPr>
                    <w:t>占地面积</w:t>
                  </w:r>
                  <w:r>
                    <w:rPr>
                      <w:rFonts w:ascii="宋体" w:hAnsi="宋体" w:eastAsia="宋体" w:cs="宋体"/>
                      <w:color w:val="auto"/>
                      <w:spacing w:val="-6"/>
                      <w:sz w:val="21"/>
                      <w:szCs w:val="21"/>
                    </w:rPr>
                    <w:t>（平方米）</w:t>
                  </w:r>
                </w:p>
              </w:tc>
              <w:tc>
                <w:tcPr>
                  <w:tcW w:w="2053" w:type="dxa"/>
                  <w:vAlign w:val="center"/>
                </w:tcPr>
                <w:p w14:paraId="214DF74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主要产品及规模</w:t>
                  </w:r>
                </w:p>
              </w:tc>
              <w:tc>
                <w:tcPr>
                  <w:tcW w:w="1878" w:type="dxa"/>
                  <w:vAlign w:val="center"/>
                </w:tcPr>
                <w:p w14:paraId="47AB977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环评批复</w:t>
                  </w:r>
                </w:p>
              </w:tc>
            </w:tr>
            <w:tr w14:paraId="54AE1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2FABCDC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z w:val="21"/>
                      <w:szCs w:val="21"/>
                    </w:rPr>
                    <w:t>1</w:t>
                  </w:r>
                </w:p>
              </w:tc>
              <w:tc>
                <w:tcPr>
                  <w:tcW w:w="961" w:type="dxa"/>
                  <w:vAlign w:val="center"/>
                </w:tcPr>
                <w:p w14:paraId="61F0DB5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乐昌市金丰机械有限公司</w:t>
                  </w:r>
                </w:p>
              </w:tc>
              <w:tc>
                <w:tcPr>
                  <w:tcW w:w="600" w:type="dxa"/>
                  <w:vAlign w:val="center"/>
                </w:tcPr>
                <w:p w14:paraId="50239D1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3B52BC3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hint="eastAsia" w:ascii="宋体" w:hAnsi="宋体" w:eastAsia="宋体" w:cs="宋体"/>
                      <w:color w:val="auto"/>
                      <w:spacing w:val="-1"/>
                      <w:sz w:val="21"/>
                      <w:szCs w:val="21"/>
                      <w:lang w:val="en-US" w:eastAsia="zh-CN"/>
                    </w:rPr>
                    <w:t>金属制造业、</w:t>
                  </w:r>
                  <w:r>
                    <w:rPr>
                      <w:rFonts w:ascii="宋体" w:hAnsi="宋体" w:eastAsia="宋体" w:cs="宋体"/>
                      <w:color w:val="auto"/>
                      <w:spacing w:val="-1"/>
                      <w:sz w:val="21"/>
                      <w:szCs w:val="21"/>
                    </w:rPr>
                    <w:t>通用</w:t>
                  </w:r>
                  <w:r>
                    <w:rPr>
                      <w:rFonts w:ascii="宋体" w:hAnsi="宋体" w:eastAsia="宋体" w:cs="宋体"/>
                      <w:color w:val="auto"/>
                      <w:spacing w:val="-2"/>
                      <w:sz w:val="21"/>
                      <w:szCs w:val="21"/>
                    </w:rPr>
                    <w:t>设备制造业</w:t>
                  </w:r>
                </w:p>
              </w:tc>
              <w:tc>
                <w:tcPr>
                  <w:tcW w:w="1140" w:type="dxa"/>
                  <w:vAlign w:val="center"/>
                </w:tcPr>
                <w:p w14:paraId="0D40AE7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38528.3</w:t>
                  </w:r>
                </w:p>
              </w:tc>
              <w:tc>
                <w:tcPr>
                  <w:tcW w:w="2053" w:type="dxa"/>
                  <w:vAlign w:val="center"/>
                </w:tcPr>
                <w:p w14:paraId="24F71AA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年产</w:t>
                  </w:r>
                  <w:r>
                    <w:rPr>
                      <w:rFonts w:ascii="宋体" w:hAnsi="宋体" w:eastAsia="宋体" w:cs="宋体"/>
                      <w:color w:val="auto"/>
                      <w:spacing w:val="-41"/>
                      <w:sz w:val="21"/>
                      <w:szCs w:val="21"/>
                    </w:rPr>
                    <w:t xml:space="preserve"> </w:t>
                  </w:r>
                  <w:r>
                    <w:rPr>
                      <w:color w:val="auto"/>
                      <w:spacing w:val="-3"/>
                      <w:sz w:val="21"/>
                      <w:szCs w:val="21"/>
                    </w:rPr>
                    <w:t>2.4</w:t>
                  </w:r>
                  <w:r>
                    <w:rPr>
                      <w:color w:val="auto"/>
                      <w:spacing w:val="14"/>
                      <w:sz w:val="21"/>
                      <w:szCs w:val="21"/>
                    </w:rPr>
                    <w:t xml:space="preserve"> </w:t>
                  </w:r>
                  <w:r>
                    <w:rPr>
                      <w:rFonts w:ascii="宋体" w:hAnsi="宋体" w:eastAsia="宋体" w:cs="宋体"/>
                      <w:color w:val="auto"/>
                      <w:spacing w:val="-3"/>
                      <w:sz w:val="21"/>
                      <w:szCs w:val="21"/>
                    </w:rPr>
                    <w:t>万吨金属铸件，年加工</w:t>
                  </w:r>
                  <w:r>
                    <w:rPr>
                      <w:rFonts w:ascii="宋体" w:hAnsi="宋体" w:eastAsia="宋体" w:cs="宋体"/>
                      <w:color w:val="auto"/>
                      <w:spacing w:val="-28"/>
                      <w:sz w:val="21"/>
                      <w:szCs w:val="21"/>
                    </w:rPr>
                    <w:t xml:space="preserve"> </w:t>
                  </w:r>
                  <w:r>
                    <w:rPr>
                      <w:color w:val="auto"/>
                      <w:spacing w:val="-3"/>
                      <w:sz w:val="21"/>
                      <w:szCs w:val="21"/>
                    </w:rPr>
                    <w:t>1800</w:t>
                  </w:r>
                  <w:r>
                    <w:rPr>
                      <w:color w:val="auto"/>
                      <w:spacing w:val="19"/>
                      <w:sz w:val="21"/>
                      <w:szCs w:val="21"/>
                    </w:rPr>
                    <w:t xml:space="preserve"> </w:t>
                  </w:r>
                  <w:r>
                    <w:rPr>
                      <w:rFonts w:ascii="宋体" w:hAnsi="宋体" w:eastAsia="宋体" w:cs="宋体"/>
                      <w:color w:val="auto"/>
                      <w:spacing w:val="-3"/>
                      <w:sz w:val="21"/>
                      <w:szCs w:val="21"/>
                    </w:rPr>
                    <w:t>吨机械零部件</w:t>
                  </w:r>
                </w:p>
              </w:tc>
              <w:tc>
                <w:tcPr>
                  <w:tcW w:w="1878" w:type="dxa"/>
                  <w:vAlign w:val="center"/>
                </w:tcPr>
                <w:p w14:paraId="70CBD98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2"/>
                      <w:sz w:val="21"/>
                      <w:szCs w:val="21"/>
                    </w:rPr>
                  </w:pPr>
                  <w:r>
                    <w:rPr>
                      <w:rFonts w:ascii="宋体" w:hAnsi="宋体" w:eastAsia="宋体" w:cs="宋体"/>
                      <w:color w:val="auto"/>
                      <w:spacing w:val="-2"/>
                      <w:sz w:val="21"/>
                      <w:szCs w:val="21"/>
                    </w:rPr>
                    <w:t>乐环审</w:t>
                  </w:r>
                  <w:r>
                    <w:rPr>
                      <w:color w:val="auto"/>
                      <w:spacing w:val="-2"/>
                      <w:sz w:val="21"/>
                      <w:szCs w:val="21"/>
                    </w:rPr>
                    <w:t>[</w:t>
                  </w:r>
                  <w:r>
                    <w:rPr>
                      <w:color w:val="auto"/>
                      <w:sz w:val="21"/>
                      <w:szCs w:val="21"/>
                    </w:rPr>
                    <w:fldChar w:fldCharType="begin"/>
                  </w:r>
                  <w:r>
                    <w:rPr>
                      <w:color w:val="auto"/>
                      <w:sz w:val="21"/>
                      <w:szCs w:val="21"/>
                    </w:rPr>
                    <w:instrText xml:space="preserve"> HYPERLINK \l "bookmark202" </w:instrText>
                  </w:r>
                  <w:r>
                    <w:rPr>
                      <w:color w:val="auto"/>
                      <w:sz w:val="21"/>
                      <w:szCs w:val="21"/>
                    </w:rPr>
                    <w:fldChar w:fldCharType="separate"/>
                  </w:r>
                  <w:r>
                    <w:rPr>
                      <w:color w:val="auto"/>
                      <w:spacing w:val="-2"/>
                      <w:sz w:val="21"/>
                      <w:szCs w:val="21"/>
                    </w:rPr>
                    <w:t>2018</w:t>
                  </w:r>
                  <w:r>
                    <w:rPr>
                      <w:color w:val="auto"/>
                      <w:spacing w:val="-2"/>
                      <w:sz w:val="21"/>
                      <w:szCs w:val="21"/>
                    </w:rPr>
                    <w:fldChar w:fldCharType="end"/>
                  </w:r>
                  <w:r>
                    <w:rPr>
                      <w:color w:val="auto"/>
                      <w:spacing w:val="-2"/>
                      <w:sz w:val="21"/>
                      <w:szCs w:val="21"/>
                    </w:rPr>
                    <w:t>]</w:t>
                  </w:r>
                </w:p>
                <w:p w14:paraId="18B17D7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color w:val="auto"/>
                      <w:spacing w:val="-2"/>
                      <w:sz w:val="21"/>
                      <w:szCs w:val="21"/>
                    </w:rPr>
                    <w:t>33</w:t>
                  </w:r>
                  <w:r>
                    <w:rPr>
                      <w:color w:val="auto"/>
                      <w:spacing w:val="20"/>
                      <w:sz w:val="21"/>
                      <w:szCs w:val="21"/>
                    </w:rPr>
                    <w:t xml:space="preserve"> </w:t>
                  </w:r>
                  <w:r>
                    <w:rPr>
                      <w:rFonts w:ascii="宋体" w:hAnsi="宋体" w:eastAsia="宋体" w:cs="宋体"/>
                      <w:color w:val="auto"/>
                      <w:spacing w:val="-2"/>
                      <w:sz w:val="21"/>
                      <w:szCs w:val="21"/>
                    </w:rPr>
                    <w:t>号、韶环乐审</w:t>
                  </w:r>
                  <w:r>
                    <w:rPr>
                      <w:rFonts w:ascii="宋体" w:hAnsi="宋体" w:eastAsia="宋体" w:cs="宋体"/>
                      <w:color w:val="auto"/>
                      <w:spacing w:val="-4"/>
                      <w:sz w:val="21"/>
                      <w:szCs w:val="21"/>
                    </w:rPr>
                    <w:t>〔</w:t>
                  </w:r>
                  <w:r>
                    <w:rPr>
                      <w:color w:val="auto"/>
                      <w:spacing w:val="-4"/>
                      <w:sz w:val="21"/>
                      <w:szCs w:val="21"/>
                    </w:rPr>
                    <w:t>2022</w:t>
                  </w:r>
                  <w:r>
                    <w:rPr>
                      <w:rFonts w:ascii="宋体" w:hAnsi="宋体" w:eastAsia="宋体" w:cs="宋体"/>
                      <w:color w:val="auto"/>
                      <w:spacing w:val="-4"/>
                      <w:sz w:val="21"/>
                      <w:szCs w:val="21"/>
                    </w:rPr>
                    <w:t>〕</w:t>
                  </w:r>
                  <w:r>
                    <w:rPr>
                      <w:color w:val="auto"/>
                      <w:spacing w:val="-4"/>
                      <w:sz w:val="21"/>
                      <w:szCs w:val="21"/>
                    </w:rPr>
                    <w:t>01</w:t>
                  </w:r>
                  <w:r>
                    <w:rPr>
                      <w:color w:val="auto"/>
                      <w:spacing w:val="17"/>
                      <w:sz w:val="21"/>
                      <w:szCs w:val="21"/>
                    </w:rPr>
                    <w:t xml:space="preserve"> </w:t>
                  </w:r>
                  <w:r>
                    <w:rPr>
                      <w:rFonts w:ascii="宋体" w:hAnsi="宋体" w:eastAsia="宋体" w:cs="宋体"/>
                      <w:color w:val="auto"/>
                      <w:spacing w:val="-4"/>
                      <w:sz w:val="21"/>
                      <w:szCs w:val="21"/>
                    </w:rPr>
                    <w:t>号</w:t>
                  </w:r>
                </w:p>
              </w:tc>
            </w:tr>
            <w:tr w14:paraId="7888C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0FDB454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z w:val="21"/>
                      <w:szCs w:val="21"/>
                    </w:rPr>
                    <w:t>2</w:t>
                  </w:r>
                </w:p>
              </w:tc>
              <w:tc>
                <w:tcPr>
                  <w:tcW w:w="961" w:type="dxa"/>
                  <w:vAlign w:val="center"/>
                </w:tcPr>
                <w:p w14:paraId="2BECC6B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乐昌市捷凯家具有限公司</w:t>
                  </w:r>
                </w:p>
              </w:tc>
              <w:tc>
                <w:tcPr>
                  <w:tcW w:w="600" w:type="dxa"/>
                  <w:vAlign w:val="center"/>
                </w:tcPr>
                <w:p w14:paraId="1E4F66D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55E30C0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5A853C5B">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4"/>
                      <w:sz w:val="21"/>
                      <w:szCs w:val="21"/>
                    </w:rPr>
                    <w:t>19980</w:t>
                  </w:r>
                </w:p>
              </w:tc>
              <w:tc>
                <w:tcPr>
                  <w:tcW w:w="2053" w:type="dxa"/>
                  <w:vAlign w:val="center"/>
                </w:tcPr>
                <w:p w14:paraId="1A16D08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年产家具铸铁件</w:t>
                  </w:r>
                  <w:r>
                    <w:rPr>
                      <w:rFonts w:ascii="宋体" w:hAnsi="宋体" w:eastAsia="宋体" w:cs="宋体"/>
                      <w:color w:val="auto"/>
                      <w:spacing w:val="-28"/>
                      <w:sz w:val="21"/>
                      <w:szCs w:val="21"/>
                    </w:rPr>
                    <w:t xml:space="preserve"> </w:t>
                  </w:r>
                  <w:r>
                    <w:rPr>
                      <w:color w:val="auto"/>
                      <w:spacing w:val="-2"/>
                      <w:sz w:val="21"/>
                      <w:szCs w:val="21"/>
                    </w:rPr>
                    <w:t xml:space="preserve">1.2 </w:t>
                  </w:r>
                  <w:r>
                    <w:rPr>
                      <w:rFonts w:ascii="宋体" w:hAnsi="宋体" w:eastAsia="宋体" w:cs="宋体"/>
                      <w:color w:val="auto"/>
                      <w:spacing w:val="-2"/>
                      <w:sz w:val="21"/>
                      <w:szCs w:val="21"/>
                    </w:rPr>
                    <w:t>万件</w:t>
                  </w:r>
                </w:p>
              </w:tc>
              <w:tc>
                <w:tcPr>
                  <w:tcW w:w="1878" w:type="dxa"/>
                  <w:vAlign w:val="center"/>
                </w:tcPr>
                <w:p w14:paraId="390448B8">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乐环审</w:t>
                  </w:r>
                  <w:r>
                    <w:rPr>
                      <w:color w:val="auto"/>
                      <w:spacing w:val="-2"/>
                      <w:sz w:val="21"/>
                      <w:szCs w:val="21"/>
                    </w:rPr>
                    <w:t>[</w:t>
                  </w:r>
                  <w:r>
                    <w:rPr>
                      <w:color w:val="auto"/>
                      <w:sz w:val="21"/>
                      <w:szCs w:val="21"/>
                    </w:rPr>
                    <w:fldChar w:fldCharType="begin"/>
                  </w:r>
                  <w:r>
                    <w:rPr>
                      <w:color w:val="auto"/>
                      <w:sz w:val="21"/>
                      <w:szCs w:val="21"/>
                    </w:rPr>
                    <w:instrText xml:space="preserve"> HYPERLINK \l "bookmark203" </w:instrText>
                  </w:r>
                  <w:r>
                    <w:rPr>
                      <w:color w:val="auto"/>
                      <w:sz w:val="21"/>
                      <w:szCs w:val="21"/>
                    </w:rPr>
                    <w:fldChar w:fldCharType="separate"/>
                  </w:r>
                  <w:r>
                    <w:rPr>
                      <w:color w:val="auto"/>
                      <w:spacing w:val="-2"/>
                      <w:sz w:val="21"/>
                      <w:szCs w:val="21"/>
                    </w:rPr>
                    <w:t>2017</w:t>
                  </w:r>
                  <w:r>
                    <w:rPr>
                      <w:color w:val="auto"/>
                      <w:spacing w:val="-2"/>
                      <w:sz w:val="21"/>
                      <w:szCs w:val="21"/>
                    </w:rPr>
                    <w:fldChar w:fldCharType="end"/>
                  </w:r>
                  <w:r>
                    <w:rPr>
                      <w:color w:val="auto"/>
                      <w:spacing w:val="-2"/>
                      <w:sz w:val="21"/>
                      <w:szCs w:val="21"/>
                    </w:rPr>
                    <w:t>]38</w:t>
                  </w:r>
                  <w:r>
                    <w:rPr>
                      <w:color w:val="auto"/>
                      <w:spacing w:val="24"/>
                      <w:sz w:val="21"/>
                      <w:szCs w:val="21"/>
                    </w:rPr>
                    <w:t xml:space="preserve"> </w:t>
                  </w:r>
                  <w:r>
                    <w:rPr>
                      <w:rFonts w:ascii="宋体" w:hAnsi="宋体" w:eastAsia="宋体" w:cs="宋体"/>
                      <w:color w:val="auto"/>
                      <w:spacing w:val="-2"/>
                      <w:sz w:val="21"/>
                      <w:szCs w:val="21"/>
                    </w:rPr>
                    <w:t>号</w:t>
                  </w:r>
                </w:p>
              </w:tc>
            </w:tr>
            <w:tr w14:paraId="7FE38C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5AD154E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z w:val="21"/>
                      <w:szCs w:val="21"/>
                    </w:rPr>
                    <w:t>3</w:t>
                  </w:r>
                </w:p>
              </w:tc>
              <w:tc>
                <w:tcPr>
                  <w:tcW w:w="961" w:type="dxa"/>
                  <w:vAlign w:val="center"/>
                </w:tcPr>
                <w:p w14:paraId="139EA9C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乐昌市瑞创精工制造有限公</w:t>
                  </w:r>
                </w:p>
                <w:p w14:paraId="15DAEE7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司</w:t>
                  </w:r>
                </w:p>
              </w:tc>
              <w:tc>
                <w:tcPr>
                  <w:tcW w:w="600" w:type="dxa"/>
                  <w:vAlign w:val="center"/>
                </w:tcPr>
                <w:p w14:paraId="22B3E1D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5802394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1D02FD0C">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4"/>
                      <w:sz w:val="21"/>
                      <w:szCs w:val="21"/>
                    </w:rPr>
                    <w:t>19600</w:t>
                  </w:r>
                </w:p>
              </w:tc>
              <w:tc>
                <w:tcPr>
                  <w:tcW w:w="2053" w:type="dxa"/>
                  <w:vAlign w:val="center"/>
                </w:tcPr>
                <w:p w14:paraId="489E6BB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113" w:hanging="356"/>
                    <w:jc w:val="center"/>
                    <w:textAlignment w:val="baseline"/>
                    <w:rPr>
                      <w:rFonts w:ascii="宋体" w:hAnsi="宋体" w:eastAsia="宋体" w:cs="宋体"/>
                      <w:color w:val="auto"/>
                      <w:sz w:val="21"/>
                      <w:szCs w:val="21"/>
                    </w:rPr>
                  </w:pPr>
                  <w:r>
                    <w:rPr>
                      <w:rFonts w:ascii="宋体" w:hAnsi="宋体" w:eastAsia="宋体" w:cs="宋体"/>
                      <w:color w:val="auto"/>
                      <w:sz w:val="21"/>
                      <w:szCs w:val="21"/>
                    </w:rPr>
                    <w:t>年产铸铁电饭煲内胆</w:t>
                  </w:r>
                  <w:r>
                    <w:rPr>
                      <w:rFonts w:ascii="宋体" w:hAnsi="宋体" w:eastAsia="宋体" w:cs="宋体"/>
                      <w:color w:val="auto"/>
                      <w:spacing w:val="-21"/>
                      <w:sz w:val="21"/>
                      <w:szCs w:val="21"/>
                    </w:rPr>
                    <w:t xml:space="preserve"> </w:t>
                  </w:r>
                  <w:r>
                    <w:rPr>
                      <w:color w:val="auto"/>
                      <w:sz w:val="21"/>
                      <w:szCs w:val="21"/>
                    </w:rPr>
                    <w:t xml:space="preserve">10 </w:t>
                  </w:r>
                  <w:r>
                    <w:rPr>
                      <w:rFonts w:ascii="宋体" w:hAnsi="宋体" w:eastAsia="宋体" w:cs="宋体"/>
                      <w:color w:val="auto"/>
                      <w:sz w:val="21"/>
                      <w:szCs w:val="21"/>
                    </w:rPr>
                    <w:t>万件、水泵铸件</w:t>
                  </w:r>
                  <w:r>
                    <w:rPr>
                      <w:color w:val="auto"/>
                      <w:sz w:val="21"/>
                      <w:szCs w:val="21"/>
                    </w:rPr>
                    <w:t>20</w:t>
                  </w:r>
                  <w:r>
                    <w:rPr>
                      <w:color w:val="auto"/>
                      <w:spacing w:val="13"/>
                      <w:w w:val="101"/>
                      <w:sz w:val="21"/>
                      <w:szCs w:val="21"/>
                    </w:rPr>
                    <w:t xml:space="preserve"> </w:t>
                  </w:r>
                  <w:r>
                    <w:rPr>
                      <w:rFonts w:ascii="宋体" w:hAnsi="宋体" w:eastAsia="宋体" w:cs="宋体"/>
                      <w:color w:val="auto"/>
                      <w:sz w:val="21"/>
                      <w:szCs w:val="21"/>
                    </w:rPr>
                    <w:t>万件、铸铁烤网</w:t>
                  </w:r>
                  <w:r>
                    <w:rPr>
                      <w:color w:val="auto"/>
                      <w:spacing w:val="-4"/>
                      <w:sz w:val="21"/>
                      <w:szCs w:val="21"/>
                    </w:rPr>
                    <w:t>100</w:t>
                  </w:r>
                  <w:r>
                    <w:rPr>
                      <w:color w:val="auto"/>
                      <w:spacing w:val="31"/>
                      <w:w w:val="101"/>
                      <w:sz w:val="21"/>
                      <w:szCs w:val="21"/>
                    </w:rPr>
                    <w:t xml:space="preserve"> </w:t>
                  </w:r>
                  <w:r>
                    <w:rPr>
                      <w:rFonts w:ascii="宋体" w:hAnsi="宋体" w:eastAsia="宋体" w:cs="宋体"/>
                      <w:color w:val="auto"/>
                      <w:spacing w:val="-4"/>
                      <w:sz w:val="21"/>
                      <w:szCs w:val="21"/>
                    </w:rPr>
                    <w:t>万件、铸铁发热板</w:t>
                  </w:r>
                  <w:r>
                    <w:rPr>
                      <w:rFonts w:ascii="宋体" w:hAnsi="宋体" w:eastAsia="宋体" w:cs="宋体"/>
                      <w:color w:val="auto"/>
                      <w:spacing w:val="-48"/>
                      <w:sz w:val="21"/>
                      <w:szCs w:val="21"/>
                    </w:rPr>
                    <w:t xml:space="preserve"> </w:t>
                  </w:r>
                  <w:r>
                    <w:rPr>
                      <w:color w:val="auto"/>
                      <w:spacing w:val="-4"/>
                      <w:sz w:val="21"/>
                      <w:szCs w:val="21"/>
                    </w:rPr>
                    <w:t>220</w:t>
                  </w:r>
                  <w:r>
                    <w:rPr>
                      <w:color w:val="auto"/>
                      <w:spacing w:val="14"/>
                      <w:sz w:val="21"/>
                      <w:szCs w:val="21"/>
                    </w:rPr>
                    <w:t xml:space="preserve"> </w:t>
                  </w:r>
                  <w:r>
                    <w:rPr>
                      <w:rFonts w:ascii="宋体" w:hAnsi="宋体" w:eastAsia="宋体" w:cs="宋体"/>
                      <w:color w:val="auto"/>
                      <w:spacing w:val="-4"/>
                      <w:sz w:val="21"/>
                      <w:szCs w:val="21"/>
                    </w:rPr>
                    <w:t>万件、搪瓷炉架</w:t>
                  </w:r>
                  <w:r>
                    <w:rPr>
                      <w:rFonts w:ascii="宋体" w:hAnsi="宋体" w:eastAsia="宋体" w:cs="宋体"/>
                      <w:color w:val="auto"/>
                      <w:spacing w:val="-28"/>
                      <w:sz w:val="21"/>
                      <w:szCs w:val="21"/>
                    </w:rPr>
                    <w:t xml:space="preserve"> </w:t>
                  </w:r>
                  <w:r>
                    <w:rPr>
                      <w:color w:val="auto"/>
                      <w:spacing w:val="-4"/>
                      <w:sz w:val="21"/>
                      <w:szCs w:val="21"/>
                    </w:rPr>
                    <w:t>100</w:t>
                  </w:r>
                  <w:r>
                    <w:rPr>
                      <w:color w:val="auto"/>
                      <w:spacing w:val="14"/>
                      <w:sz w:val="21"/>
                      <w:szCs w:val="21"/>
                    </w:rPr>
                    <w:t xml:space="preserve"> </w:t>
                  </w:r>
                  <w:r>
                    <w:rPr>
                      <w:rFonts w:ascii="宋体" w:hAnsi="宋体" w:eastAsia="宋体" w:cs="宋体"/>
                      <w:color w:val="auto"/>
                      <w:spacing w:val="-4"/>
                      <w:sz w:val="21"/>
                      <w:szCs w:val="21"/>
                    </w:rPr>
                    <w:t>万件</w:t>
                  </w:r>
                </w:p>
              </w:tc>
              <w:tc>
                <w:tcPr>
                  <w:tcW w:w="1878" w:type="dxa"/>
                  <w:vAlign w:val="center"/>
                </w:tcPr>
                <w:p w14:paraId="67FFE11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乐环审</w:t>
                  </w:r>
                  <w:r>
                    <w:rPr>
                      <w:color w:val="auto"/>
                      <w:spacing w:val="-2"/>
                      <w:sz w:val="21"/>
                      <w:szCs w:val="21"/>
                    </w:rPr>
                    <w:t>[</w:t>
                  </w:r>
                  <w:r>
                    <w:rPr>
                      <w:color w:val="auto"/>
                      <w:sz w:val="21"/>
                      <w:szCs w:val="21"/>
                    </w:rPr>
                    <w:fldChar w:fldCharType="begin"/>
                  </w:r>
                  <w:r>
                    <w:rPr>
                      <w:color w:val="auto"/>
                      <w:sz w:val="21"/>
                      <w:szCs w:val="21"/>
                    </w:rPr>
                    <w:instrText xml:space="preserve"> HYPERLINK \l "bookmark204" </w:instrText>
                  </w:r>
                  <w:r>
                    <w:rPr>
                      <w:color w:val="auto"/>
                      <w:sz w:val="21"/>
                      <w:szCs w:val="21"/>
                    </w:rPr>
                    <w:fldChar w:fldCharType="separate"/>
                  </w:r>
                  <w:r>
                    <w:rPr>
                      <w:color w:val="auto"/>
                      <w:spacing w:val="-2"/>
                      <w:sz w:val="21"/>
                      <w:szCs w:val="21"/>
                    </w:rPr>
                    <w:t>2017</w:t>
                  </w:r>
                  <w:r>
                    <w:rPr>
                      <w:color w:val="auto"/>
                      <w:spacing w:val="-2"/>
                      <w:sz w:val="21"/>
                      <w:szCs w:val="21"/>
                    </w:rPr>
                    <w:fldChar w:fldCharType="end"/>
                  </w:r>
                  <w:r>
                    <w:rPr>
                      <w:color w:val="auto"/>
                      <w:spacing w:val="-2"/>
                      <w:sz w:val="21"/>
                      <w:szCs w:val="21"/>
                    </w:rPr>
                    <w:t>]48</w:t>
                  </w:r>
                  <w:r>
                    <w:rPr>
                      <w:color w:val="auto"/>
                      <w:spacing w:val="24"/>
                      <w:sz w:val="21"/>
                      <w:szCs w:val="21"/>
                    </w:rPr>
                    <w:t xml:space="preserve"> </w:t>
                  </w:r>
                  <w:r>
                    <w:rPr>
                      <w:rFonts w:ascii="宋体" w:hAnsi="宋体" w:eastAsia="宋体" w:cs="宋体"/>
                      <w:color w:val="auto"/>
                      <w:spacing w:val="-2"/>
                      <w:sz w:val="21"/>
                      <w:szCs w:val="21"/>
                    </w:rPr>
                    <w:t>号</w:t>
                  </w:r>
                </w:p>
              </w:tc>
            </w:tr>
            <w:tr w14:paraId="77C33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311" w:type="dxa"/>
                  <w:vAlign w:val="center"/>
                </w:tcPr>
                <w:p w14:paraId="413D3752">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z w:val="21"/>
                      <w:szCs w:val="21"/>
                    </w:rPr>
                    <w:t>4</w:t>
                  </w:r>
                </w:p>
              </w:tc>
              <w:tc>
                <w:tcPr>
                  <w:tcW w:w="961" w:type="dxa"/>
                  <w:vAlign w:val="center"/>
                </w:tcPr>
                <w:p w14:paraId="37E36C5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乐昌市瑛龙高精铸造有限公</w:t>
                  </w:r>
                </w:p>
                <w:p w14:paraId="6057A31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司</w:t>
                  </w:r>
                </w:p>
              </w:tc>
              <w:tc>
                <w:tcPr>
                  <w:tcW w:w="600" w:type="dxa"/>
                  <w:vAlign w:val="center"/>
                </w:tcPr>
                <w:p w14:paraId="1246A88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366AF28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58E9053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3"/>
                      <w:sz w:val="21"/>
                      <w:szCs w:val="21"/>
                    </w:rPr>
                    <w:t>10702.96</w:t>
                  </w:r>
                </w:p>
              </w:tc>
              <w:tc>
                <w:tcPr>
                  <w:tcW w:w="2053" w:type="dxa"/>
                  <w:vAlign w:val="center"/>
                </w:tcPr>
                <w:p w14:paraId="49CE8D6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年产机械设备类的机械设备</w:t>
                  </w:r>
                  <w:r>
                    <w:rPr>
                      <w:rFonts w:ascii="宋体" w:hAnsi="宋体" w:eastAsia="宋体" w:cs="宋体"/>
                      <w:color w:val="auto"/>
                      <w:spacing w:val="-17"/>
                      <w:sz w:val="21"/>
                      <w:szCs w:val="21"/>
                    </w:rPr>
                    <w:t xml:space="preserve"> </w:t>
                  </w:r>
                  <w:r>
                    <w:rPr>
                      <w:color w:val="auto"/>
                      <w:spacing w:val="-2"/>
                      <w:sz w:val="21"/>
                      <w:szCs w:val="21"/>
                    </w:rPr>
                    <w:t xml:space="preserve">1.1 </w:t>
                  </w:r>
                  <w:r>
                    <w:rPr>
                      <w:rFonts w:ascii="宋体" w:hAnsi="宋体" w:eastAsia="宋体" w:cs="宋体"/>
                      <w:color w:val="auto"/>
                      <w:spacing w:val="-2"/>
                      <w:sz w:val="21"/>
                      <w:szCs w:val="21"/>
                    </w:rPr>
                    <w:t>万吨</w:t>
                  </w:r>
                </w:p>
              </w:tc>
              <w:tc>
                <w:tcPr>
                  <w:tcW w:w="1878" w:type="dxa"/>
                  <w:vAlign w:val="center"/>
                </w:tcPr>
                <w:p w14:paraId="3748BA48">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乐环审</w:t>
                  </w:r>
                  <w:r>
                    <w:rPr>
                      <w:color w:val="auto"/>
                      <w:spacing w:val="-2"/>
                      <w:sz w:val="21"/>
                      <w:szCs w:val="21"/>
                    </w:rPr>
                    <w:t>[</w:t>
                  </w:r>
                  <w:r>
                    <w:rPr>
                      <w:color w:val="auto"/>
                      <w:sz w:val="21"/>
                      <w:szCs w:val="21"/>
                    </w:rPr>
                    <w:fldChar w:fldCharType="begin"/>
                  </w:r>
                  <w:r>
                    <w:rPr>
                      <w:color w:val="auto"/>
                      <w:sz w:val="21"/>
                      <w:szCs w:val="21"/>
                    </w:rPr>
                    <w:instrText xml:space="preserve"> HYPERLINK \l "bookmark205" </w:instrText>
                  </w:r>
                  <w:r>
                    <w:rPr>
                      <w:color w:val="auto"/>
                      <w:sz w:val="21"/>
                      <w:szCs w:val="21"/>
                    </w:rPr>
                    <w:fldChar w:fldCharType="separate"/>
                  </w:r>
                  <w:r>
                    <w:rPr>
                      <w:color w:val="auto"/>
                      <w:spacing w:val="-2"/>
                      <w:sz w:val="21"/>
                      <w:szCs w:val="21"/>
                    </w:rPr>
                    <w:t>2017</w:t>
                  </w:r>
                  <w:r>
                    <w:rPr>
                      <w:color w:val="auto"/>
                      <w:spacing w:val="-2"/>
                      <w:sz w:val="21"/>
                      <w:szCs w:val="21"/>
                    </w:rPr>
                    <w:fldChar w:fldCharType="end"/>
                  </w:r>
                  <w:r>
                    <w:rPr>
                      <w:color w:val="auto"/>
                      <w:spacing w:val="-2"/>
                      <w:sz w:val="21"/>
                      <w:szCs w:val="21"/>
                    </w:rPr>
                    <w:t>]40</w:t>
                  </w:r>
                  <w:r>
                    <w:rPr>
                      <w:color w:val="auto"/>
                      <w:spacing w:val="24"/>
                      <w:sz w:val="21"/>
                      <w:szCs w:val="21"/>
                    </w:rPr>
                    <w:t xml:space="preserve"> </w:t>
                  </w:r>
                  <w:r>
                    <w:rPr>
                      <w:rFonts w:ascii="宋体" w:hAnsi="宋体" w:eastAsia="宋体" w:cs="宋体"/>
                      <w:color w:val="auto"/>
                      <w:spacing w:val="-2"/>
                      <w:sz w:val="21"/>
                      <w:szCs w:val="21"/>
                    </w:rPr>
                    <w:t>号</w:t>
                  </w:r>
                </w:p>
              </w:tc>
            </w:tr>
            <w:tr w14:paraId="76D53E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311" w:type="dxa"/>
                  <w:vAlign w:val="center"/>
                </w:tcPr>
                <w:p w14:paraId="7F4FB52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z w:val="21"/>
                      <w:szCs w:val="21"/>
                    </w:rPr>
                    <w:t>5</w:t>
                  </w:r>
                </w:p>
              </w:tc>
              <w:tc>
                <w:tcPr>
                  <w:tcW w:w="961" w:type="dxa"/>
                  <w:vAlign w:val="center"/>
                </w:tcPr>
                <w:p w14:paraId="02849AD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乐昌市湘源金属制品有限公</w:t>
                  </w:r>
                </w:p>
                <w:p w14:paraId="7D03E54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司</w:t>
                  </w:r>
                </w:p>
              </w:tc>
              <w:tc>
                <w:tcPr>
                  <w:tcW w:w="600" w:type="dxa"/>
                  <w:vAlign w:val="center"/>
                </w:tcPr>
                <w:p w14:paraId="08AAF9F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2DD0B25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2C3A08C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4"/>
                      <w:sz w:val="21"/>
                      <w:szCs w:val="21"/>
                    </w:rPr>
                    <w:t>13339.8</w:t>
                  </w:r>
                </w:p>
              </w:tc>
              <w:tc>
                <w:tcPr>
                  <w:tcW w:w="2053" w:type="dxa"/>
                  <w:vAlign w:val="center"/>
                </w:tcPr>
                <w:p w14:paraId="7B92648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年产铸件</w:t>
                  </w:r>
                  <w:r>
                    <w:rPr>
                      <w:rFonts w:ascii="宋体" w:hAnsi="宋体" w:eastAsia="宋体" w:cs="宋体"/>
                      <w:color w:val="auto"/>
                      <w:spacing w:val="-29"/>
                      <w:sz w:val="21"/>
                      <w:szCs w:val="21"/>
                    </w:rPr>
                    <w:t xml:space="preserve"> </w:t>
                  </w:r>
                  <w:r>
                    <w:rPr>
                      <w:color w:val="auto"/>
                      <w:spacing w:val="-4"/>
                      <w:sz w:val="21"/>
                      <w:szCs w:val="21"/>
                    </w:rPr>
                    <w:t>11500</w:t>
                  </w:r>
                  <w:r>
                    <w:rPr>
                      <w:color w:val="auto"/>
                      <w:spacing w:val="18"/>
                      <w:w w:val="101"/>
                      <w:sz w:val="21"/>
                      <w:szCs w:val="21"/>
                    </w:rPr>
                    <w:t xml:space="preserve"> </w:t>
                  </w:r>
                  <w:r>
                    <w:rPr>
                      <w:rFonts w:ascii="宋体" w:hAnsi="宋体" w:eastAsia="宋体" w:cs="宋体"/>
                      <w:color w:val="auto"/>
                      <w:spacing w:val="-4"/>
                      <w:sz w:val="21"/>
                      <w:szCs w:val="21"/>
                    </w:rPr>
                    <w:t>吨</w:t>
                  </w:r>
                </w:p>
              </w:tc>
              <w:tc>
                <w:tcPr>
                  <w:tcW w:w="1878" w:type="dxa"/>
                  <w:vAlign w:val="center"/>
                </w:tcPr>
                <w:p w14:paraId="320461E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乐环审</w:t>
                  </w:r>
                  <w:r>
                    <w:rPr>
                      <w:color w:val="auto"/>
                      <w:spacing w:val="-2"/>
                      <w:sz w:val="21"/>
                      <w:szCs w:val="21"/>
                    </w:rPr>
                    <w:t>[</w:t>
                  </w:r>
                  <w:r>
                    <w:rPr>
                      <w:color w:val="auto"/>
                      <w:sz w:val="21"/>
                      <w:szCs w:val="21"/>
                    </w:rPr>
                    <w:fldChar w:fldCharType="begin"/>
                  </w:r>
                  <w:r>
                    <w:rPr>
                      <w:color w:val="auto"/>
                      <w:sz w:val="21"/>
                      <w:szCs w:val="21"/>
                    </w:rPr>
                    <w:instrText xml:space="preserve"> HYPERLINK \l "bookmark206" </w:instrText>
                  </w:r>
                  <w:r>
                    <w:rPr>
                      <w:color w:val="auto"/>
                      <w:sz w:val="21"/>
                      <w:szCs w:val="21"/>
                    </w:rPr>
                    <w:fldChar w:fldCharType="separate"/>
                  </w:r>
                  <w:r>
                    <w:rPr>
                      <w:color w:val="auto"/>
                      <w:spacing w:val="-2"/>
                      <w:sz w:val="21"/>
                      <w:szCs w:val="21"/>
                    </w:rPr>
                    <w:t>2017</w:t>
                  </w:r>
                  <w:r>
                    <w:rPr>
                      <w:color w:val="auto"/>
                      <w:spacing w:val="-2"/>
                      <w:sz w:val="21"/>
                      <w:szCs w:val="21"/>
                    </w:rPr>
                    <w:fldChar w:fldCharType="end"/>
                  </w:r>
                  <w:r>
                    <w:rPr>
                      <w:color w:val="auto"/>
                      <w:spacing w:val="-2"/>
                      <w:sz w:val="21"/>
                      <w:szCs w:val="21"/>
                    </w:rPr>
                    <w:t>]43</w:t>
                  </w:r>
                  <w:r>
                    <w:rPr>
                      <w:color w:val="auto"/>
                      <w:spacing w:val="20"/>
                      <w:sz w:val="21"/>
                      <w:szCs w:val="21"/>
                    </w:rPr>
                    <w:t xml:space="preserve"> </w:t>
                  </w:r>
                  <w:r>
                    <w:rPr>
                      <w:rFonts w:ascii="宋体" w:hAnsi="宋体" w:eastAsia="宋体" w:cs="宋体"/>
                      <w:color w:val="auto"/>
                      <w:spacing w:val="-2"/>
                      <w:sz w:val="21"/>
                      <w:szCs w:val="21"/>
                    </w:rPr>
                    <w:t>号、韶环乐审</w:t>
                  </w:r>
                  <w:r>
                    <w:rPr>
                      <w:rFonts w:ascii="宋体" w:hAnsi="宋体" w:eastAsia="宋体" w:cs="宋体"/>
                      <w:color w:val="auto"/>
                      <w:spacing w:val="-4"/>
                      <w:sz w:val="21"/>
                      <w:szCs w:val="21"/>
                    </w:rPr>
                    <w:t>〔</w:t>
                  </w:r>
                  <w:r>
                    <w:rPr>
                      <w:color w:val="auto"/>
                      <w:spacing w:val="-4"/>
                      <w:sz w:val="21"/>
                      <w:szCs w:val="21"/>
                    </w:rPr>
                    <w:t>2022</w:t>
                  </w:r>
                  <w:r>
                    <w:rPr>
                      <w:rFonts w:ascii="宋体" w:hAnsi="宋体" w:eastAsia="宋体" w:cs="宋体"/>
                      <w:color w:val="auto"/>
                      <w:spacing w:val="-4"/>
                      <w:sz w:val="21"/>
                      <w:szCs w:val="21"/>
                    </w:rPr>
                    <w:t>〕</w:t>
                  </w:r>
                  <w:r>
                    <w:rPr>
                      <w:color w:val="auto"/>
                      <w:spacing w:val="-4"/>
                      <w:sz w:val="21"/>
                      <w:szCs w:val="21"/>
                    </w:rPr>
                    <w:t>13</w:t>
                  </w:r>
                  <w:r>
                    <w:rPr>
                      <w:color w:val="auto"/>
                      <w:spacing w:val="17"/>
                      <w:sz w:val="21"/>
                      <w:szCs w:val="21"/>
                    </w:rPr>
                    <w:t xml:space="preserve"> </w:t>
                  </w:r>
                  <w:r>
                    <w:rPr>
                      <w:rFonts w:ascii="宋体" w:hAnsi="宋体" w:eastAsia="宋体" w:cs="宋体"/>
                      <w:color w:val="auto"/>
                      <w:spacing w:val="-4"/>
                      <w:sz w:val="21"/>
                      <w:szCs w:val="21"/>
                    </w:rPr>
                    <w:t>号</w:t>
                  </w:r>
                </w:p>
              </w:tc>
            </w:tr>
            <w:tr w14:paraId="11664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jc w:val="center"/>
              </w:trPr>
              <w:tc>
                <w:tcPr>
                  <w:tcW w:w="311" w:type="dxa"/>
                  <w:vAlign w:val="center"/>
                </w:tcPr>
                <w:p w14:paraId="50556F5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szCs w:val="21"/>
                    </w:rPr>
                  </w:pPr>
                </w:p>
                <w:p w14:paraId="76DEF1D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z w:val="21"/>
                      <w:szCs w:val="21"/>
                    </w:rPr>
                    <w:t>6</w:t>
                  </w:r>
                </w:p>
              </w:tc>
              <w:tc>
                <w:tcPr>
                  <w:tcW w:w="961" w:type="dxa"/>
                  <w:vAlign w:val="center"/>
                </w:tcPr>
                <w:p w14:paraId="50ED191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乐昌市钜宝科技制造有限公</w:t>
                  </w:r>
                </w:p>
                <w:p w14:paraId="18A3F5C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司</w:t>
                  </w:r>
                </w:p>
              </w:tc>
              <w:tc>
                <w:tcPr>
                  <w:tcW w:w="600" w:type="dxa"/>
                  <w:vAlign w:val="center"/>
                </w:tcPr>
                <w:p w14:paraId="60F78333">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743BB63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金属制品业、通用</w:t>
                  </w:r>
                  <w:r>
                    <w:rPr>
                      <w:rFonts w:ascii="宋体" w:hAnsi="宋体" w:eastAsia="宋体" w:cs="宋体"/>
                      <w:color w:val="auto"/>
                      <w:spacing w:val="-2"/>
                      <w:sz w:val="21"/>
                      <w:szCs w:val="21"/>
                    </w:rPr>
                    <w:t>设备制造业</w:t>
                  </w:r>
                </w:p>
              </w:tc>
              <w:tc>
                <w:tcPr>
                  <w:tcW w:w="1140" w:type="dxa"/>
                  <w:vAlign w:val="center"/>
                </w:tcPr>
                <w:p w14:paraId="5BEBDBFB">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23539.9</w:t>
                  </w:r>
                </w:p>
              </w:tc>
              <w:tc>
                <w:tcPr>
                  <w:tcW w:w="2053" w:type="dxa"/>
                  <w:vAlign w:val="center"/>
                </w:tcPr>
                <w:p w14:paraId="4DA6A227">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rFonts w:ascii="宋体" w:hAnsi="宋体" w:eastAsia="宋体" w:cs="宋体"/>
                      <w:color w:val="auto"/>
                      <w:spacing w:val="-1"/>
                      <w:sz w:val="21"/>
                      <w:szCs w:val="21"/>
                    </w:rPr>
                    <w:t>年产户外家具</w:t>
                  </w:r>
                  <w:r>
                    <w:rPr>
                      <w:rFonts w:ascii="宋体" w:hAnsi="宋体" w:eastAsia="宋体" w:cs="宋体"/>
                      <w:color w:val="auto"/>
                      <w:spacing w:val="-45"/>
                      <w:sz w:val="21"/>
                      <w:szCs w:val="21"/>
                    </w:rPr>
                    <w:t xml:space="preserve"> </w:t>
                  </w:r>
                  <w:r>
                    <w:rPr>
                      <w:color w:val="auto"/>
                      <w:spacing w:val="-1"/>
                      <w:sz w:val="21"/>
                      <w:szCs w:val="21"/>
                    </w:rPr>
                    <w:t xml:space="preserve">49.8 </w:t>
                  </w:r>
                  <w:r>
                    <w:rPr>
                      <w:rFonts w:ascii="宋体" w:hAnsi="宋体" w:eastAsia="宋体" w:cs="宋体"/>
                      <w:color w:val="auto"/>
                      <w:spacing w:val="-1"/>
                      <w:sz w:val="21"/>
                      <w:szCs w:val="21"/>
                    </w:rPr>
                    <w:t>万件、水泵铸件</w:t>
                  </w:r>
                  <w:r>
                    <w:rPr>
                      <w:rFonts w:ascii="宋体" w:hAnsi="宋体" w:eastAsia="宋体" w:cs="宋体"/>
                      <w:color w:val="auto"/>
                      <w:spacing w:val="-43"/>
                      <w:sz w:val="21"/>
                      <w:szCs w:val="21"/>
                    </w:rPr>
                    <w:t xml:space="preserve"> </w:t>
                  </w:r>
                  <w:r>
                    <w:rPr>
                      <w:color w:val="auto"/>
                      <w:spacing w:val="-1"/>
                      <w:sz w:val="21"/>
                      <w:szCs w:val="21"/>
                    </w:rPr>
                    <w:t xml:space="preserve">6.52 </w:t>
                  </w:r>
                  <w:r>
                    <w:rPr>
                      <w:rFonts w:ascii="宋体" w:hAnsi="宋体" w:eastAsia="宋体" w:cs="宋体"/>
                      <w:color w:val="auto"/>
                      <w:spacing w:val="-1"/>
                      <w:sz w:val="21"/>
                      <w:szCs w:val="21"/>
                    </w:rPr>
                    <w:t>万件、铸铁烤网</w:t>
                  </w:r>
                  <w:r>
                    <w:rPr>
                      <w:rFonts w:ascii="宋体" w:hAnsi="宋体" w:eastAsia="宋体" w:cs="宋体"/>
                      <w:color w:val="auto"/>
                      <w:spacing w:val="-42"/>
                      <w:sz w:val="21"/>
                      <w:szCs w:val="21"/>
                    </w:rPr>
                    <w:t xml:space="preserve"> </w:t>
                  </w:r>
                  <w:r>
                    <w:rPr>
                      <w:color w:val="auto"/>
                      <w:spacing w:val="-1"/>
                      <w:sz w:val="21"/>
                      <w:szCs w:val="21"/>
                    </w:rPr>
                    <w:t>51</w:t>
                  </w:r>
                </w:p>
                <w:p w14:paraId="4E26E3E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5"/>
                      <w:sz w:val="21"/>
                      <w:szCs w:val="21"/>
                    </w:rPr>
                    <w:t>万件、铸铁发热板</w:t>
                  </w:r>
                  <w:r>
                    <w:rPr>
                      <w:rFonts w:ascii="宋体" w:hAnsi="宋体" w:eastAsia="宋体" w:cs="宋体"/>
                      <w:color w:val="auto"/>
                      <w:spacing w:val="-20"/>
                      <w:sz w:val="21"/>
                      <w:szCs w:val="21"/>
                    </w:rPr>
                    <w:t xml:space="preserve"> </w:t>
                  </w:r>
                  <w:r>
                    <w:rPr>
                      <w:color w:val="auto"/>
                      <w:spacing w:val="-5"/>
                      <w:sz w:val="21"/>
                      <w:szCs w:val="21"/>
                    </w:rPr>
                    <w:t xml:space="preserve">161 </w:t>
                  </w:r>
                  <w:r>
                    <w:rPr>
                      <w:rFonts w:ascii="宋体" w:hAnsi="宋体" w:eastAsia="宋体" w:cs="宋体"/>
                      <w:color w:val="auto"/>
                      <w:spacing w:val="-5"/>
                      <w:sz w:val="21"/>
                      <w:szCs w:val="21"/>
                    </w:rPr>
                    <w:t>万件、机加工铸铁件</w:t>
                  </w:r>
                  <w:r>
                    <w:rPr>
                      <w:rFonts w:ascii="宋体" w:hAnsi="宋体" w:eastAsia="宋体" w:cs="宋体"/>
                      <w:color w:val="auto"/>
                      <w:spacing w:val="-51"/>
                      <w:sz w:val="21"/>
                      <w:szCs w:val="21"/>
                    </w:rPr>
                    <w:t xml:space="preserve"> </w:t>
                  </w:r>
                  <w:r>
                    <w:rPr>
                      <w:color w:val="auto"/>
                      <w:spacing w:val="-5"/>
                      <w:sz w:val="21"/>
                      <w:szCs w:val="21"/>
                    </w:rPr>
                    <w:t>4000</w:t>
                  </w:r>
                  <w:r>
                    <w:rPr>
                      <w:color w:val="auto"/>
                      <w:spacing w:val="16"/>
                      <w:w w:val="101"/>
                      <w:sz w:val="21"/>
                      <w:szCs w:val="21"/>
                    </w:rPr>
                    <w:t xml:space="preserve"> </w:t>
                  </w:r>
                  <w:r>
                    <w:rPr>
                      <w:rFonts w:ascii="宋体" w:hAnsi="宋体" w:eastAsia="宋体" w:cs="宋体"/>
                      <w:color w:val="auto"/>
                      <w:spacing w:val="-5"/>
                      <w:sz w:val="21"/>
                      <w:szCs w:val="21"/>
                    </w:rPr>
                    <w:t>吨、喷粉铸</w:t>
                  </w:r>
                </w:p>
                <w:p w14:paraId="50006DE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铁件</w:t>
                  </w:r>
                  <w:r>
                    <w:rPr>
                      <w:rFonts w:ascii="宋体" w:hAnsi="宋体" w:eastAsia="宋体" w:cs="宋体"/>
                      <w:color w:val="auto"/>
                      <w:spacing w:val="-28"/>
                      <w:sz w:val="21"/>
                      <w:szCs w:val="21"/>
                    </w:rPr>
                    <w:t xml:space="preserve"> </w:t>
                  </w:r>
                  <w:r>
                    <w:rPr>
                      <w:color w:val="auto"/>
                      <w:spacing w:val="-4"/>
                      <w:sz w:val="21"/>
                      <w:szCs w:val="21"/>
                    </w:rPr>
                    <w:t>1000</w:t>
                  </w:r>
                  <w:r>
                    <w:rPr>
                      <w:color w:val="auto"/>
                      <w:spacing w:val="16"/>
                      <w:sz w:val="21"/>
                      <w:szCs w:val="21"/>
                    </w:rPr>
                    <w:t xml:space="preserve"> </w:t>
                  </w:r>
                  <w:r>
                    <w:rPr>
                      <w:rFonts w:ascii="宋体" w:hAnsi="宋体" w:eastAsia="宋体" w:cs="宋体"/>
                      <w:color w:val="auto"/>
                      <w:spacing w:val="-4"/>
                      <w:sz w:val="21"/>
                      <w:szCs w:val="21"/>
                    </w:rPr>
                    <w:t>吨、搪瓷铸铁件</w:t>
                  </w:r>
                  <w:r>
                    <w:rPr>
                      <w:rFonts w:ascii="宋体" w:hAnsi="宋体" w:eastAsia="宋体" w:cs="宋体"/>
                      <w:color w:val="auto"/>
                      <w:spacing w:val="-27"/>
                      <w:sz w:val="21"/>
                      <w:szCs w:val="21"/>
                    </w:rPr>
                    <w:t xml:space="preserve"> </w:t>
                  </w:r>
                  <w:r>
                    <w:rPr>
                      <w:color w:val="auto"/>
                      <w:spacing w:val="-4"/>
                      <w:sz w:val="21"/>
                      <w:szCs w:val="21"/>
                    </w:rPr>
                    <w:t>1000</w:t>
                  </w:r>
                  <w:r>
                    <w:rPr>
                      <w:color w:val="auto"/>
                      <w:spacing w:val="18"/>
                      <w:w w:val="101"/>
                      <w:sz w:val="21"/>
                      <w:szCs w:val="21"/>
                    </w:rPr>
                    <w:t xml:space="preserve"> </w:t>
                  </w:r>
                  <w:r>
                    <w:rPr>
                      <w:rFonts w:ascii="宋体" w:hAnsi="宋体" w:eastAsia="宋体" w:cs="宋体"/>
                      <w:color w:val="auto"/>
                      <w:spacing w:val="-4"/>
                      <w:sz w:val="21"/>
                      <w:szCs w:val="21"/>
                    </w:rPr>
                    <w:t>吨</w:t>
                  </w:r>
                </w:p>
              </w:tc>
              <w:tc>
                <w:tcPr>
                  <w:tcW w:w="1878" w:type="dxa"/>
                  <w:vAlign w:val="center"/>
                </w:tcPr>
                <w:p w14:paraId="775BAB9B">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乐环审</w:t>
                  </w:r>
                  <w:r>
                    <w:rPr>
                      <w:color w:val="auto"/>
                      <w:spacing w:val="-2"/>
                      <w:sz w:val="21"/>
                      <w:szCs w:val="21"/>
                    </w:rPr>
                    <w:t>[</w:t>
                  </w:r>
                  <w:r>
                    <w:rPr>
                      <w:color w:val="auto"/>
                      <w:sz w:val="21"/>
                      <w:szCs w:val="21"/>
                    </w:rPr>
                    <w:fldChar w:fldCharType="begin"/>
                  </w:r>
                  <w:r>
                    <w:rPr>
                      <w:color w:val="auto"/>
                      <w:sz w:val="21"/>
                      <w:szCs w:val="21"/>
                    </w:rPr>
                    <w:instrText xml:space="preserve"> HYPERLINK \l "bookmark207" </w:instrText>
                  </w:r>
                  <w:r>
                    <w:rPr>
                      <w:color w:val="auto"/>
                      <w:sz w:val="21"/>
                      <w:szCs w:val="21"/>
                    </w:rPr>
                    <w:fldChar w:fldCharType="separate"/>
                  </w:r>
                  <w:r>
                    <w:rPr>
                      <w:color w:val="auto"/>
                      <w:spacing w:val="-2"/>
                      <w:sz w:val="21"/>
                      <w:szCs w:val="21"/>
                    </w:rPr>
                    <w:t>2017</w:t>
                  </w:r>
                  <w:r>
                    <w:rPr>
                      <w:color w:val="auto"/>
                      <w:spacing w:val="-2"/>
                      <w:sz w:val="21"/>
                      <w:szCs w:val="21"/>
                    </w:rPr>
                    <w:fldChar w:fldCharType="end"/>
                  </w:r>
                  <w:r>
                    <w:rPr>
                      <w:color w:val="auto"/>
                      <w:spacing w:val="-2"/>
                      <w:sz w:val="21"/>
                      <w:szCs w:val="21"/>
                    </w:rPr>
                    <w:t>]47</w:t>
                  </w:r>
                  <w:r>
                    <w:rPr>
                      <w:color w:val="auto"/>
                      <w:spacing w:val="20"/>
                      <w:sz w:val="21"/>
                      <w:szCs w:val="21"/>
                    </w:rPr>
                    <w:t xml:space="preserve"> </w:t>
                  </w:r>
                  <w:r>
                    <w:rPr>
                      <w:rFonts w:ascii="宋体" w:hAnsi="宋体" w:eastAsia="宋体" w:cs="宋体"/>
                      <w:color w:val="auto"/>
                      <w:spacing w:val="-2"/>
                      <w:sz w:val="21"/>
                      <w:szCs w:val="21"/>
                    </w:rPr>
                    <w:t>号、韶环乐审</w:t>
                  </w:r>
                </w:p>
                <w:p w14:paraId="5BC7417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color w:val="auto"/>
                      <w:spacing w:val="-2"/>
                      <w:sz w:val="21"/>
                      <w:szCs w:val="21"/>
                    </w:rPr>
                    <w:t>[</w:t>
                  </w:r>
                  <w:r>
                    <w:rPr>
                      <w:color w:val="auto"/>
                      <w:sz w:val="21"/>
                      <w:szCs w:val="21"/>
                    </w:rPr>
                    <w:fldChar w:fldCharType="begin"/>
                  </w:r>
                  <w:r>
                    <w:rPr>
                      <w:color w:val="auto"/>
                      <w:sz w:val="21"/>
                      <w:szCs w:val="21"/>
                    </w:rPr>
                    <w:instrText xml:space="preserve"> HYPERLINK \l "bookmark208" </w:instrText>
                  </w:r>
                  <w:r>
                    <w:rPr>
                      <w:color w:val="auto"/>
                      <w:sz w:val="21"/>
                      <w:szCs w:val="21"/>
                    </w:rPr>
                    <w:fldChar w:fldCharType="separate"/>
                  </w:r>
                  <w:r>
                    <w:rPr>
                      <w:color w:val="auto"/>
                      <w:spacing w:val="-2"/>
                      <w:sz w:val="21"/>
                      <w:szCs w:val="21"/>
                    </w:rPr>
                    <w:t>2021</w:t>
                  </w:r>
                  <w:r>
                    <w:rPr>
                      <w:color w:val="auto"/>
                      <w:spacing w:val="-2"/>
                      <w:sz w:val="21"/>
                      <w:szCs w:val="21"/>
                    </w:rPr>
                    <w:fldChar w:fldCharType="end"/>
                  </w:r>
                  <w:r>
                    <w:rPr>
                      <w:color w:val="auto"/>
                      <w:spacing w:val="-2"/>
                      <w:sz w:val="21"/>
                      <w:szCs w:val="21"/>
                    </w:rPr>
                    <w:t>]30</w:t>
                  </w:r>
                  <w:r>
                    <w:rPr>
                      <w:color w:val="auto"/>
                      <w:spacing w:val="13"/>
                      <w:w w:val="101"/>
                      <w:sz w:val="21"/>
                      <w:szCs w:val="21"/>
                    </w:rPr>
                    <w:t xml:space="preserve"> </w:t>
                  </w:r>
                  <w:r>
                    <w:rPr>
                      <w:rFonts w:ascii="宋体" w:hAnsi="宋体" w:eastAsia="宋体" w:cs="宋体"/>
                      <w:color w:val="auto"/>
                      <w:spacing w:val="-2"/>
                      <w:sz w:val="21"/>
                      <w:szCs w:val="21"/>
                    </w:rPr>
                    <w:t>号</w:t>
                  </w:r>
                </w:p>
              </w:tc>
            </w:tr>
            <w:tr w14:paraId="328DB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7371D6C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z w:val="21"/>
                      <w:szCs w:val="21"/>
                    </w:rPr>
                    <w:t>7</w:t>
                  </w:r>
                </w:p>
              </w:tc>
              <w:tc>
                <w:tcPr>
                  <w:tcW w:w="961" w:type="dxa"/>
                  <w:vAlign w:val="center"/>
                </w:tcPr>
                <w:p w14:paraId="2CBFDB5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乐昌胜旗精工科技有限公司</w:t>
                  </w:r>
                </w:p>
              </w:tc>
              <w:tc>
                <w:tcPr>
                  <w:tcW w:w="600" w:type="dxa"/>
                  <w:vAlign w:val="center"/>
                </w:tcPr>
                <w:p w14:paraId="53BFA4C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276A28C3">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70AAE9F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4"/>
                      <w:sz w:val="21"/>
                      <w:szCs w:val="21"/>
                    </w:rPr>
                    <w:t>13322</w:t>
                  </w:r>
                </w:p>
              </w:tc>
              <w:tc>
                <w:tcPr>
                  <w:tcW w:w="2053" w:type="dxa"/>
                  <w:vAlign w:val="center"/>
                </w:tcPr>
                <w:p w14:paraId="4D529F7C">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5"/>
                      <w:sz w:val="21"/>
                      <w:szCs w:val="21"/>
                    </w:rPr>
                    <w:t>年产炉架</w:t>
                  </w:r>
                  <w:r>
                    <w:rPr>
                      <w:rFonts w:ascii="宋体" w:hAnsi="宋体" w:eastAsia="宋体" w:cs="宋体"/>
                      <w:color w:val="auto"/>
                      <w:spacing w:val="-24"/>
                      <w:sz w:val="21"/>
                      <w:szCs w:val="21"/>
                    </w:rPr>
                    <w:t xml:space="preserve"> </w:t>
                  </w:r>
                  <w:r>
                    <w:rPr>
                      <w:color w:val="auto"/>
                      <w:spacing w:val="-5"/>
                      <w:sz w:val="21"/>
                      <w:szCs w:val="21"/>
                    </w:rPr>
                    <w:t>10</w:t>
                  </w:r>
                  <w:r>
                    <w:rPr>
                      <w:color w:val="auto"/>
                      <w:spacing w:val="14"/>
                      <w:sz w:val="21"/>
                      <w:szCs w:val="21"/>
                    </w:rPr>
                    <w:t xml:space="preserve"> </w:t>
                  </w:r>
                  <w:r>
                    <w:rPr>
                      <w:rFonts w:ascii="宋体" w:hAnsi="宋体" w:eastAsia="宋体" w:cs="宋体"/>
                      <w:color w:val="auto"/>
                      <w:spacing w:val="-5"/>
                      <w:sz w:val="21"/>
                      <w:szCs w:val="21"/>
                    </w:rPr>
                    <w:t>万件、炉排、炉头、家具件、机械件、减速机波</w:t>
                  </w:r>
                </w:p>
                <w:p w14:paraId="29C24DB9">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箱各</w:t>
                  </w:r>
                  <w:r>
                    <w:rPr>
                      <w:rFonts w:ascii="宋体" w:hAnsi="宋体" w:eastAsia="宋体" w:cs="宋体"/>
                      <w:color w:val="auto"/>
                      <w:spacing w:val="-38"/>
                      <w:sz w:val="21"/>
                      <w:szCs w:val="21"/>
                    </w:rPr>
                    <w:t xml:space="preserve"> </w:t>
                  </w:r>
                  <w:r>
                    <w:rPr>
                      <w:color w:val="auto"/>
                      <w:spacing w:val="-3"/>
                      <w:sz w:val="21"/>
                      <w:szCs w:val="21"/>
                    </w:rPr>
                    <w:t xml:space="preserve">5 </w:t>
                  </w:r>
                  <w:r>
                    <w:rPr>
                      <w:rFonts w:ascii="宋体" w:hAnsi="宋体" w:eastAsia="宋体" w:cs="宋体"/>
                      <w:color w:val="auto"/>
                      <w:spacing w:val="-3"/>
                      <w:sz w:val="21"/>
                      <w:szCs w:val="21"/>
                    </w:rPr>
                    <w:t>万件、发热盘</w:t>
                  </w:r>
                  <w:r>
                    <w:rPr>
                      <w:rFonts w:ascii="宋体" w:hAnsi="宋体" w:eastAsia="宋体" w:cs="宋体"/>
                      <w:color w:val="auto"/>
                      <w:spacing w:val="-44"/>
                      <w:sz w:val="21"/>
                      <w:szCs w:val="21"/>
                    </w:rPr>
                    <w:t xml:space="preserve"> </w:t>
                  </w:r>
                  <w:r>
                    <w:rPr>
                      <w:color w:val="auto"/>
                      <w:spacing w:val="-3"/>
                      <w:sz w:val="21"/>
                      <w:szCs w:val="21"/>
                    </w:rPr>
                    <w:t>3</w:t>
                  </w:r>
                  <w:r>
                    <w:rPr>
                      <w:color w:val="auto"/>
                      <w:spacing w:val="14"/>
                      <w:w w:val="101"/>
                      <w:sz w:val="21"/>
                      <w:szCs w:val="21"/>
                    </w:rPr>
                    <w:t xml:space="preserve"> </w:t>
                  </w:r>
                  <w:r>
                    <w:rPr>
                      <w:rFonts w:ascii="宋体" w:hAnsi="宋体" w:eastAsia="宋体" w:cs="宋体"/>
                      <w:color w:val="auto"/>
                      <w:spacing w:val="-3"/>
                      <w:sz w:val="21"/>
                      <w:szCs w:val="21"/>
                    </w:rPr>
                    <w:t>万件</w:t>
                  </w:r>
                </w:p>
              </w:tc>
              <w:tc>
                <w:tcPr>
                  <w:tcW w:w="1878" w:type="dxa"/>
                  <w:vAlign w:val="center"/>
                </w:tcPr>
                <w:p w14:paraId="1D1F20B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乐环审</w:t>
                  </w:r>
                  <w:r>
                    <w:rPr>
                      <w:color w:val="auto"/>
                      <w:spacing w:val="-2"/>
                      <w:sz w:val="21"/>
                      <w:szCs w:val="21"/>
                    </w:rPr>
                    <w:t>[</w:t>
                  </w:r>
                  <w:r>
                    <w:rPr>
                      <w:color w:val="auto"/>
                      <w:sz w:val="21"/>
                      <w:szCs w:val="21"/>
                    </w:rPr>
                    <w:fldChar w:fldCharType="begin"/>
                  </w:r>
                  <w:r>
                    <w:rPr>
                      <w:color w:val="auto"/>
                      <w:sz w:val="21"/>
                      <w:szCs w:val="21"/>
                    </w:rPr>
                    <w:instrText xml:space="preserve"> HYPERLINK \l "bookmark209" </w:instrText>
                  </w:r>
                  <w:r>
                    <w:rPr>
                      <w:color w:val="auto"/>
                      <w:sz w:val="21"/>
                      <w:szCs w:val="21"/>
                    </w:rPr>
                    <w:fldChar w:fldCharType="separate"/>
                  </w:r>
                  <w:r>
                    <w:rPr>
                      <w:color w:val="auto"/>
                      <w:spacing w:val="-2"/>
                      <w:sz w:val="21"/>
                      <w:szCs w:val="21"/>
                    </w:rPr>
                    <w:t>2017</w:t>
                  </w:r>
                  <w:r>
                    <w:rPr>
                      <w:color w:val="auto"/>
                      <w:spacing w:val="-2"/>
                      <w:sz w:val="21"/>
                      <w:szCs w:val="21"/>
                    </w:rPr>
                    <w:fldChar w:fldCharType="end"/>
                  </w:r>
                  <w:r>
                    <w:rPr>
                      <w:color w:val="auto"/>
                      <w:spacing w:val="-2"/>
                      <w:sz w:val="21"/>
                      <w:szCs w:val="21"/>
                    </w:rPr>
                    <w:t>]44</w:t>
                  </w:r>
                  <w:r>
                    <w:rPr>
                      <w:color w:val="auto"/>
                      <w:spacing w:val="24"/>
                      <w:sz w:val="21"/>
                      <w:szCs w:val="21"/>
                    </w:rPr>
                    <w:t xml:space="preserve"> </w:t>
                  </w:r>
                  <w:r>
                    <w:rPr>
                      <w:rFonts w:ascii="宋体" w:hAnsi="宋体" w:eastAsia="宋体" w:cs="宋体"/>
                      <w:color w:val="auto"/>
                      <w:spacing w:val="-2"/>
                      <w:sz w:val="21"/>
                      <w:szCs w:val="21"/>
                    </w:rPr>
                    <w:t>号</w:t>
                  </w:r>
                </w:p>
              </w:tc>
            </w:tr>
            <w:tr w14:paraId="569237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13CD710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z w:val="21"/>
                      <w:szCs w:val="21"/>
                    </w:rPr>
                    <w:t>8</w:t>
                  </w:r>
                </w:p>
              </w:tc>
              <w:tc>
                <w:tcPr>
                  <w:tcW w:w="961" w:type="dxa"/>
                  <w:vAlign w:val="center"/>
                </w:tcPr>
                <w:p w14:paraId="390E4F8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乐昌市钜烽机械制造有限公</w:t>
                  </w:r>
                </w:p>
                <w:p w14:paraId="4223995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司</w:t>
                  </w:r>
                </w:p>
              </w:tc>
              <w:tc>
                <w:tcPr>
                  <w:tcW w:w="600" w:type="dxa"/>
                  <w:vAlign w:val="center"/>
                </w:tcPr>
                <w:p w14:paraId="2497ACD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0A4B32F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766FFD6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4"/>
                      <w:sz w:val="21"/>
                      <w:szCs w:val="21"/>
                    </w:rPr>
                    <w:t>10000</w:t>
                  </w:r>
                </w:p>
              </w:tc>
              <w:tc>
                <w:tcPr>
                  <w:tcW w:w="2053" w:type="dxa"/>
                  <w:vAlign w:val="center"/>
                </w:tcPr>
                <w:p w14:paraId="280BD6D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年产机械铸件</w:t>
                  </w:r>
                  <w:r>
                    <w:rPr>
                      <w:rFonts w:ascii="宋体" w:hAnsi="宋体" w:eastAsia="宋体" w:cs="宋体"/>
                      <w:color w:val="auto"/>
                      <w:spacing w:val="-24"/>
                      <w:sz w:val="21"/>
                      <w:szCs w:val="21"/>
                    </w:rPr>
                    <w:t xml:space="preserve"> </w:t>
                  </w:r>
                  <w:r>
                    <w:rPr>
                      <w:color w:val="auto"/>
                      <w:spacing w:val="-3"/>
                      <w:sz w:val="21"/>
                      <w:szCs w:val="21"/>
                    </w:rPr>
                    <w:t xml:space="preserve">1 </w:t>
                  </w:r>
                  <w:r>
                    <w:rPr>
                      <w:rFonts w:ascii="宋体" w:hAnsi="宋体" w:eastAsia="宋体" w:cs="宋体"/>
                      <w:color w:val="auto"/>
                      <w:spacing w:val="-3"/>
                      <w:sz w:val="21"/>
                      <w:szCs w:val="21"/>
                    </w:rPr>
                    <w:t>万吨</w:t>
                  </w:r>
                </w:p>
              </w:tc>
              <w:tc>
                <w:tcPr>
                  <w:tcW w:w="1878" w:type="dxa"/>
                  <w:vAlign w:val="center"/>
                </w:tcPr>
                <w:p w14:paraId="76187EBA">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乐环审</w:t>
                  </w:r>
                  <w:r>
                    <w:rPr>
                      <w:color w:val="auto"/>
                      <w:spacing w:val="-2"/>
                      <w:sz w:val="21"/>
                      <w:szCs w:val="21"/>
                    </w:rPr>
                    <w:t>[</w:t>
                  </w:r>
                  <w:r>
                    <w:rPr>
                      <w:color w:val="auto"/>
                      <w:sz w:val="21"/>
                      <w:szCs w:val="21"/>
                    </w:rPr>
                    <w:fldChar w:fldCharType="begin"/>
                  </w:r>
                  <w:r>
                    <w:rPr>
                      <w:color w:val="auto"/>
                      <w:sz w:val="21"/>
                      <w:szCs w:val="21"/>
                    </w:rPr>
                    <w:instrText xml:space="preserve"> HYPERLINK \l "bookmark210" </w:instrText>
                  </w:r>
                  <w:r>
                    <w:rPr>
                      <w:color w:val="auto"/>
                      <w:sz w:val="21"/>
                      <w:szCs w:val="21"/>
                    </w:rPr>
                    <w:fldChar w:fldCharType="separate"/>
                  </w:r>
                  <w:r>
                    <w:rPr>
                      <w:color w:val="auto"/>
                      <w:spacing w:val="-2"/>
                      <w:sz w:val="21"/>
                      <w:szCs w:val="21"/>
                    </w:rPr>
                    <w:t>2017</w:t>
                  </w:r>
                  <w:r>
                    <w:rPr>
                      <w:color w:val="auto"/>
                      <w:spacing w:val="-2"/>
                      <w:sz w:val="21"/>
                      <w:szCs w:val="21"/>
                    </w:rPr>
                    <w:fldChar w:fldCharType="end"/>
                  </w:r>
                  <w:r>
                    <w:rPr>
                      <w:color w:val="auto"/>
                      <w:spacing w:val="-2"/>
                      <w:sz w:val="21"/>
                      <w:szCs w:val="21"/>
                    </w:rPr>
                    <w:t>]41</w:t>
                  </w:r>
                  <w:r>
                    <w:rPr>
                      <w:color w:val="auto"/>
                      <w:spacing w:val="24"/>
                      <w:sz w:val="21"/>
                      <w:szCs w:val="21"/>
                    </w:rPr>
                    <w:t xml:space="preserve"> </w:t>
                  </w:r>
                  <w:r>
                    <w:rPr>
                      <w:rFonts w:ascii="宋体" w:hAnsi="宋体" w:eastAsia="宋体" w:cs="宋体"/>
                      <w:color w:val="auto"/>
                      <w:spacing w:val="-2"/>
                      <w:sz w:val="21"/>
                      <w:szCs w:val="21"/>
                    </w:rPr>
                    <w:t>号</w:t>
                  </w:r>
                </w:p>
              </w:tc>
            </w:tr>
            <w:tr w14:paraId="186DC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707C9F47">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z w:val="21"/>
                      <w:szCs w:val="21"/>
                    </w:rPr>
                    <w:t>9</w:t>
                  </w:r>
                </w:p>
              </w:tc>
              <w:tc>
                <w:tcPr>
                  <w:tcW w:w="961" w:type="dxa"/>
                  <w:vAlign w:val="center"/>
                </w:tcPr>
                <w:p w14:paraId="6A2A9F3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乐昌市金利华机械制造有限</w:t>
                  </w:r>
                </w:p>
                <w:p w14:paraId="1951DCD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公司</w:t>
                  </w:r>
                </w:p>
              </w:tc>
              <w:tc>
                <w:tcPr>
                  <w:tcW w:w="600" w:type="dxa"/>
                  <w:vAlign w:val="center"/>
                </w:tcPr>
                <w:p w14:paraId="0595FFF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17C6BC5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71E02368">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4"/>
                      <w:sz w:val="21"/>
                      <w:szCs w:val="21"/>
                    </w:rPr>
                    <w:t>10000</w:t>
                  </w:r>
                </w:p>
              </w:tc>
              <w:tc>
                <w:tcPr>
                  <w:tcW w:w="2053" w:type="dxa"/>
                  <w:vAlign w:val="center"/>
                </w:tcPr>
                <w:p w14:paraId="5212446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年产食品机械铸件</w:t>
                  </w:r>
                  <w:r>
                    <w:rPr>
                      <w:rFonts w:ascii="宋体" w:hAnsi="宋体" w:eastAsia="宋体" w:cs="宋体"/>
                      <w:color w:val="auto"/>
                      <w:spacing w:val="-18"/>
                      <w:sz w:val="21"/>
                      <w:szCs w:val="21"/>
                    </w:rPr>
                    <w:t xml:space="preserve"> </w:t>
                  </w:r>
                  <w:r>
                    <w:rPr>
                      <w:color w:val="auto"/>
                      <w:spacing w:val="-3"/>
                      <w:sz w:val="21"/>
                      <w:szCs w:val="21"/>
                    </w:rPr>
                    <w:t xml:space="preserve">1 </w:t>
                  </w:r>
                  <w:r>
                    <w:rPr>
                      <w:rFonts w:ascii="宋体" w:hAnsi="宋体" w:eastAsia="宋体" w:cs="宋体"/>
                      <w:color w:val="auto"/>
                      <w:spacing w:val="-3"/>
                      <w:sz w:val="21"/>
                      <w:szCs w:val="21"/>
                    </w:rPr>
                    <w:t>万件</w:t>
                  </w:r>
                </w:p>
              </w:tc>
              <w:tc>
                <w:tcPr>
                  <w:tcW w:w="1878" w:type="dxa"/>
                  <w:vAlign w:val="center"/>
                </w:tcPr>
                <w:p w14:paraId="0159FD4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乐环审</w:t>
                  </w:r>
                  <w:r>
                    <w:rPr>
                      <w:color w:val="auto"/>
                      <w:spacing w:val="-2"/>
                      <w:sz w:val="21"/>
                      <w:szCs w:val="21"/>
                    </w:rPr>
                    <w:t>[</w:t>
                  </w:r>
                  <w:r>
                    <w:rPr>
                      <w:color w:val="auto"/>
                      <w:sz w:val="21"/>
                      <w:szCs w:val="21"/>
                    </w:rPr>
                    <w:fldChar w:fldCharType="begin"/>
                  </w:r>
                  <w:r>
                    <w:rPr>
                      <w:color w:val="auto"/>
                      <w:sz w:val="21"/>
                      <w:szCs w:val="21"/>
                    </w:rPr>
                    <w:instrText xml:space="preserve"> HYPERLINK \l "bookmark211" </w:instrText>
                  </w:r>
                  <w:r>
                    <w:rPr>
                      <w:color w:val="auto"/>
                      <w:sz w:val="21"/>
                      <w:szCs w:val="21"/>
                    </w:rPr>
                    <w:fldChar w:fldCharType="separate"/>
                  </w:r>
                  <w:r>
                    <w:rPr>
                      <w:color w:val="auto"/>
                      <w:spacing w:val="-2"/>
                      <w:sz w:val="21"/>
                      <w:szCs w:val="21"/>
                    </w:rPr>
                    <w:t>2017</w:t>
                  </w:r>
                  <w:r>
                    <w:rPr>
                      <w:color w:val="auto"/>
                      <w:spacing w:val="-2"/>
                      <w:sz w:val="21"/>
                      <w:szCs w:val="21"/>
                    </w:rPr>
                    <w:fldChar w:fldCharType="end"/>
                  </w:r>
                  <w:r>
                    <w:rPr>
                      <w:color w:val="auto"/>
                      <w:spacing w:val="-2"/>
                      <w:sz w:val="21"/>
                      <w:szCs w:val="21"/>
                    </w:rPr>
                    <w:t>]42</w:t>
                  </w:r>
                  <w:r>
                    <w:rPr>
                      <w:color w:val="auto"/>
                      <w:spacing w:val="24"/>
                      <w:sz w:val="21"/>
                      <w:szCs w:val="21"/>
                    </w:rPr>
                    <w:t xml:space="preserve"> </w:t>
                  </w:r>
                  <w:r>
                    <w:rPr>
                      <w:rFonts w:ascii="宋体" w:hAnsi="宋体" w:eastAsia="宋体" w:cs="宋体"/>
                      <w:color w:val="auto"/>
                      <w:spacing w:val="-2"/>
                      <w:sz w:val="21"/>
                      <w:szCs w:val="21"/>
                    </w:rPr>
                    <w:t>号</w:t>
                  </w:r>
                </w:p>
              </w:tc>
            </w:tr>
            <w:tr w14:paraId="4F031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311" w:type="dxa"/>
                  <w:vAlign w:val="center"/>
                </w:tcPr>
                <w:p w14:paraId="6B3C2E92">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6"/>
                      <w:sz w:val="21"/>
                      <w:szCs w:val="21"/>
                    </w:rPr>
                    <w:t>10</w:t>
                  </w:r>
                </w:p>
              </w:tc>
              <w:tc>
                <w:tcPr>
                  <w:tcW w:w="961" w:type="dxa"/>
                  <w:vAlign w:val="center"/>
                </w:tcPr>
                <w:p w14:paraId="273D96B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乐昌市宏信精工制造有限公</w:t>
                  </w:r>
                </w:p>
                <w:p w14:paraId="395E9DF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司</w:t>
                  </w:r>
                </w:p>
              </w:tc>
              <w:tc>
                <w:tcPr>
                  <w:tcW w:w="600" w:type="dxa"/>
                  <w:vAlign w:val="center"/>
                </w:tcPr>
                <w:p w14:paraId="5088BAF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6A5B523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66D84E4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4"/>
                      <w:sz w:val="21"/>
                      <w:szCs w:val="21"/>
                    </w:rPr>
                    <w:t>10000</w:t>
                  </w:r>
                </w:p>
              </w:tc>
              <w:tc>
                <w:tcPr>
                  <w:tcW w:w="2053" w:type="dxa"/>
                  <w:vAlign w:val="center"/>
                </w:tcPr>
                <w:p w14:paraId="5B842FB7">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年产球墨模具、零件</w:t>
                  </w:r>
                  <w:r>
                    <w:rPr>
                      <w:rFonts w:ascii="宋体" w:hAnsi="宋体" w:eastAsia="宋体" w:cs="宋体"/>
                      <w:color w:val="auto"/>
                      <w:spacing w:val="-33"/>
                      <w:sz w:val="21"/>
                      <w:szCs w:val="21"/>
                    </w:rPr>
                    <w:t xml:space="preserve"> </w:t>
                  </w:r>
                  <w:r>
                    <w:rPr>
                      <w:color w:val="auto"/>
                      <w:spacing w:val="-2"/>
                      <w:sz w:val="21"/>
                      <w:szCs w:val="21"/>
                    </w:rPr>
                    <w:t>4000</w:t>
                  </w:r>
                  <w:r>
                    <w:rPr>
                      <w:color w:val="auto"/>
                      <w:spacing w:val="16"/>
                      <w:w w:val="101"/>
                      <w:sz w:val="21"/>
                      <w:szCs w:val="21"/>
                    </w:rPr>
                    <w:t xml:space="preserve"> </w:t>
                  </w:r>
                  <w:r>
                    <w:rPr>
                      <w:rFonts w:ascii="宋体" w:hAnsi="宋体" w:eastAsia="宋体" w:cs="宋体"/>
                      <w:color w:val="auto"/>
                      <w:spacing w:val="-2"/>
                      <w:sz w:val="21"/>
                      <w:szCs w:val="21"/>
                    </w:rPr>
                    <w:t>吨、灰口模具、零件</w:t>
                  </w:r>
                  <w:r>
                    <w:rPr>
                      <w:rFonts w:ascii="宋体" w:hAnsi="宋体" w:eastAsia="宋体" w:cs="宋体"/>
                      <w:color w:val="auto"/>
                      <w:spacing w:val="-44"/>
                      <w:sz w:val="21"/>
                      <w:szCs w:val="21"/>
                    </w:rPr>
                    <w:t xml:space="preserve"> </w:t>
                  </w:r>
                  <w:r>
                    <w:rPr>
                      <w:color w:val="auto"/>
                      <w:spacing w:val="-2"/>
                      <w:sz w:val="21"/>
                      <w:szCs w:val="21"/>
                    </w:rPr>
                    <w:t>6000</w:t>
                  </w:r>
                  <w:r>
                    <w:rPr>
                      <w:color w:val="auto"/>
                      <w:spacing w:val="16"/>
                      <w:w w:val="101"/>
                      <w:sz w:val="21"/>
                      <w:szCs w:val="21"/>
                    </w:rPr>
                    <w:t xml:space="preserve"> </w:t>
                  </w:r>
                  <w:r>
                    <w:rPr>
                      <w:rFonts w:ascii="宋体" w:hAnsi="宋体" w:eastAsia="宋体" w:cs="宋体"/>
                      <w:color w:val="auto"/>
                      <w:spacing w:val="-2"/>
                      <w:sz w:val="21"/>
                      <w:szCs w:val="21"/>
                    </w:rPr>
                    <w:t>吨</w:t>
                  </w:r>
                </w:p>
              </w:tc>
              <w:tc>
                <w:tcPr>
                  <w:tcW w:w="1878" w:type="dxa"/>
                  <w:vAlign w:val="center"/>
                </w:tcPr>
                <w:p w14:paraId="6DC1035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乐环审</w:t>
                  </w:r>
                  <w:r>
                    <w:rPr>
                      <w:color w:val="auto"/>
                      <w:spacing w:val="-2"/>
                      <w:sz w:val="21"/>
                      <w:szCs w:val="21"/>
                    </w:rPr>
                    <w:t>[</w:t>
                  </w:r>
                  <w:r>
                    <w:rPr>
                      <w:color w:val="auto"/>
                      <w:sz w:val="21"/>
                      <w:szCs w:val="21"/>
                    </w:rPr>
                    <w:fldChar w:fldCharType="begin"/>
                  </w:r>
                  <w:r>
                    <w:rPr>
                      <w:color w:val="auto"/>
                      <w:sz w:val="21"/>
                      <w:szCs w:val="21"/>
                    </w:rPr>
                    <w:instrText xml:space="preserve"> HYPERLINK \l "bookmark212" </w:instrText>
                  </w:r>
                  <w:r>
                    <w:rPr>
                      <w:color w:val="auto"/>
                      <w:sz w:val="21"/>
                      <w:szCs w:val="21"/>
                    </w:rPr>
                    <w:fldChar w:fldCharType="separate"/>
                  </w:r>
                  <w:r>
                    <w:rPr>
                      <w:color w:val="auto"/>
                      <w:spacing w:val="-2"/>
                      <w:sz w:val="21"/>
                      <w:szCs w:val="21"/>
                    </w:rPr>
                    <w:t>2017</w:t>
                  </w:r>
                  <w:r>
                    <w:rPr>
                      <w:color w:val="auto"/>
                      <w:spacing w:val="-2"/>
                      <w:sz w:val="21"/>
                      <w:szCs w:val="21"/>
                    </w:rPr>
                    <w:fldChar w:fldCharType="end"/>
                  </w:r>
                  <w:r>
                    <w:rPr>
                      <w:color w:val="auto"/>
                      <w:spacing w:val="-2"/>
                      <w:sz w:val="21"/>
                      <w:szCs w:val="21"/>
                    </w:rPr>
                    <w:t>]39</w:t>
                  </w:r>
                  <w:r>
                    <w:rPr>
                      <w:color w:val="auto"/>
                      <w:spacing w:val="20"/>
                      <w:sz w:val="21"/>
                      <w:szCs w:val="21"/>
                    </w:rPr>
                    <w:t xml:space="preserve"> </w:t>
                  </w:r>
                  <w:r>
                    <w:rPr>
                      <w:rFonts w:ascii="宋体" w:hAnsi="宋体" w:eastAsia="宋体" w:cs="宋体"/>
                      <w:color w:val="auto"/>
                      <w:spacing w:val="-2"/>
                      <w:sz w:val="21"/>
                      <w:szCs w:val="21"/>
                    </w:rPr>
                    <w:t>号、韶环乐审</w:t>
                  </w:r>
                </w:p>
                <w:p w14:paraId="777DD83B">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color w:val="auto"/>
                      <w:spacing w:val="-2"/>
                      <w:sz w:val="21"/>
                      <w:szCs w:val="21"/>
                    </w:rPr>
                    <w:t>[</w:t>
                  </w:r>
                  <w:r>
                    <w:rPr>
                      <w:color w:val="auto"/>
                      <w:sz w:val="21"/>
                      <w:szCs w:val="21"/>
                    </w:rPr>
                    <w:fldChar w:fldCharType="begin"/>
                  </w:r>
                  <w:r>
                    <w:rPr>
                      <w:color w:val="auto"/>
                      <w:sz w:val="21"/>
                      <w:szCs w:val="21"/>
                    </w:rPr>
                    <w:instrText xml:space="preserve"> HYPERLINK \l "bookmark213" </w:instrText>
                  </w:r>
                  <w:r>
                    <w:rPr>
                      <w:color w:val="auto"/>
                      <w:sz w:val="21"/>
                      <w:szCs w:val="21"/>
                    </w:rPr>
                    <w:fldChar w:fldCharType="separate"/>
                  </w:r>
                  <w:r>
                    <w:rPr>
                      <w:color w:val="auto"/>
                      <w:spacing w:val="-2"/>
                      <w:sz w:val="21"/>
                      <w:szCs w:val="21"/>
                    </w:rPr>
                    <w:t>2022</w:t>
                  </w:r>
                  <w:r>
                    <w:rPr>
                      <w:color w:val="auto"/>
                      <w:spacing w:val="-2"/>
                      <w:sz w:val="21"/>
                      <w:szCs w:val="21"/>
                    </w:rPr>
                    <w:fldChar w:fldCharType="end"/>
                  </w:r>
                  <w:r>
                    <w:rPr>
                      <w:color w:val="auto"/>
                      <w:spacing w:val="-2"/>
                      <w:sz w:val="21"/>
                      <w:szCs w:val="21"/>
                    </w:rPr>
                    <w:t>]23</w:t>
                  </w:r>
                  <w:r>
                    <w:rPr>
                      <w:color w:val="auto"/>
                      <w:spacing w:val="13"/>
                      <w:w w:val="101"/>
                      <w:sz w:val="21"/>
                      <w:szCs w:val="21"/>
                    </w:rPr>
                    <w:t xml:space="preserve"> </w:t>
                  </w:r>
                  <w:r>
                    <w:rPr>
                      <w:rFonts w:ascii="宋体" w:hAnsi="宋体" w:eastAsia="宋体" w:cs="宋体"/>
                      <w:color w:val="auto"/>
                      <w:spacing w:val="-2"/>
                      <w:sz w:val="21"/>
                      <w:szCs w:val="21"/>
                    </w:rPr>
                    <w:t>号</w:t>
                  </w:r>
                </w:p>
              </w:tc>
            </w:tr>
            <w:tr w14:paraId="5285A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4FD77F4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8"/>
                      <w:sz w:val="21"/>
                      <w:szCs w:val="21"/>
                    </w:rPr>
                    <w:t>11</w:t>
                  </w:r>
                </w:p>
              </w:tc>
              <w:tc>
                <w:tcPr>
                  <w:tcW w:w="961" w:type="dxa"/>
                  <w:vAlign w:val="center"/>
                </w:tcPr>
                <w:p w14:paraId="781E2B8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乐昌市金来得实业有限公司</w:t>
                  </w:r>
                </w:p>
              </w:tc>
              <w:tc>
                <w:tcPr>
                  <w:tcW w:w="600" w:type="dxa"/>
                  <w:vAlign w:val="center"/>
                </w:tcPr>
                <w:p w14:paraId="696D9DB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357C509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橡胶和塑料制品业、家具制造业</w:t>
                  </w:r>
                </w:p>
              </w:tc>
              <w:tc>
                <w:tcPr>
                  <w:tcW w:w="1140" w:type="dxa"/>
                  <w:vAlign w:val="center"/>
                </w:tcPr>
                <w:p w14:paraId="5FF2B40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23018.4</w:t>
                  </w:r>
                </w:p>
              </w:tc>
              <w:tc>
                <w:tcPr>
                  <w:tcW w:w="2053" w:type="dxa"/>
                  <w:vAlign w:val="center"/>
                </w:tcPr>
                <w:p w14:paraId="3C2BE8F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年产卫浴、衣柜</w:t>
                  </w:r>
                  <w:r>
                    <w:rPr>
                      <w:rFonts w:ascii="宋体" w:hAnsi="宋体" w:eastAsia="宋体" w:cs="宋体"/>
                      <w:color w:val="auto"/>
                      <w:spacing w:val="-28"/>
                      <w:sz w:val="21"/>
                      <w:szCs w:val="21"/>
                    </w:rPr>
                    <w:t xml:space="preserve"> </w:t>
                  </w:r>
                  <w:r>
                    <w:rPr>
                      <w:color w:val="auto"/>
                      <w:spacing w:val="-1"/>
                      <w:sz w:val="21"/>
                      <w:szCs w:val="21"/>
                    </w:rPr>
                    <w:t xml:space="preserve">1.6 </w:t>
                  </w:r>
                  <w:r>
                    <w:rPr>
                      <w:rFonts w:ascii="宋体" w:hAnsi="宋体" w:eastAsia="宋体" w:cs="宋体"/>
                      <w:color w:val="auto"/>
                      <w:spacing w:val="-1"/>
                      <w:sz w:val="21"/>
                      <w:szCs w:val="21"/>
                    </w:rPr>
                    <w:t>万套；聚乙烯高分子材料</w:t>
                  </w:r>
                  <w:r>
                    <w:rPr>
                      <w:rFonts w:ascii="宋体" w:hAnsi="宋体" w:eastAsia="宋体" w:cs="宋体"/>
                      <w:color w:val="auto"/>
                      <w:spacing w:val="-49"/>
                      <w:sz w:val="21"/>
                      <w:szCs w:val="21"/>
                    </w:rPr>
                    <w:t xml:space="preserve"> </w:t>
                  </w:r>
                  <w:r>
                    <w:rPr>
                      <w:color w:val="auto"/>
                      <w:spacing w:val="-1"/>
                      <w:sz w:val="21"/>
                      <w:szCs w:val="21"/>
                    </w:rPr>
                    <w:t xml:space="preserve">4.8 </w:t>
                  </w:r>
                  <w:r>
                    <w:rPr>
                      <w:rFonts w:ascii="宋体" w:hAnsi="宋体" w:eastAsia="宋体" w:cs="宋体"/>
                      <w:color w:val="auto"/>
                      <w:spacing w:val="-1"/>
                      <w:sz w:val="21"/>
                      <w:szCs w:val="21"/>
                    </w:rPr>
                    <w:t>万</w:t>
                  </w:r>
                  <w:r>
                    <w:rPr>
                      <w:rFonts w:ascii="宋体" w:hAnsi="宋体" w:eastAsia="宋体" w:cs="宋体"/>
                      <w:color w:val="auto"/>
                      <w:spacing w:val="-2"/>
                      <w:sz w:val="21"/>
                      <w:szCs w:val="21"/>
                    </w:rPr>
                    <w:t>立方米</w:t>
                  </w:r>
                </w:p>
              </w:tc>
              <w:tc>
                <w:tcPr>
                  <w:tcW w:w="1878" w:type="dxa"/>
                  <w:vAlign w:val="center"/>
                </w:tcPr>
                <w:p w14:paraId="7ADF2248">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3"/>
                      <w:sz w:val="21"/>
                      <w:szCs w:val="21"/>
                    </w:rPr>
                    <w:t>乐环审</w:t>
                  </w:r>
                  <w:r>
                    <w:rPr>
                      <w:color w:val="auto"/>
                      <w:spacing w:val="-13"/>
                      <w:sz w:val="21"/>
                      <w:szCs w:val="21"/>
                    </w:rPr>
                    <w:t>[</w:t>
                  </w:r>
                  <w:r>
                    <w:rPr>
                      <w:color w:val="auto"/>
                      <w:sz w:val="21"/>
                      <w:szCs w:val="21"/>
                    </w:rPr>
                    <w:fldChar w:fldCharType="begin"/>
                  </w:r>
                  <w:r>
                    <w:rPr>
                      <w:color w:val="auto"/>
                      <w:sz w:val="21"/>
                      <w:szCs w:val="21"/>
                    </w:rPr>
                    <w:instrText xml:space="preserve"> HYPERLINK \l "bookmark214" </w:instrText>
                  </w:r>
                  <w:r>
                    <w:rPr>
                      <w:color w:val="auto"/>
                      <w:sz w:val="21"/>
                      <w:szCs w:val="21"/>
                    </w:rPr>
                    <w:fldChar w:fldCharType="separate"/>
                  </w:r>
                  <w:r>
                    <w:rPr>
                      <w:color w:val="auto"/>
                      <w:spacing w:val="-13"/>
                      <w:sz w:val="21"/>
                      <w:szCs w:val="21"/>
                    </w:rPr>
                    <w:t>2018</w:t>
                  </w:r>
                  <w:r>
                    <w:rPr>
                      <w:color w:val="auto"/>
                      <w:spacing w:val="-13"/>
                      <w:sz w:val="21"/>
                      <w:szCs w:val="21"/>
                    </w:rPr>
                    <w:fldChar w:fldCharType="end"/>
                  </w:r>
                  <w:r>
                    <w:rPr>
                      <w:color w:val="auto"/>
                      <w:spacing w:val="-13"/>
                      <w:sz w:val="21"/>
                      <w:szCs w:val="21"/>
                    </w:rPr>
                    <w:t>]03</w:t>
                  </w:r>
                  <w:r>
                    <w:rPr>
                      <w:color w:val="auto"/>
                      <w:spacing w:val="30"/>
                      <w:sz w:val="21"/>
                      <w:szCs w:val="21"/>
                    </w:rPr>
                    <w:t xml:space="preserve"> </w:t>
                  </w:r>
                  <w:r>
                    <w:rPr>
                      <w:rFonts w:ascii="宋体" w:hAnsi="宋体" w:eastAsia="宋体" w:cs="宋体"/>
                      <w:color w:val="auto"/>
                      <w:spacing w:val="-13"/>
                      <w:sz w:val="21"/>
                      <w:szCs w:val="21"/>
                    </w:rPr>
                    <w:t>号、乐环审〔</w:t>
                  </w:r>
                  <w:r>
                    <w:rPr>
                      <w:color w:val="auto"/>
                      <w:spacing w:val="-13"/>
                      <w:sz w:val="21"/>
                      <w:szCs w:val="21"/>
                    </w:rPr>
                    <w:t>2020</w:t>
                  </w:r>
                  <w:r>
                    <w:rPr>
                      <w:rFonts w:ascii="宋体" w:hAnsi="宋体" w:eastAsia="宋体" w:cs="宋体"/>
                      <w:color w:val="auto"/>
                      <w:spacing w:val="-13"/>
                      <w:sz w:val="21"/>
                      <w:szCs w:val="21"/>
                    </w:rPr>
                    <w:t>〕</w:t>
                  </w:r>
                </w:p>
                <w:p w14:paraId="79B8B37B">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color w:val="auto"/>
                      <w:spacing w:val="-8"/>
                      <w:sz w:val="21"/>
                      <w:szCs w:val="21"/>
                    </w:rPr>
                    <w:t>14</w:t>
                  </w:r>
                  <w:r>
                    <w:rPr>
                      <w:color w:val="auto"/>
                      <w:spacing w:val="13"/>
                      <w:w w:val="101"/>
                      <w:sz w:val="21"/>
                      <w:szCs w:val="21"/>
                    </w:rPr>
                    <w:t xml:space="preserve"> </w:t>
                  </w:r>
                  <w:r>
                    <w:rPr>
                      <w:rFonts w:ascii="宋体" w:hAnsi="宋体" w:eastAsia="宋体" w:cs="宋体"/>
                      <w:color w:val="auto"/>
                      <w:spacing w:val="-8"/>
                      <w:sz w:val="21"/>
                      <w:szCs w:val="21"/>
                    </w:rPr>
                    <w:t>号</w:t>
                  </w:r>
                </w:p>
              </w:tc>
            </w:tr>
            <w:tr w14:paraId="425F0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4" w:hRule="atLeast"/>
                <w:jc w:val="center"/>
              </w:trPr>
              <w:tc>
                <w:tcPr>
                  <w:tcW w:w="311" w:type="dxa"/>
                  <w:vAlign w:val="center"/>
                </w:tcPr>
                <w:p w14:paraId="3EBE8AD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szCs w:val="21"/>
                    </w:rPr>
                  </w:pPr>
                </w:p>
                <w:p w14:paraId="3DC7DB8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6"/>
                      <w:sz w:val="21"/>
                      <w:szCs w:val="21"/>
                    </w:rPr>
                    <w:t>12</w:t>
                  </w:r>
                </w:p>
              </w:tc>
              <w:tc>
                <w:tcPr>
                  <w:tcW w:w="961" w:type="dxa"/>
                  <w:vAlign w:val="center"/>
                </w:tcPr>
                <w:p w14:paraId="0EC1BFA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广东沃府实业有限公司</w:t>
                  </w:r>
                </w:p>
              </w:tc>
              <w:tc>
                <w:tcPr>
                  <w:tcW w:w="600" w:type="dxa"/>
                  <w:vAlign w:val="center"/>
                </w:tcPr>
                <w:p w14:paraId="56640A1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792175A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橡胶和塑料制品</w:t>
                  </w:r>
                </w:p>
                <w:p w14:paraId="190CB43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业、废弃资源综合</w:t>
                  </w:r>
                </w:p>
                <w:p w14:paraId="0AF903A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利用业</w:t>
                  </w:r>
                </w:p>
              </w:tc>
              <w:tc>
                <w:tcPr>
                  <w:tcW w:w="1140" w:type="dxa"/>
                  <w:vAlign w:val="center"/>
                </w:tcPr>
                <w:p w14:paraId="6C62EC5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73337</w:t>
                  </w:r>
                </w:p>
              </w:tc>
              <w:tc>
                <w:tcPr>
                  <w:tcW w:w="2053" w:type="dxa"/>
                  <w:vAlign w:val="center"/>
                </w:tcPr>
                <w:p w14:paraId="4FD0C17C">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年产改性塑料</w:t>
                  </w:r>
                  <w:r>
                    <w:rPr>
                      <w:rFonts w:ascii="宋体" w:hAnsi="宋体" w:eastAsia="宋体" w:cs="宋体"/>
                      <w:color w:val="auto"/>
                      <w:spacing w:val="-23"/>
                      <w:sz w:val="21"/>
                      <w:szCs w:val="21"/>
                    </w:rPr>
                    <w:t xml:space="preserve"> </w:t>
                  </w:r>
                  <w:r>
                    <w:rPr>
                      <w:color w:val="auto"/>
                      <w:sz w:val="21"/>
                      <w:szCs w:val="21"/>
                    </w:rPr>
                    <w:t>10</w:t>
                  </w:r>
                  <w:r>
                    <w:rPr>
                      <w:color w:val="auto"/>
                      <w:spacing w:val="14"/>
                      <w:sz w:val="21"/>
                      <w:szCs w:val="21"/>
                    </w:rPr>
                    <w:t xml:space="preserve"> </w:t>
                  </w:r>
                  <w:r>
                    <w:rPr>
                      <w:rFonts w:ascii="宋体" w:hAnsi="宋体" w:eastAsia="宋体" w:cs="宋体"/>
                      <w:color w:val="auto"/>
                      <w:sz w:val="21"/>
                      <w:szCs w:val="21"/>
                    </w:rPr>
                    <w:t>万吨、家电塑料配件</w:t>
                  </w:r>
                  <w:r>
                    <w:rPr>
                      <w:color w:val="auto"/>
                      <w:sz w:val="21"/>
                      <w:szCs w:val="21"/>
                    </w:rPr>
                    <w:t>2000</w:t>
                  </w:r>
                  <w:r>
                    <w:rPr>
                      <w:color w:val="auto"/>
                      <w:spacing w:val="18"/>
                      <w:w w:val="101"/>
                      <w:sz w:val="21"/>
                      <w:szCs w:val="21"/>
                    </w:rPr>
                    <w:t xml:space="preserve"> </w:t>
                  </w:r>
                  <w:r>
                    <w:rPr>
                      <w:rFonts w:ascii="宋体" w:hAnsi="宋体" w:eastAsia="宋体" w:cs="宋体"/>
                      <w:color w:val="auto"/>
                      <w:sz w:val="21"/>
                      <w:szCs w:val="21"/>
                    </w:rPr>
                    <w:t>吨</w:t>
                  </w:r>
                </w:p>
              </w:tc>
              <w:tc>
                <w:tcPr>
                  <w:tcW w:w="1878" w:type="dxa"/>
                  <w:vAlign w:val="center"/>
                </w:tcPr>
                <w:p w14:paraId="194C8C2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韶环审</w:t>
                  </w:r>
                  <w:r>
                    <w:rPr>
                      <w:color w:val="auto"/>
                      <w:spacing w:val="-2"/>
                      <w:sz w:val="21"/>
                      <w:szCs w:val="21"/>
                    </w:rPr>
                    <w:t>[</w:t>
                  </w:r>
                  <w:r>
                    <w:rPr>
                      <w:color w:val="auto"/>
                      <w:sz w:val="21"/>
                      <w:szCs w:val="21"/>
                    </w:rPr>
                    <w:fldChar w:fldCharType="begin"/>
                  </w:r>
                  <w:r>
                    <w:rPr>
                      <w:color w:val="auto"/>
                      <w:sz w:val="21"/>
                      <w:szCs w:val="21"/>
                    </w:rPr>
                    <w:instrText xml:space="preserve"> HYPERLINK \l "bookmark215" </w:instrText>
                  </w:r>
                  <w:r>
                    <w:rPr>
                      <w:color w:val="auto"/>
                      <w:sz w:val="21"/>
                      <w:szCs w:val="21"/>
                    </w:rPr>
                    <w:fldChar w:fldCharType="separate"/>
                  </w:r>
                  <w:r>
                    <w:rPr>
                      <w:color w:val="auto"/>
                      <w:spacing w:val="-2"/>
                      <w:sz w:val="21"/>
                      <w:szCs w:val="21"/>
                    </w:rPr>
                    <w:t>2017</w:t>
                  </w:r>
                  <w:r>
                    <w:rPr>
                      <w:color w:val="auto"/>
                      <w:spacing w:val="-2"/>
                      <w:sz w:val="21"/>
                      <w:szCs w:val="21"/>
                    </w:rPr>
                    <w:fldChar w:fldCharType="end"/>
                  </w:r>
                  <w:r>
                    <w:rPr>
                      <w:color w:val="auto"/>
                      <w:spacing w:val="-2"/>
                      <w:sz w:val="21"/>
                      <w:szCs w:val="21"/>
                    </w:rPr>
                    <w:t>]</w:t>
                  </w:r>
                  <w:r>
                    <w:rPr>
                      <w:color w:val="auto"/>
                      <w:spacing w:val="-24"/>
                      <w:sz w:val="21"/>
                      <w:szCs w:val="21"/>
                    </w:rPr>
                    <w:t xml:space="preserve"> </w:t>
                  </w:r>
                  <w:r>
                    <w:rPr>
                      <w:color w:val="auto"/>
                      <w:spacing w:val="-2"/>
                      <w:sz w:val="21"/>
                      <w:szCs w:val="21"/>
                    </w:rPr>
                    <w:t xml:space="preserve">177 </w:t>
                  </w:r>
                  <w:r>
                    <w:rPr>
                      <w:rFonts w:ascii="宋体" w:hAnsi="宋体" w:eastAsia="宋体" w:cs="宋体"/>
                      <w:color w:val="auto"/>
                      <w:spacing w:val="-2"/>
                      <w:sz w:val="21"/>
                      <w:szCs w:val="21"/>
                    </w:rPr>
                    <w:t>号、乐环审</w:t>
                  </w:r>
                  <w:r>
                    <w:rPr>
                      <w:rFonts w:ascii="宋体" w:hAnsi="宋体" w:eastAsia="宋体" w:cs="宋体"/>
                      <w:color w:val="auto"/>
                      <w:spacing w:val="-8"/>
                      <w:sz w:val="21"/>
                      <w:szCs w:val="21"/>
                    </w:rPr>
                    <w:t>〔</w:t>
                  </w:r>
                  <w:r>
                    <w:rPr>
                      <w:color w:val="auto"/>
                      <w:spacing w:val="-8"/>
                      <w:sz w:val="21"/>
                      <w:szCs w:val="21"/>
                    </w:rPr>
                    <w:t>2021</w:t>
                  </w:r>
                  <w:r>
                    <w:rPr>
                      <w:rFonts w:ascii="宋体" w:hAnsi="宋体" w:eastAsia="宋体" w:cs="宋体"/>
                      <w:color w:val="auto"/>
                      <w:spacing w:val="-8"/>
                      <w:sz w:val="21"/>
                      <w:szCs w:val="21"/>
                    </w:rPr>
                    <w:t>〕</w:t>
                  </w:r>
                  <w:r>
                    <w:rPr>
                      <w:color w:val="auto"/>
                      <w:spacing w:val="-8"/>
                      <w:sz w:val="21"/>
                      <w:szCs w:val="21"/>
                    </w:rPr>
                    <w:t>05</w:t>
                  </w:r>
                  <w:r>
                    <w:rPr>
                      <w:color w:val="auto"/>
                      <w:spacing w:val="25"/>
                      <w:w w:val="101"/>
                      <w:sz w:val="21"/>
                      <w:szCs w:val="21"/>
                    </w:rPr>
                    <w:t xml:space="preserve"> </w:t>
                  </w:r>
                  <w:r>
                    <w:rPr>
                      <w:rFonts w:ascii="宋体" w:hAnsi="宋体" w:eastAsia="宋体" w:cs="宋体"/>
                      <w:color w:val="auto"/>
                      <w:spacing w:val="-8"/>
                      <w:sz w:val="21"/>
                      <w:szCs w:val="21"/>
                    </w:rPr>
                    <w:t>号、韶环乐审〔</w:t>
                  </w:r>
                  <w:r>
                    <w:rPr>
                      <w:color w:val="auto"/>
                      <w:spacing w:val="-8"/>
                      <w:sz w:val="21"/>
                      <w:szCs w:val="21"/>
                    </w:rPr>
                    <w:t>2025</w:t>
                  </w:r>
                  <w:r>
                    <w:rPr>
                      <w:rFonts w:ascii="宋体" w:hAnsi="宋体" w:eastAsia="宋体" w:cs="宋体"/>
                      <w:color w:val="auto"/>
                      <w:spacing w:val="-8"/>
                      <w:sz w:val="21"/>
                      <w:szCs w:val="21"/>
                    </w:rPr>
                    <w:t>〕</w:t>
                  </w:r>
                </w:p>
                <w:p w14:paraId="3B2E28A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color w:val="auto"/>
                      <w:spacing w:val="-8"/>
                      <w:sz w:val="21"/>
                      <w:szCs w:val="21"/>
                    </w:rPr>
                    <w:t>17</w:t>
                  </w:r>
                  <w:r>
                    <w:rPr>
                      <w:color w:val="auto"/>
                      <w:spacing w:val="13"/>
                      <w:w w:val="101"/>
                      <w:sz w:val="21"/>
                      <w:szCs w:val="21"/>
                    </w:rPr>
                    <w:t xml:space="preserve"> </w:t>
                  </w:r>
                  <w:r>
                    <w:rPr>
                      <w:rFonts w:ascii="宋体" w:hAnsi="宋体" w:eastAsia="宋体" w:cs="宋体"/>
                      <w:color w:val="auto"/>
                      <w:spacing w:val="-8"/>
                      <w:sz w:val="21"/>
                      <w:szCs w:val="21"/>
                    </w:rPr>
                    <w:t>号</w:t>
                  </w:r>
                </w:p>
              </w:tc>
            </w:tr>
            <w:tr w14:paraId="0FC03E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jc w:val="center"/>
              </w:trPr>
              <w:tc>
                <w:tcPr>
                  <w:tcW w:w="311" w:type="dxa"/>
                  <w:vAlign w:val="center"/>
                </w:tcPr>
                <w:p w14:paraId="219FCD9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szCs w:val="21"/>
                    </w:rPr>
                  </w:pPr>
                </w:p>
                <w:p w14:paraId="1346924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6"/>
                      <w:sz w:val="21"/>
                      <w:szCs w:val="21"/>
                    </w:rPr>
                    <w:t>13</w:t>
                  </w:r>
                </w:p>
              </w:tc>
              <w:tc>
                <w:tcPr>
                  <w:tcW w:w="961" w:type="dxa"/>
                  <w:vAlign w:val="center"/>
                </w:tcPr>
                <w:p w14:paraId="62D1755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韶关乐淇包装材料有限公司</w:t>
                  </w:r>
                </w:p>
              </w:tc>
              <w:tc>
                <w:tcPr>
                  <w:tcW w:w="600" w:type="dxa"/>
                  <w:vAlign w:val="center"/>
                </w:tcPr>
                <w:p w14:paraId="27F10CD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0323AE9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橡胶和塑料制品</w:t>
                  </w:r>
                </w:p>
                <w:p w14:paraId="6A3A678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业、废弃资源综合</w:t>
                  </w:r>
                </w:p>
                <w:p w14:paraId="5619221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利用业</w:t>
                  </w:r>
                </w:p>
              </w:tc>
              <w:tc>
                <w:tcPr>
                  <w:tcW w:w="1140" w:type="dxa"/>
                  <w:vAlign w:val="center"/>
                </w:tcPr>
                <w:p w14:paraId="63522CC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50991.9</w:t>
                  </w:r>
                </w:p>
              </w:tc>
              <w:tc>
                <w:tcPr>
                  <w:tcW w:w="2053" w:type="dxa"/>
                  <w:vAlign w:val="center"/>
                </w:tcPr>
                <w:p w14:paraId="0703DA87">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年产塑料新材料</w:t>
                  </w:r>
                  <w:r>
                    <w:rPr>
                      <w:rFonts w:ascii="宋体" w:hAnsi="宋体" w:eastAsia="宋体" w:cs="宋体"/>
                      <w:color w:val="auto"/>
                      <w:spacing w:val="-42"/>
                      <w:sz w:val="21"/>
                      <w:szCs w:val="21"/>
                    </w:rPr>
                    <w:t xml:space="preserve"> </w:t>
                  </w:r>
                  <w:r>
                    <w:rPr>
                      <w:color w:val="auto"/>
                      <w:spacing w:val="-2"/>
                      <w:sz w:val="21"/>
                      <w:szCs w:val="21"/>
                    </w:rPr>
                    <w:t>7.22</w:t>
                  </w:r>
                  <w:r>
                    <w:rPr>
                      <w:color w:val="auto"/>
                      <w:spacing w:val="13"/>
                      <w:w w:val="101"/>
                      <w:sz w:val="21"/>
                      <w:szCs w:val="21"/>
                    </w:rPr>
                    <w:t xml:space="preserve"> </w:t>
                  </w:r>
                  <w:r>
                    <w:rPr>
                      <w:rFonts w:ascii="宋体" w:hAnsi="宋体" w:eastAsia="宋体" w:cs="宋体"/>
                      <w:color w:val="auto"/>
                      <w:spacing w:val="-2"/>
                      <w:sz w:val="21"/>
                      <w:szCs w:val="21"/>
                    </w:rPr>
                    <w:t>万吨</w:t>
                  </w:r>
                </w:p>
              </w:tc>
              <w:tc>
                <w:tcPr>
                  <w:tcW w:w="1878" w:type="dxa"/>
                  <w:vAlign w:val="center"/>
                </w:tcPr>
                <w:p w14:paraId="27174CB9">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乐环审</w:t>
                  </w:r>
                  <w:r>
                    <w:rPr>
                      <w:color w:val="auto"/>
                      <w:spacing w:val="-2"/>
                      <w:sz w:val="21"/>
                      <w:szCs w:val="21"/>
                    </w:rPr>
                    <w:t>[</w:t>
                  </w:r>
                  <w:r>
                    <w:rPr>
                      <w:color w:val="auto"/>
                      <w:sz w:val="21"/>
                      <w:szCs w:val="21"/>
                    </w:rPr>
                    <w:fldChar w:fldCharType="begin"/>
                  </w:r>
                  <w:r>
                    <w:rPr>
                      <w:color w:val="auto"/>
                      <w:sz w:val="21"/>
                      <w:szCs w:val="21"/>
                    </w:rPr>
                    <w:instrText xml:space="preserve"> HYPERLINK \l "bookmark216" </w:instrText>
                  </w:r>
                  <w:r>
                    <w:rPr>
                      <w:color w:val="auto"/>
                      <w:sz w:val="21"/>
                      <w:szCs w:val="21"/>
                    </w:rPr>
                    <w:fldChar w:fldCharType="separate"/>
                  </w:r>
                  <w:r>
                    <w:rPr>
                      <w:color w:val="auto"/>
                      <w:spacing w:val="-2"/>
                      <w:sz w:val="21"/>
                      <w:szCs w:val="21"/>
                    </w:rPr>
                    <w:t>2018</w:t>
                  </w:r>
                  <w:r>
                    <w:rPr>
                      <w:color w:val="auto"/>
                      <w:spacing w:val="-2"/>
                      <w:sz w:val="21"/>
                      <w:szCs w:val="21"/>
                    </w:rPr>
                    <w:fldChar w:fldCharType="end"/>
                  </w:r>
                  <w:r>
                    <w:rPr>
                      <w:color w:val="auto"/>
                      <w:spacing w:val="-2"/>
                      <w:sz w:val="21"/>
                      <w:szCs w:val="21"/>
                    </w:rPr>
                    <w:t>]04</w:t>
                  </w:r>
                  <w:r>
                    <w:rPr>
                      <w:color w:val="auto"/>
                      <w:spacing w:val="24"/>
                      <w:sz w:val="21"/>
                      <w:szCs w:val="21"/>
                    </w:rPr>
                    <w:t xml:space="preserve"> </w:t>
                  </w:r>
                  <w:r>
                    <w:rPr>
                      <w:rFonts w:ascii="宋体" w:hAnsi="宋体" w:eastAsia="宋体" w:cs="宋体"/>
                      <w:color w:val="auto"/>
                      <w:spacing w:val="-2"/>
                      <w:sz w:val="21"/>
                      <w:szCs w:val="21"/>
                    </w:rPr>
                    <w:t>号</w:t>
                  </w:r>
                </w:p>
              </w:tc>
            </w:tr>
            <w:tr w14:paraId="040727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311" w:type="dxa"/>
                  <w:vAlign w:val="center"/>
                </w:tcPr>
                <w:p w14:paraId="450E84A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6"/>
                      <w:sz w:val="21"/>
                      <w:szCs w:val="21"/>
                    </w:rPr>
                    <w:t>14</w:t>
                  </w:r>
                </w:p>
              </w:tc>
              <w:tc>
                <w:tcPr>
                  <w:tcW w:w="961" w:type="dxa"/>
                  <w:vAlign w:val="center"/>
                </w:tcPr>
                <w:p w14:paraId="1185EA4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乐昌市华国艺术装饰建材有</w:t>
                  </w:r>
                </w:p>
                <w:p w14:paraId="580337A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5"/>
                      <w:sz w:val="21"/>
                      <w:szCs w:val="21"/>
                    </w:rPr>
                    <w:t>限公司</w:t>
                  </w:r>
                </w:p>
              </w:tc>
              <w:tc>
                <w:tcPr>
                  <w:tcW w:w="600" w:type="dxa"/>
                  <w:vAlign w:val="center"/>
                </w:tcPr>
                <w:p w14:paraId="4737CBE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58EABD3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橡胶和塑料制品业</w:t>
                  </w:r>
                </w:p>
              </w:tc>
              <w:tc>
                <w:tcPr>
                  <w:tcW w:w="1140" w:type="dxa"/>
                  <w:vAlign w:val="center"/>
                </w:tcPr>
                <w:p w14:paraId="1A6FA1AA">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27375.05</w:t>
                  </w:r>
                </w:p>
              </w:tc>
              <w:tc>
                <w:tcPr>
                  <w:tcW w:w="2053" w:type="dxa"/>
                  <w:vAlign w:val="center"/>
                </w:tcPr>
                <w:p w14:paraId="73DE1B2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w:t>
                  </w:r>
                  <w:r>
                    <w:rPr>
                      <w:rFonts w:ascii="宋体" w:hAnsi="宋体" w:eastAsia="宋体" w:cs="宋体"/>
                      <w:color w:val="auto"/>
                      <w:spacing w:val="-51"/>
                      <w:sz w:val="21"/>
                      <w:szCs w:val="21"/>
                    </w:rPr>
                    <w:t xml:space="preserve"> </w:t>
                  </w:r>
                  <w:r>
                    <w:rPr>
                      <w:color w:val="auto"/>
                      <w:spacing w:val="-2"/>
                      <w:sz w:val="21"/>
                      <w:szCs w:val="21"/>
                    </w:rPr>
                    <w:t xml:space="preserve">PU </w:t>
                  </w:r>
                  <w:r>
                    <w:rPr>
                      <w:rFonts w:ascii="宋体" w:hAnsi="宋体" w:eastAsia="宋体" w:cs="宋体"/>
                      <w:color w:val="auto"/>
                      <w:spacing w:val="-2"/>
                      <w:sz w:val="21"/>
                      <w:szCs w:val="21"/>
                    </w:rPr>
                    <w:t>装饰线条</w:t>
                  </w:r>
                  <w:r>
                    <w:rPr>
                      <w:rFonts w:ascii="宋体" w:hAnsi="宋体" w:eastAsia="宋体" w:cs="宋体"/>
                      <w:color w:val="auto"/>
                      <w:spacing w:val="-30"/>
                      <w:sz w:val="21"/>
                      <w:szCs w:val="21"/>
                    </w:rPr>
                    <w:t xml:space="preserve"> </w:t>
                  </w:r>
                  <w:r>
                    <w:rPr>
                      <w:color w:val="auto"/>
                      <w:spacing w:val="-2"/>
                      <w:sz w:val="21"/>
                      <w:szCs w:val="21"/>
                    </w:rPr>
                    <w:t>1500</w:t>
                  </w:r>
                  <w:r>
                    <w:rPr>
                      <w:color w:val="auto"/>
                      <w:spacing w:val="19"/>
                      <w:sz w:val="21"/>
                      <w:szCs w:val="21"/>
                    </w:rPr>
                    <w:t xml:space="preserve"> </w:t>
                  </w:r>
                  <w:r>
                    <w:rPr>
                      <w:rFonts w:ascii="宋体" w:hAnsi="宋体" w:eastAsia="宋体" w:cs="宋体"/>
                      <w:color w:val="auto"/>
                      <w:spacing w:val="-2"/>
                      <w:sz w:val="21"/>
                      <w:szCs w:val="21"/>
                    </w:rPr>
                    <w:t>吨、聚氨酯装饰制品</w:t>
                  </w:r>
                  <w:r>
                    <w:rPr>
                      <w:rFonts w:ascii="宋体" w:hAnsi="宋体" w:eastAsia="宋体" w:cs="宋体"/>
                      <w:color w:val="auto"/>
                      <w:spacing w:val="-48"/>
                      <w:sz w:val="21"/>
                      <w:szCs w:val="21"/>
                    </w:rPr>
                    <w:t xml:space="preserve"> </w:t>
                  </w:r>
                  <w:r>
                    <w:rPr>
                      <w:color w:val="auto"/>
                      <w:spacing w:val="-2"/>
                      <w:sz w:val="21"/>
                      <w:szCs w:val="21"/>
                    </w:rPr>
                    <w:t>2</w:t>
                  </w:r>
                  <w:r>
                    <w:rPr>
                      <w:color w:val="auto"/>
                      <w:spacing w:val="-3"/>
                      <w:sz w:val="21"/>
                      <w:szCs w:val="21"/>
                    </w:rPr>
                    <w:t>50</w:t>
                  </w:r>
                  <w:r>
                    <w:rPr>
                      <w:color w:val="auto"/>
                      <w:spacing w:val="18"/>
                      <w:w w:val="101"/>
                      <w:sz w:val="21"/>
                      <w:szCs w:val="21"/>
                    </w:rPr>
                    <w:t xml:space="preserve"> </w:t>
                  </w:r>
                  <w:r>
                    <w:rPr>
                      <w:rFonts w:ascii="宋体" w:hAnsi="宋体" w:eastAsia="宋体" w:cs="宋体"/>
                      <w:color w:val="auto"/>
                      <w:spacing w:val="-3"/>
                      <w:sz w:val="21"/>
                      <w:szCs w:val="21"/>
                    </w:rPr>
                    <w:t>吨</w:t>
                  </w:r>
                </w:p>
              </w:tc>
              <w:tc>
                <w:tcPr>
                  <w:tcW w:w="1878" w:type="dxa"/>
                  <w:vAlign w:val="center"/>
                </w:tcPr>
                <w:p w14:paraId="7F750E9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乐环审</w:t>
                  </w:r>
                  <w:r>
                    <w:rPr>
                      <w:color w:val="auto"/>
                      <w:spacing w:val="-2"/>
                      <w:sz w:val="21"/>
                      <w:szCs w:val="21"/>
                    </w:rPr>
                    <w:t>[</w:t>
                  </w:r>
                  <w:r>
                    <w:rPr>
                      <w:color w:val="auto"/>
                      <w:sz w:val="21"/>
                      <w:szCs w:val="21"/>
                    </w:rPr>
                    <w:fldChar w:fldCharType="begin"/>
                  </w:r>
                  <w:r>
                    <w:rPr>
                      <w:color w:val="auto"/>
                      <w:sz w:val="21"/>
                      <w:szCs w:val="21"/>
                    </w:rPr>
                    <w:instrText xml:space="preserve"> HYPERLINK \l "bookmark217" </w:instrText>
                  </w:r>
                  <w:r>
                    <w:rPr>
                      <w:color w:val="auto"/>
                      <w:sz w:val="21"/>
                      <w:szCs w:val="21"/>
                    </w:rPr>
                    <w:fldChar w:fldCharType="separate"/>
                  </w:r>
                  <w:r>
                    <w:rPr>
                      <w:color w:val="auto"/>
                      <w:spacing w:val="-2"/>
                      <w:sz w:val="21"/>
                      <w:szCs w:val="21"/>
                    </w:rPr>
                    <w:t>2017</w:t>
                  </w:r>
                  <w:r>
                    <w:rPr>
                      <w:color w:val="auto"/>
                      <w:spacing w:val="-2"/>
                      <w:sz w:val="21"/>
                      <w:szCs w:val="21"/>
                    </w:rPr>
                    <w:fldChar w:fldCharType="end"/>
                  </w:r>
                  <w:r>
                    <w:rPr>
                      <w:color w:val="auto"/>
                      <w:spacing w:val="-2"/>
                      <w:sz w:val="21"/>
                      <w:szCs w:val="21"/>
                    </w:rPr>
                    <w:t>]35</w:t>
                  </w:r>
                  <w:r>
                    <w:rPr>
                      <w:color w:val="auto"/>
                      <w:spacing w:val="24"/>
                      <w:sz w:val="21"/>
                      <w:szCs w:val="21"/>
                    </w:rPr>
                    <w:t xml:space="preserve"> </w:t>
                  </w:r>
                  <w:r>
                    <w:rPr>
                      <w:rFonts w:ascii="宋体" w:hAnsi="宋体" w:eastAsia="宋体" w:cs="宋体"/>
                      <w:color w:val="auto"/>
                      <w:spacing w:val="-2"/>
                      <w:sz w:val="21"/>
                      <w:szCs w:val="21"/>
                    </w:rPr>
                    <w:t>号</w:t>
                  </w:r>
                </w:p>
              </w:tc>
            </w:tr>
            <w:tr w14:paraId="3CDA4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311" w:type="dxa"/>
                  <w:vAlign w:val="center"/>
                </w:tcPr>
                <w:p w14:paraId="7DE7A56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6"/>
                      <w:sz w:val="21"/>
                      <w:szCs w:val="21"/>
                    </w:rPr>
                    <w:t>15</w:t>
                  </w:r>
                </w:p>
              </w:tc>
              <w:tc>
                <w:tcPr>
                  <w:tcW w:w="961" w:type="dxa"/>
                  <w:vAlign w:val="center"/>
                </w:tcPr>
                <w:p w14:paraId="4224E26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6"/>
                      <w:sz w:val="21"/>
                      <w:szCs w:val="21"/>
                    </w:rPr>
                    <w:t>汇隽新材料科技（乐昌）有限</w:t>
                  </w:r>
                </w:p>
                <w:p w14:paraId="2B94B4A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公司</w:t>
                  </w:r>
                </w:p>
              </w:tc>
              <w:tc>
                <w:tcPr>
                  <w:tcW w:w="600" w:type="dxa"/>
                  <w:vAlign w:val="center"/>
                </w:tcPr>
                <w:p w14:paraId="024A768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58E7FD5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橡胶和塑料制品业</w:t>
                  </w:r>
                </w:p>
              </w:tc>
              <w:tc>
                <w:tcPr>
                  <w:tcW w:w="1140" w:type="dxa"/>
                  <w:vAlign w:val="center"/>
                </w:tcPr>
                <w:p w14:paraId="76F77558">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7349.3</w:t>
                  </w:r>
                </w:p>
              </w:tc>
              <w:tc>
                <w:tcPr>
                  <w:tcW w:w="2053" w:type="dxa"/>
                  <w:vAlign w:val="center"/>
                </w:tcPr>
                <w:p w14:paraId="1A5AF032">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w:t>
                  </w:r>
                  <w:r>
                    <w:rPr>
                      <w:rFonts w:ascii="宋体" w:hAnsi="宋体" w:eastAsia="宋体" w:cs="宋体"/>
                      <w:color w:val="auto"/>
                      <w:spacing w:val="-37"/>
                      <w:sz w:val="21"/>
                      <w:szCs w:val="21"/>
                    </w:rPr>
                    <w:t xml:space="preserve"> </w:t>
                  </w:r>
                  <w:r>
                    <w:rPr>
                      <w:color w:val="auto"/>
                      <w:spacing w:val="-2"/>
                      <w:sz w:val="21"/>
                      <w:szCs w:val="21"/>
                    </w:rPr>
                    <w:t xml:space="preserve">PU </w:t>
                  </w:r>
                  <w:r>
                    <w:rPr>
                      <w:rFonts w:ascii="宋体" w:hAnsi="宋体" w:eastAsia="宋体" w:cs="宋体"/>
                      <w:color w:val="auto"/>
                      <w:spacing w:val="-2"/>
                      <w:sz w:val="21"/>
                      <w:szCs w:val="21"/>
                    </w:rPr>
                    <w:t>装饰线条</w:t>
                  </w:r>
                  <w:r>
                    <w:rPr>
                      <w:rFonts w:ascii="宋体" w:hAnsi="宋体" w:eastAsia="宋体" w:cs="宋体"/>
                      <w:color w:val="auto"/>
                      <w:spacing w:val="-47"/>
                      <w:sz w:val="21"/>
                      <w:szCs w:val="21"/>
                    </w:rPr>
                    <w:t xml:space="preserve"> </w:t>
                  </w:r>
                  <w:r>
                    <w:rPr>
                      <w:color w:val="auto"/>
                      <w:spacing w:val="-2"/>
                      <w:sz w:val="21"/>
                      <w:szCs w:val="21"/>
                    </w:rPr>
                    <w:t>750</w:t>
                  </w:r>
                  <w:r>
                    <w:rPr>
                      <w:color w:val="auto"/>
                      <w:spacing w:val="16"/>
                      <w:sz w:val="21"/>
                      <w:szCs w:val="21"/>
                    </w:rPr>
                    <w:t xml:space="preserve"> </w:t>
                  </w:r>
                  <w:r>
                    <w:rPr>
                      <w:rFonts w:ascii="宋体" w:hAnsi="宋体" w:eastAsia="宋体" w:cs="宋体"/>
                      <w:color w:val="auto"/>
                      <w:spacing w:val="-2"/>
                      <w:sz w:val="21"/>
                      <w:szCs w:val="21"/>
                    </w:rPr>
                    <w:t>吨、聚氨酯装饰制品</w:t>
                  </w:r>
                  <w:r>
                    <w:rPr>
                      <w:rFonts w:ascii="宋体" w:hAnsi="宋体" w:eastAsia="宋体" w:cs="宋体"/>
                      <w:color w:val="auto"/>
                      <w:spacing w:val="-48"/>
                      <w:sz w:val="21"/>
                      <w:szCs w:val="21"/>
                    </w:rPr>
                    <w:t xml:space="preserve"> </w:t>
                  </w:r>
                  <w:r>
                    <w:rPr>
                      <w:color w:val="auto"/>
                      <w:spacing w:val="-2"/>
                      <w:sz w:val="21"/>
                      <w:szCs w:val="21"/>
                    </w:rPr>
                    <w:t>250</w:t>
                  </w:r>
                  <w:r>
                    <w:rPr>
                      <w:color w:val="auto"/>
                      <w:spacing w:val="19"/>
                      <w:sz w:val="21"/>
                      <w:szCs w:val="21"/>
                    </w:rPr>
                    <w:t xml:space="preserve"> </w:t>
                  </w:r>
                  <w:r>
                    <w:rPr>
                      <w:rFonts w:ascii="宋体" w:hAnsi="宋体" w:eastAsia="宋体" w:cs="宋体"/>
                      <w:color w:val="auto"/>
                      <w:spacing w:val="-2"/>
                      <w:sz w:val="21"/>
                      <w:szCs w:val="21"/>
                    </w:rPr>
                    <w:t>吨</w:t>
                  </w:r>
                </w:p>
              </w:tc>
              <w:tc>
                <w:tcPr>
                  <w:tcW w:w="1878" w:type="dxa"/>
                  <w:vAlign w:val="center"/>
                </w:tcPr>
                <w:p w14:paraId="7690D667">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乐环审</w:t>
                  </w:r>
                  <w:r>
                    <w:rPr>
                      <w:color w:val="auto"/>
                      <w:spacing w:val="-4"/>
                      <w:sz w:val="21"/>
                      <w:szCs w:val="21"/>
                    </w:rPr>
                    <w:t>[</w:t>
                  </w:r>
                  <w:r>
                    <w:rPr>
                      <w:color w:val="auto"/>
                      <w:sz w:val="21"/>
                      <w:szCs w:val="21"/>
                    </w:rPr>
                    <w:fldChar w:fldCharType="begin"/>
                  </w:r>
                  <w:r>
                    <w:rPr>
                      <w:color w:val="auto"/>
                      <w:sz w:val="21"/>
                      <w:szCs w:val="21"/>
                    </w:rPr>
                    <w:instrText xml:space="preserve"> HYPERLINK \l "bookmark218" </w:instrText>
                  </w:r>
                  <w:r>
                    <w:rPr>
                      <w:color w:val="auto"/>
                      <w:sz w:val="21"/>
                      <w:szCs w:val="21"/>
                    </w:rPr>
                    <w:fldChar w:fldCharType="separate"/>
                  </w:r>
                  <w:r>
                    <w:rPr>
                      <w:color w:val="auto"/>
                      <w:spacing w:val="-4"/>
                      <w:sz w:val="21"/>
                      <w:szCs w:val="21"/>
                    </w:rPr>
                    <w:t>2018</w:t>
                  </w:r>
                  <w:r>
                    <w:rPr>
                      <w:color w:val="auto"/>
                      <w:spacing w:val="-4"/>
                      <w:sz w:val="21"/>
                      <w:szCs w:val="21"/>
                    </w:rPr>
                    <w:fldChar w:fldCharType="end"/>
                  </w:r>
                  <w:r>
                    <w:rPr>
                      <w:color w:val="auto"/>
                      <w:spacing w:val="-4"/>
                      <w:sz w:val="21"/>
                      <w:szCs w:val="21"/>
                    </w:rPr>
                    <w:t>]</w:t>
                  </w:r>
                  <w:r>
                    <w:rPr>
                      <w:color w:val="auto"/>
                      <w:spacing w:val="-19"/>
                      <w:sz w:val="21"/>
                      <w:szCs w:val="21"/>
                    </w:rPr>
                    <w:t xml:space="preserve"> </w:t>
                  </w:r>
                  <w:r>
                    <w:rPr>
                      <w:color w:val="auto"/>
                      <w:spacing w:val="-4"/>
                      <w:sz w:val="21"/>
                      <w:szCs w:val="21"/>
                    </w:rPr>
                    <w:t>13</w:t>
                  </w:r>
                  <w:r>
                    <w:rPr>
                      <w:color w:val="auto"/>
                      <w:spacing w:val="14"/>
                      <w:w w:val="101"/>
                      <w:sz w:val="21"/>
                      <w:szCs w:val="21"/>
                    </w:rPr>
                    <w:t xml:space="preserve"> </w:t>
                  </w:r>
                  <w:r>
                    <w:rPr>
                      <w:rFonts w:ascii="宋体" w:hAnsi="宋体" w:eastAsia="宋体" w:cs="宋体"/>
                      <w:color w:val="auto"/>
                      <w:spacing w:val="-4"/>
                      <w:sz w:val="21"/>
                      <w:szCs w:val="21"/>
                    </w:rPr>
                    <w:t>号</w:t>
                  </w:r>
                </w:p>
              </w:tc>
            </w:tr>
            <w:tr w14:paraId="20524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311" w:type="dxa"/>
                  <w:vAlign w:val="center"/>
                </w:tcPr>
                <w:p w14:paraId="7249E599">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6"/>
                      <w:sz w:val="21"/>
                      <w:szCs w:val="21"/>
                    </w:rPr>
                    <w:t>16</w:t>
                  </w:r>
                </w:p>
              </w:tc>
              <w:tc>
                <w:tcPr>
                  <w:tcW w:w="961" w:type="dxa"/>
                  <w:vAlign w:val="center"/>
                </w:tcPr>
                <w:p w14:paraId="085CF14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广东宝创环保新材料制品有</w:t>
                  </w:r>
                </w:p>
                <w:p w14:paraId="6F47B04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5"/>
                      <w:sz w:val="21"/>
                      <w:szCs w:val="21"/>
                    </w:rPr>
                    <w:t>限公司</w:t>
                  </w:r>
                </w:p>
              </w:tc>
              <w:tc>
                <w:tcPr>
                  <w:tcW w:w="600" w:type="dxa"/>
                  <w:vAlign w:val="center"/>
                </w:tcPr>
                <w:p w14:paraId="6078C59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61C2DC9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纺织业</w:t>
                  </w:r>
                </w:p>
              </w:tc>
              <w:tc>
                <w:tcPr>
                  <w:tcW w:w="1140" w:type="dxa"/>
                  <w:vAlign w:val="center"/>
                </w:tcPr>
                <w:p w14:paraId="4A42E5C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32671.2</w:t>
                  </w:r>
                </w:p>
              </w:tc>
              <w:tc>
                <w:tcPr>
                  <w:tcW w:w="2053" w:type="dxa"/>
                  <w:vAlign w:val="center"/>
                </w:tcPr>
                <w:p w14:paraId="1EE0FED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rFonts w:ascii="宋体" w:hAnsi="宋体" w:eastAsia="宋体" w:cs="宋体"/>
                      <w:color w:val="auto"/>
                      <w:spacing w:val="-4"/>
                      <w:sz w:val="21"/>
                      <w:szCs w:val="21"/>
                    </w:rPr>
                    <w:t>年产热轧无纺布</w:t>
                  </w:r>
                  <w:r>
                    <w:rPr>
                      <w:rFonts w:ascii="宋体" w:hAnsi="宋体" w:eastAsia="宋体" w:cs="宋体"/>
                      <w:color w:val="auto"/>
                      <w:spacing w:val="-48"/>
                      <w:sz w:val="21"/>
                      <w:szCs w:val="21"/>
                    </w:rPr>
                    <w:t xml:space="preserve"> </w:t>
                  </w:r>
                  <w:r>
                    <w:rPr>
                      <w:color w:val="auto"/>
                      <w:spacing w:val="-4"/>
                      <w:sz w:val="21"/>
                      <w:szCs w:val="21"/>
                    </w:rPr>
                    <w:t>2800</w:t>
                  </w:r>
                  <w:r>
                    <w:rPr>
                      <w:color w:val="auto"/>
                      <w:spacing w:val="19"/>
                      <w:sz w:val="21"/>
                      <w:szCs w:val="21"/>
                    </w:rPr>
                    <w:t xml:space="preserve"> </w:t>
                  </w:r>
                  <w:r>
                    <w:rPr>
                      <w:rFonts w:ascii="宋体" w:hAnsi="宋体" w:eastAsia="宋体" w:cs="宋体"/>
                      <w:color w:val="auto"/>
                      <w:spacing w:val="-4"/>
                      <w:sz w:val="21"/>
                      <w:szCs w:val="21"/>
                    </w:rPr>
                    <w:t>吨、口罩</w:t>
                  </w:r>
                  <w:r>
                    <w:rPr>
                      <w:rFonts w:ascii="宋体" w:hAnsi="宋体" w:eastAsia="宋体" w:cs="宋体"/>
                      <w:color w:val="auto"/>
                      <w:spacing w:val="-44"/>
                      <w:sz w:val="21"/>
                      <w:szCs w:val="21"/>
                    </w:rPr>
                    <w:t xml:space="preserve"> </w:t>
                  </w:r>
                  <w:r>
                    <w:rPr>
                      <w:color w:val="auto"/>
                      <w:spacing w:val="-4"/>
                      <w:sz w:val="21"/>
                      <w:szCs w:val="21"/>
                    </w:rPr>
                    <w:t xml:space="preserve">30000 </w:t>
                  </w:r>
                  <w:r>
                    <w:rPr>
                      <w:rFonts w:ascii="宋体" w:hAnsi="宋体" w:eastAsia="宋体" w:cs="宋体"/>
                      <w:color w:val="auto"/>
                      <w:spacing w:val="-4"/>
                      <w:sz w:val="21"/>
                      <w:szCs w:val="21"/>
                    </w:rPr>
                    <w:t>万片、纺粘熔喷</w:t>
                  </w:r>
                  <w:r>
                    <w:rPr>
                      <w:rFonts w:ascii="宋体" w:hAnsi="宋体" w:eastAsia="宋体" w:cs="宋体"/>
                      <w:color w:val="auto"/>
                      <w:spacing w:val="-5"/>
                      <w:sz w:val="21"/>
                      <w:szCs w:val="21"/>
                    </w:rPr>
                    <w:t>无纺布</w:t>
                  </w:r>
                  <w:r>
                    <w:rPr>
                      <w:color w:val="auto"/>
                      <w:spacing w:val="-9"/>
                      <w:sz w:val="21"/>
                      <w:szCs w:val="21"/>
                    </w:rPr>
                    <w:t>7440</w:t>
                  </w:r>
                  <w:r>
                    <w:rPr>
                      <w:color w:val="auto"/>
                      <w:spacing w:val="23"/>
                      <w:w w:val="101"/>
                      <w:sz w:val="21"/>
                      <w:szCs w:val="21"/>
                    </w:rPr>
                    <w:t xml:space="preserve"> </w:t>
                  </w:r>
                  <w:r>
                    <w:rPr>
                      <w:rFonts w:ascii="宋体" w:hAnsi="宋体" w:eastAsia="宋体" w:cs="宋体"/>
                      <w:color w:val="auto"/>
                      <w:spacing w:val="-9"/>
                      <w:sz w:val="21"/>
                      <w:szCs w:val="21"/>
                    </w:rPr>
                    <w:t>吨、衬布</w:t>
                  </w:r>
                  <w:r>
                    <w:rPr>
                      <w:rFonts w:ascii="宋体" w:hAnsi="宋体" w:eastAsia="宋体" w:cs="宋体"/>
                      <w:color w:val="auto"/>
                      <w:spacing w:val="-42"/>
                      <w:sz w:val="21"/>
                      <w:szCs w:val="21"/>
                    </w:rPr>
                    <w:t xml:space="preserve"> </w:t>
                  </w:r>
                  <w:r>
                    <w:rPr>
                      <w:color w:val="auto"/>
                      <w:spacing w:val="-9"/>
                      <w:sz w:val="21"/>
                      <w:szCs w:val="21"/>
                    </w:rPr>
                    <w:t>5720</w:t>
                  </w:r>
                  <w:r>
                    <w:rPr>
                      <w:color w:val="auto"/>
                      <w:spacing w:val="11"/>
                      <w:sz w:val="21"/>
                      <w:szCs w:val="21"/>
                    </w:rPr>
                    <w:t xml:space="preserve"> </w:t>
                  </w:r>
                  <w:r>
                    <w:rPr>
                      <w:rFonts w:ascii="宋体" w:hAnsi="宋体" w:eastAsia="宋体" w:cs="宋体"/>
                      <w:color w:val="auto"/>
                      <w:spacing w:val="-9"/>
                      <w:sz w:val="21"/>
                      <w:szCs w:val="21"/>
                    </w:rPr>
                    <w:t>万米、热风无纺布</w:t>
                  </w:r>
                  <w:r>
                    <w:rPr>
                      <w:rFonts w:ascii="宋体" w:hAnsi="宋体" w:eastAsia="宋体" w:cs="宋体"/>
                      <w:color w:val="auto"/>
                      <w:spacing w:val="-39"/>
                      <w:sz w:val="21"/>
                      <w:szCs w:val="21"/>
                    </w:rPr>
                    <w:t xml:space="preserve"> </w:t>
                  </w:r>
                  <w:r>
                    <w:rPr>
                      <w:color w:val="auto"/>
                      <w:spacing w:val="-9"/>
                      <w:sz w:val="21"/>
                      <w:szCs w:val="21"/>
                    </w:rPr>
                    <w:t>860</w:t>
                  </w:r>
                  <w:r>
                    <w:rPr>
                      <w:color w:val="auto"/>
                      <w:spacing w:val="16"/>
                      <w:sz w:val="21"/>
                      <w:szCs w:val="21"/>
                    </w:rPr>
                    <w:t xml:space="preserve"> </w:t>
                  </w:r>
                  <w:r>
                    <w:rPr>
                      <w:rFonts w:ascii="宋体" w:hAnsi="宋体" w:eastAsia="宋体" w:cs="宋体"/>
                      <w:color w:val="auto"/>
                      <w:spacing w:val="-9"/>
                      <w:sz w:val="21"/>
                      <w:szCs w:val="21"/>
                    </w:rPr>
                    <w:t>吨、复合芯体</w:t>
                  </w:r>
                  <w:r>
                    <w:rPr>
                      <w:rFonts w:ascii="宋体" w:hAnsi="宋体" w:eastAsia="宋体" w:cs="宋体"/>
                      <w:color w:val="auto"/>
                      <w:spacing w:val="-28"/>
                      <w:sz w:val="21"/>
                      <w:szCs w:val="21"/>
                    </w:rPr>
                    <w:t xml:space="preserve"> </w:t>
                  </w:r>
                  <w:r>
                    <w:rPr>
                      <w:color w:val="auto"/>
                      <w:spacing w:val="-9"/>
                      <w:sz w:val="21"/>
                      <w:szCs w:val="21"/>
                    </w:rPr>
                    <w:t>1430</w:t>
                  </w:r>
                  <w:r>
                    <w:rPr>
                      <w:rFonts w:ascii="宋体" w:hAnsi="宋体" w:eastAsia="宋体" w:cs="宋体"/>
                      <w:color w:val="auto"/>
                      <w:spacing w:val="-3"/>
                      <w:sz w:val="21"/>
                      <w:szCs w:val="21"/>
                    </w:rPr>
                    <w:t>吨、湿巾</w:t>
                  </w:r>
                  <w:r>
                    <w:rPr>
                      <w:rFonts w:ascii="宋体" w:hAnsi="宋体" w:eastAsia="宋体" w:cs="宋体"/>
                      <w:color w:val="auto"/>
                      <w:spacing w:val="-44"/>
                      <w:sz w:val="21"/>
                      <w:szCs w:val="21"/>
                    </w:rPr>
                    <w:t xml:space="preserve"> </w:t>
                  </w:r>
                  <w:r>
                    <w:rPr>
                      <w:color w:val="auto"/>
                      <w:spacing w:val="-3"/>
                      <w:sz w:val="21"/>
                      <w:szCs w:val="21"/>
                    </w:rPr>
                    <w:t>360</w:t>
                  </w:r>
                  <w:r>
                    <w:rPr>
                      <w:color w:val="auto"/>
                      <w:spacing w:val="13"/>
                      <w:w w:val="101"/>
                      <w:sz w:val="21"/>
                      <w:szCs w:val="21"/>
                    </w:rPr>
                    <w:t xml:space="preserve"> </w:t>
                  </w:r>
                  <w:r>
                    <w:rPr>
                      <w:rFonts w:ascii="宋体" w:hAnsi="宋体" w:eastAsia="宋体" w:cs="宋体"/>
                      <w:color w:val="auto"/>
                      <w:spacing w:val="-3"/>
                      <w:sz w:val="21"/>
                      <w:szCs w:val="21"/>
                    </w:rPr>
                    <w:t>万包、熔喷无纺布</w:t>
                  </w:r>
                  <w:r>
                    <w:rPr>
                      <w:rFonts w:ascii="宋体" w:hAnsi="宋体" w:eastAsia="宋体" w:cs="宋体"/>
                      <w:color w:val="auto"/>
                      <w:spacing w:val="-27"/>
                      <w:sz w:val="21"/>
                      <w:szCs w:val="21"/>
                    </w:rPr>
                    <w:t xml:space="preserve"> </w:t>
                  </w:r>
                  <w:r>
                    <w:rPr>
                      <w:color w:val="auto"/>
                      <w:spacing w:val="-3"/>
                      <w:sz w:val="21"/>
                      <w:szCs w:val="21"/>
                    </w:rPr>
                    <w:t>1500</w:t>
                  </w:r>
                  <w:r>
                    <w:rPr>
                      <w:color w:val="auto"/>
                      <w:spacing w:val="18"/>
                      <w:sz w:val="21"/>
                      <w:szCs w:val="21"/>
                    </w:rPr>
                    <w:t xml:space="preserve"> </w:t>
                  </w:r>
                  <w:r>
                    <w:rPr>
                      <w:rFonts w:ascii="宋体" w:hAnsi="宋体" w:eastAsia="宋体" w:cs="宋体"/>
                      <w:color w:val="auto"/>
                      <w:spacing w:val="-3"/>
                      <w:sz w:val="21"/>
                      <w:szCs w:val="21"/>
                    </w:rPr>
                    <w:t>吨、网膜无纺布</w:t>
                  </w:r>
                  <w:r>
                    <w:rPr>
                      <w:rFonts w:ascii="宋体" w:hAnsi="宋体" w:eastAsia="宋体" w:cs="宋体"/>
                      <w:color w:val="auto"/>
                      <w:spacing w:val="-40"/>
                      <w:sz w:val="21"/>
                      <w:szCs w:val="21"/>
                    </w:rPr>
                    <w:t xml:space="preserve"> </w:t>
                  </w:r>
                  <w:r>
                    <w:rPr>
                      <w:color w:val="auto"/>
                      <w:spacing w:val="-4"/>
                      <w:sz w:val="21"/>
                      <w:szCs w:val="21"/>
                    </w:rPr>
                    <w:t>825</w:t>
                  </w:r>
                </w:p>
                <w:p w14:paraId="5C8D1BA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5"/>
                      <w:sz w:val="21"/>
                      <w:szCs w:val="21"/>
                    </w:rPr>
                    <w:t>万米、无纺布抽取式干巾</w:t>
                  </w:r>
                  <w:r>
                    <w:rPr>
                      <w:rFonts w:ascii="宋体" w:hAnsi="宋体" w:eastAsia="宋体" w:cs="宋体"/>
                      <w:color w:val="auto"/>
                      <w:spacing w:val="-42"/>
                      <w:sz w:val="21"/>
                      <w:szCs w:val="21"/>
                    </w:rPr>
                    <w:t xml:space="preserve"> </w:t>
                  </w:r>
                  <w:r>
                    <w:rPr>
                      <w:color w:val="auto"/>
                      <w:spacing w:val="-5"/>
                      <w:sz w:val="21"/>
                      <w:szCs w:val="21"/>
                    </w:rPr>
                    <w:t>57</w:t>
                  </w:r>
                  <w:r>
                    <w:rPr>
                      <w:color w:val="auto"/>
                      <w:spacing w:val="14"/>
                      <w:sz w:val="21"/>
                      <w:szCs w:val="21"/>
                    </w:rPr>
                    <w:t xml:space="preserve"> </w:t>
                  </w:r>
                  <w:r>
                    <w:rPr>
                      <w:rFonts w:ascii="宋体" w:hAnsi="宋体" w:eastAsia="宋体" w:cs="宋体"/>
                      <w:color w:val="auto"/>
                      <w:spacing w:val="-5"/>
                      <w:sz w:val="21"/>
                      <w:szCs w:val="21"/>
                    </w:rPr>
                    <w:t>万盒、无纺布床</w:t>
                  </w:r>
                  <w:r>
                    <w:rPr>
                      <w:rFonts w:ascii="宋体" w:hAnsi="宋体" w:eastAsia="宋体" w:cs="宋体"/>
                      <w:color w:val="auto"/>
                      <w:spacing w:val="-6"/>
                      <w:sz w:val="21"/>
                      <w:szCs w:val="21"/>
                    </w:rPr>
                    <w:t>单</w:t>
                  </w:r>
                  <w:r>
                    <w:rPr>
                      <w:rFonts w:ascii="宋体" w:hAnsi="宋体" w:eastAsia="宋体" w:cs="宋体"/>
                      <w:color w:val="auto"/>
                      <w:spacing w:val="-43"/>
                      <w:sz w:val="21"/>
                      <w:szCs w:val="21"/>
                    </w:rPr>
                    <w:t xml:space="preserve"> </w:t>
                  </w:r>
                  <w:r>
                    <w:rPr>
                      <w:color w:val="auto"/>
                      <w:spacing w:val="-6"/>
                      <w:sz w:val="21"/>
                      <w:szCs w:val="21"/>
                    </w:rPr>
                    <w:t>570</w:t>
                  </w:r>
                  <w:r>
                    <w:rPr>
                      <w:color w:val="auto"/>
                      <w:spacing w:val="14"/>
                      <w:sz w:val="21"/>
                      <w:szCs w:val="21"/>
                    </w:rPr>
                    <w:t xml:space="preserve"> </w:t>
                  </w:r>
                  <w:r>
                    <w:rPr>
                      <w:rFonts w:ascii="宋体" w:hAnsi="宋体" w:eastAsia="宋体" w:cs="宋体"/>
                      <w:color w:val="auto"/>
                      <w:spacing w:val="-6"/>
                      <w:sz w:val="21"/>
                      <w:szCs w:val="21"/>
                    </w:rPr>
                    <w:t>万张、口</w:t>
                  </w:r>
                </w:p>
                <w:p w14:paraId="70DAC2E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罩衬布</w:t>
                  </w:r>
                  <w:r>
                    <w:rPr>
                      <w:rFonts w:ascii="宋体" w:hAnsi="宋体" w:eastAsia="宋体" w:cs="宋体"/>
                      <w:color w:val="auto"/>
                      <w:spacing w:val="-48"/>
                      <w:sz w:val="21"/>
                      <w:szCs w:val="21"/>
                    </w:rPr>
                    <w:t xml:space="preserve"> </w:t>
                  </w:r>
                  <w:r>
                    <w:rPr>
                      <w:color w:val="auto"/>
                      <w:spacing w:val="-2"/>
                      <w:sz w:val="21"/>
                      <w:szCs w:val="21"/>
                    </w:rPr>
                    <w:t>2000</w:t>
                  </w:r>
                  <w:r>
                    <w:rPr>
                      <w:color w:val="auto"/>
                      <w:spacing w:val="13"/>
                      <w:w w:val="101"/>
                      <w:sz w:val="21"/>
                      <w:szCs w:val="21"/>
                    </w:rPr>
                    <w:t xml:space="preserve"> </w:t>
                  </w:r>
                  <w:r>
                    <w:rPr>
                      <w:rFonts w:ascii="宋体" w:hAnsi="宋体" w:eastAsia="宋体" w:cs="宋体"/>
                      <w:color w:val="auto"/>
                      <w:spacing w:val="-2"/>
                      <w:sz w:val="21"/>
                      <w:szCs w:val="21"/>
                    </w:rPr>
                    <w:t>万米、其他衬布</w:t>
                  </w:r>
                  <w:r>
                    <w:rPr>
                      <w:rFonts w:ascii="宋体" w:hAnsi="宋体" w:eastAsia="宋体" w:cs="宋体"/>
                      <w:color w:val="auto"/>
                      <w:spacing w:val="-45"/>
                      <w:sz w:val="21"/>
                      <w:szCs w:val="21"/>
                    </w:rPr>
                    <w:t xml:space="preserve"> </w:t>
                  </w:r>
                  <w:r>
                    <w:rPr>
                      <w:color w:val="auto"/>
                      <w:spacing w:val="-2"/>
                      <w:sz w:val="21"/>
                      <w:szCs w:val="21"/>
                    </w:rPr>
                    <w:t>7000</w:t>
                  </w:r>
                  <w:r>
                    <w:rPr>
                      <w:color w:val="auto"/>
                      <w:spacing w:val="13"/>
                      <w:w w:val="101"/>
                      <w:sz w:val="21"/>
                      <w:szCs w:val="21"/>
                    </w:rPr>
                    <w:t xml:space="preserve"> </w:t>
                  </w:r>
                  <w:r>
                    <w:rPr>
                      <w:rFonts w:ascii="宋体" w:hAnsi="宋体" w:eastAsia="宋体" w:cs="宋体"/>
                      <w:color w:val="auto"/>
                      <w:spacing w:val="-2"/>
                      <w:sz w:val="21"/>
                      <w:szCs w:val="21"/>
                    </w:rPr>
                    <w:t>万米</w:t>
                  </w:r>
                </w:p>
              </w:tc>
              <w:tc>
                <w:tcPr>
                  <w:tcW w:w="1878" w:type="dxa"/>
                  <w:vAlign w:val="center"/>
                </w:tcPr>
                <w:p w14:paraId="1C72605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3"/>
                      <w:sz w:val="21"/>
                      <w:szCs w:val="21"/>
                    </w:rPr>
                    <w:t>乐环审</w:t>
                  </w:r>
                  <w:r>
                    <w:rPr>
                      <w:color w:val="auto"/>
                      <w:spacing w:val="-13"/>
                      <w:sz w:val="21"/>
                      <w:szCs w:val="21"/>
                    </w:rPr>
                    <w:t>[</w:t>
                  </w:r>
                  <w:r>
                    <w:rPr>
                      <w:color w:val="auto"/>
                      <w:sz w:val="21"/>
                      <w:szCs w:val="21"/>
                    </w:rPr>
                    <w:fldChar w:fldCharType="begin"/>
                  </w:r>
                  <w:r>
                    <w:rPr>
                      <w:color w:val="auto"/>
                      <w:sz w:val="21"/>
                      <w:szCs w:val="21"/>
                    </w:rPr>
                    <w:instrText xml:space="preserve"> HYPERLINK \l "bookmark219" </w:instrText>
                  </w:r>
                  <w:r>
                    <w:rPr>
                      <w:color w:val="auto"/>
                      <w:sz w:val="21"/>
                      <w:szCs w:val="21"/>
                    </w:rPr>
                    <w:fldChar w:fldCharType="separate"/>
                  </w:r>
                  <w:r>
                    <w:rPr>
                      <w:color w:val="auto"/>
                      <w:spacing w:val="-13"/>
                      <w:sz w:val="21"/>
                      <w:szCs w:val="21"/>
                    </w:rPr>
                    <w:t>2017</w:t>
                  </w:r>
                  <w:r>
                    <w:rPr>
                      <w:color w:val="auto"/>
                      <w:spacing w:val="-13"/>
                      <w:sz w:val="21"/>
                      <w:szCs w:val="21"/>
                    </w:rPr>
                    <w:fldChar w:fldCharType="end"/>
                  </w:r>
                  <w:r>
                    <w:rPr>
                      <w:color w:val="auto"/>
                      <w:spacing w:val="-13"/>
                      <w:sz w:val="21"/>
                      <w:szCs w:val="21"/>
                    </w:rPr>
                    <w:t>]50</w:t>
                  </w:r>
                  <w:r>
                    <w:rPr>
                      <w:color w:val="auto"/>
                      <w:spacing w:val="30"/>
                      <w:sz w:val="21"/>
                      <w:szCs w:val="21"/>
                    </w:rPr>
                    <w:t xml:space="preserve"> </w:t>
                  </w:r>
                  <w:r>
                    <w:rPr>
                      <w:rFonts w:ascii="宋体" w:hAnsi="宋体" w:eastAsia="宋体" w:cs="宋体"/>
                      <w:color w:val="auto"/>
                      <w:spacing w:val="-13"/>
                      <w:sz w:val="21"/>
                      <w:szCs w:val="21"/>
                    </w:rPr>
                    <w:t>号、乐环审〔</w:t>
                  </w:r>
                  <w:r>
                    <w:rPr>
                      <w:color w:val="auto"/>
                      <w:spacing w:val="-13"/>
                      <w:sz w:val="21"/>
                      <w:szCs w:val="21"/>
                    </w:rPr>
                    <w:t>2020</w:t>
                  </w:r>
                  <w:r>
                    <w:rPr>
                      <w:rFonts w:ascii="宋体" w:hAnsi="宋体" w:eastAsia="宋体" w:cs="宋体"/>
                      <w:color w:val="auto"/>
                      <w:spacing w:val="-13"/>
                      <w:sz w:val="21"/>
                      <w:szCs w:val="21"/>
                    </w:rPr>
                    <w:t>〕</w:t>
                  </w:r>
                  <w:r>
                    <w:rPr>
                      <w:rFonts w:ascii="宋体" w:hAnsi="宋体" w:eastAsia="宋体" w:cs="宋体"/>
                      <w:color w:val="auto"/>
                      <w:sz w:val="21"/>
                      <w:szCs w:val="21"/>
                    </w:rPr>
                    <w:t xml:space="preserve"> </w:t>
                  </w:r>
                  <w:r>
                    <w:rPr>
                      <w:color w:val="auto"/>
                      <w:spacing w:val="-2"/>
                      <w:sz w:val="21"/>
                      <w:szCs w:val="21"/>
                    </w:rPr>
                    <w:t>23</w:t>
                  </w:r>
                  <w:r>
                    <w:rPr>
                      <w:color w:val="auto"/>
                      <w:spacing w:val="29"/>
                      <w:sz w:val="21"/>
                      <w:szCs w:val="21"/>
                    </w:rPr>
                    <w:t xml:space="preserve"> </w:t>
                  </w:r>
                  <w:r>
                    <w:rPr>
                      <w:rFonts w:ascii="宋体" w:hAnsi="宋体" w:eastAsia="宋体" w:cs="宋体"/>
                      <w:color w:val="auto"/>
                      <w:spacing w:val="-2"/>
                      <w:sz w:val="21"/>
                      <w:szCs w:val="21"/>
                    </w:rPr>
                    <w:t>号、韶环乐审〔</w:t>
                  </w:r>
                  <w:r>
                    <w:rPr>
                      <w:color w:val="auto"/>
                      <w:spacing w:val="-2"/>
                      <w:sz w:val="21"/>
                      <w:szCs w:val="21"/>
                    </w:rPr>
                    <w:t>2021</w:t>
                  </w:r>
                  <w:r>
                    <w:rPr>
                      <w:rFonts w:ascii="宋体" w:hAnsi="宋体" w:eastAsia="宋体" w:cs="宋体"/>
                      <w:color w:val="auto"/>
                      <w:spacing w:val="-2"/>
                      <w:sz w:val="21"/>
                      <w:szCs w:val="21"/>
                    </w:rPr>
                    <w:t>〕</w:t>
                  </w:r>
                  <w:r>
                    <w:rPr>
                      <w:color w:val="auto"/>
                      <w:spacing w:val="-2"/>
                      <w:sz w:val="21"/>
                      <w:szCs w:val="21"/>
                    </w:rPr>
                    <w:t>26</w:t>
                  </w:r>
                  <w:r>
                    <w:rPr>
                      <w:color w:val="auto"/>
                      <w:spacing w:val="14"/>
                      <w:sz w:val="21"/>
                      <w:szCs w:val="21"/>
                    </w:rPr>
                    <w:t xml:space="preserve"> </w:t>
                  </w:r>
                  <w:r>
                    <w:rPr>
                      <w:rFonts w:ascii="宋体" w:hAnsi="宋体" w:eastAsia="宋体" w:cs="宋体"/>
                      <w:color w:val="auto"/>
                      <w:spacing w:val="-2"/>
                      <w:sz w:val="21"/>
                      <w:szCs w:val="21"/>
                    </w:rPr>
                    <w:t>号</w:t>
                  </w:r>
                </w:p>
              </w:tc>
            </w:tr>
            <w:tr w14:paraId="6CBEF6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695D90B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6"/>
                      <w:sz w:val="21"/>
                      <w:szCs w:val="21"/>
                    </w:rPr>
                    <w:t>17</w:t>
                  </w:r>
                </w:p>
              </w:tc>
              <w:tc>
                <w:tcPr>
                  <w:tcW w:w="961" w:type="dxa"/>
                  <w:vAlign w:val="center"/>
                </w:tcPr>
                <w:p w14:paraId="162D024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广东泰邦耐磨金属科技有限</w:t>
                  </w:r>
                </w:p>
                <w:p w14:paraId="7F3A9B5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公司</w:t>
                  </w:r>
                </w:p>
              </w:tc>
              <w:tc>
                <w:tcPr>
                  <w:tcW w:w="600" w:type="dxa"/>
                  <w:vAlign w:val="center"/>
                </w:tcPr>
                <w:p w14:paraId="2D69749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2C27643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00502F37">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33583</w:t>
                  </w:r>
                </w:p>
              </w:tc>
              <w:tc>
                <w:tcPr>
                  <w:tcW w:w="2053" w:type="dxa"/>
                  <w:vAlign w:val="center"/>
                </w:tcPr>
                <w:p w14:paraId="6697603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年产铸钢</w:t>
                  </w:r>
                  <w:r>
                    <w:rPr>
                      <w:rFonts w:ascii="宋体" w:hAnsi="宋体" w:eastAsia="宋体" w:cs="宋体"/>
                      <w:color w:val="auto"/>
                      <w:spacing w:val="-22"/>
                      <w:sz w:val="21"/>
                      <w:szCs w:val="21"/>
                    </w:rPr>
                    <w:t xml:space="preserve"> </w:t>
                  </w:r>
                  <w:r>
                    <w:rPr>
                      <w:color w:val="auto"/>
                      <w:spacing w:val="-4"/>
                      <w:sz w:val="21"/>
                      <w:szCs w:val="21"/>
                    </w:rPr>
                    <w:t xml:space="preserve">1 </w:t>
                  </w:r>
                  <w:r>
                    <w:rPr>
                      <w:rFonts w:ascii="宋体" w:hAnsi="宋体" w:eastAsia="宋体" w:cs="宋体"/>
                      <w:color w:val="auto"/>
                      <w:spacing w:val="-4"/>
                      <w:sz w:val="21"/>
                      <w:szCs w:val="21"/>
                    </w:rPr>
                    <w:t>万吨</w:t>
                  </w:r>
                </w:p>
              </w:tc>
              <w:tc>
                <w:tcPr>
                  <w:tcW w:w="1878" w:type="dxa"/>
                  <w:vAlign w:val="center"/>
                </w:tcPr>
                <w:p w14:paraId="5F9D38A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乐环函</w:t>
                  </w:r>
                  <w:r>
                    <w:rPr>
                      <w:color w:val="auto"/>
                      <w:spacing w:val="-2"/>
                      <w:sz w:val="21"/>
                      <w:szCs w:val="21"/>
                    </w:rPr>
                    <w:t>[</w:t>
                  </w:r>
                  <w:r>
                    <w:rPr>
                      <w:color w:val="auto"/>
                      <w:sz w:val="21"/>
                      <w:szCs w:val="21"/>
                    </w:rPr>
                    <w:fldChar w:fldCharType="begin"/>
                  </w:r>
                  <w:r>
                    <w:rPr>
                      <w:color w:val="auto"/>
                      <w:sz w:val="21"/>
                      <w:szCs w:val="21"/>
                    </w:rPr>
                    <w:instrText xml:space="preserve"> HYPERLINK \l "bookmark220" </w:instrText>
                  </w:r>
                  <w:r>
                    <w:rPr>
                      <w:color w:val="auto"/>
                      <w:sz w:val="21"/>
                      <w:szCs w:val="21"/>
                    </w:rPr>
                    <w:fldChar w:fldCharType="separate"/>
                  </w:r>
                  <w:r>
                    <w:rPr>
                      <w:color w:val="auto"/>
                      <w:spacing w:val="-2"/>
                      <w:sz w:val="21"/>
                      <w:szCs w:val="21"/>
                    </w:rPr>
                    <w:t>2011</w:t>
                  </w:r>
                  <w:r>
                    <w:rPr>
                      <w:color w:val="auto"/>
                      <w:spacing w:val="-2"/>
                      <w:sz w:val="21"/>
                      <w:szCs w:val="21"/>
                    </w:rPr>
                    <w:fldChar w:fldCharType="end"/>
                  </w:r>
                  <w:r>
                    <w:rPr>
                      <w:color w:val="auto"/>
                      <w:spacing w:val="-2"/>
                      <w:sz w:val="21"/>
                      <w:szCs w:val="21"/>
                    </w:rPr>
                    <w:t xml:space="preserve">]25 </w:t>
                  </w:r>
                  <w:r>
                    <w:rPr>
                      <w:rFonts w:ascii="宋体" w:hAnsi="宋体" w:eastAsia="宋体" w:cs="宋体"/>
                      <w:color w:val="auto"/>
                      <w:spacing w:val="-2"/>
                      <w:sz w:val="21"/>
                      <w:szCs w:val="21"/>
                    </w:rPr>
                    <w:t>号、乐环审</w:t>
                  </w:r>
                  <w:r>
                    <w:rPr>
                      <w:color w:val="auto"/>
                      <w:spacing w:val="-5"/>
                      <w:sz w:val="21"/>
                      <w:szCs w:val="21"/>
                    </w:rPr>
                    <w:t>[</w:t>
                  </w:r>
                  <w:r>
                    <w:rPr>
                      <w:color w:val="auto"/>
                      <w:sz w:val="21"/>
                      <w:szCs w:val="21"/>
                    </w:rPr>
                    <w:fldChar w:fldCharType="begin"/>
                  </w:r>
                  <w:r>
                    <w:rPr>
                      <w:color w:val="auto"/>
                      <w:sz w:val="21"/>
                      <w:szCs w:val="21"/>
                    </w:rPr>
                    <w:instrText xml:space="preserve"> HYPERLINK \l "bookmark221" </w:instrText>
                  </w:r>
                  <w:r>
                    <w:rPr>
                      <w:color w:val="auto"/>
                      <w:sz w:val="21"/>
                      <w:szCs w:val="21"/>
                    </w:rPr>
                    <w:fldChar w:fldCharType="separate"/>
                  </w:r>
                  <w:r>
                    <w:rPr>
                      <w:color w:val="auto"/>
                      <w:spacing w:val="-5"/>
                      <w:sz w:val="21"/>
                      <w:szCs w:val="21"/>
                    </w:rPr>
                    <w:t>2018</w:t>
                  </w:r>
                  <w:r>
                    <w:rPr>
                      <w:color w:val="auto"/>
                      <w:spacing w:val="-5"/>
                      <w:sz w:val="21"/>
                      <w:szCs w:val="21"/>
                    </w:rPr>
                    <w:fldChar w:fldCharType="end"/>
                  </w:r>
                  <w:r>
                    <w:rPr>
                      <w:color w:val="auto"/>
                      <w:spacing w:val="-5"/>
                      <w:sz w:val="21"/>
                      <w:szCs w:val="21"/>
                    </w:rPr>
                    <w:t>]</w:t>
                  </w:r>
                  <w:r>
                    <w:rPr>
                      <w:color w:val="auto"/>
                      <w:spacing w:val="-23"/>
                      <w:sz w:val="21"/>
                      <w:szCs w:val="21"/>
                    </w:rPr>
                    <w:t xml:space="preserve"> </w:t>
                  </w:r>
                  <w:r>
                    <w:rPr>
                      <w:color w:val="auto"/>
                      <w:spacing w:val="-5"/>
                      <w:sz w:val="21"/>
                      <w:szCs w:val="21"/>
                    </w:rPr>
                    <w:t>17</w:t>
                  </w:r>
                  <w:r>
                    <w:rPr>
                      <w:color w:val="auto"/>
                      <w:spacing w:val="11"/>
                      <w:sz w:val="21"/>
                      <w:szCs w:val="21"/>
                    </w:rPr>
                    <w:t xml:space="preserve"> </w:t>
                  </w:r>
                  <w:r>
                    <w:rPr>
                      <w:rFonts w:ascii="宋体" w:hAnsi="宋体" w:eastAsia="宋体" w:cs="宋体"/>
                      <w:color w:val="auto"/>
                      <w:spacing w:val="-5"/>
                      <w:sz w:val="21"/>
                      <w:szCs w:val="21"/>
                    </w:rPr>
                    <w:t>号</w:t>
                  </w:r>
                </w:p>
              </w:tc>
            </w:tr>
            <w:tr w14:paraId="326166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2" w:hRule="atLeast"/>
                <w:jc w:val="center"/>
              </w:trPr>
              <w:tc>
                <w:tcPr>
                  <w:tcW w:w="311" w:type="dxa"/>
                  <w:vAlign w:val="center"/>
                </w:tcPr>
                <w:p w14:paraId="65CBAA8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szCs w:val="21"/>
                    </w:rPr>
                  </w:pPr>
                </w:p>
                <w:p w14:paraId="54DC2437">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6"/>
                      <w:sz w:val="21"/>
                      <w:szCs w:val="21"/>
                    </w:rPr>
                    <w:t>18</w:t>
                  </w:r>
                </w:p>
              </w:tc>
              <w:tc>
                <w:tcPr>
                  <w:tcW w:w="961" w:type="dxa"/>
                  <w:vAlign w:val="center"/>
                </w:tcPr>
                <w:p w14:paraId="4DF4337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szCs w:val="21"/>
                    </w:rPr>
                  </w:pPr>
                </w:p>
                <w:p w14:paraId="60289CE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乐昌市明俊铸造有限公司</w:t>
                  </w:r>
                </w:p>
              </w:tc>
              <w:tc>
                <w:tcPr>
                  <w:tcW w:w="600" w:type="dxa"/>
                  <w:vAlign w:val="center"/>
                </w:tcPr>
                <w:p w14:paraId="0423FB9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szCs w:val="21"/>
                    </w:rPr>
                  </w:pPr>
                </w:p>
                <w:p w14:paraId="0740E8A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0A971FD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szCs w:val="21"/>
                    </w:rPr>
                  </w:pPr>
                </w:p>
                <w:p w14:paraId="10DD3973">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785EBB83">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szCs w:val="21"/>
                    </w:rPr>
                  </w:pPr>
                </w:p>
                <w:p w14:paraId="5B7C8E0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4"/>
                      <w:sz w:val="21"/>
                      <w:szCs w:val="21"/>
                    </w:rPr>
                    <w:t>12666</w:t>
                  </w:r>
                </w:p>
              </w:tc>
              <w:tc>
                <w:tcPr>
                  <w:tcW w:w="2053" w:type="dxa"/>
                  <w:vAlign w:val="center"/>
                </w:tcPr>
                <w:p w14:paraId="4BBC95D3">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szCs w:val="21"/>
                    </w:rPr>
                  </w:pPr>
                </w:p>
                <w:p w14:paraId="33E2C8E2">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年产水泵类铸件、油泵</w:t>
                  </w:r>
                  <w:r>
                    <w:rPr>
                      <w:rFonts w:ascii="宋体" w:hAnsi="宋体" w:eastAsia="宋体" w:cs="宋体"/>
                      <w:color w:val="auto"/>
                      <w:spacing w:val="-32"/>
                      <w:sz w:val="21"/>
                      <w:szCs w:val="21"/>
                    </w:rPr>
                    <w:t xml:space="preserve"> </w:t>
                  </w:r>
                  <w:r>
                    <w:rPr>
                      <w:color w:val="auto"/>
                      <w:spacing w:val="-2"/>
                      <w:sz w:val="21"/>
                      <w:szCs w:val="21"/>
                    </w:rPr>
                    <w:t>6000</w:t>
                  </w:r>
                  <w:r>
                    <w:rPr>
                      <w:color w:val="auto"/>
                      <w:spacing w:val="18"/>
                      <w:w w:val="101"/>
                      <w:sz w:val="21"/>
                      <w:szCs w:val="21"/>
                    </w:rPr>
                    <w:t xml:space="preserve"> </w:t>
                  </w:r>
                  <w:r>
                    <w:rPr>
                      <w:rFonts w:ascii="宋体" w:hAnsi="宋体" w:eastAsia="宋体" w:cs="宋体"/>
                      <w:color w:val="auto"/>
                      <w:spacing w:val="-2"/>
                      <w:sz w:val="21"/>
                      <w:szCs w:val="21"/>
                    </w:rPr>
                    <w:t>吨</w:t>
                  </w:r>
                </w:p>
              </w:tc>
              <w:tc>
                <w:tcPr>
                  <w:tcW w:w="1878" w:type="dxa"/>
                  <w:vAlign w:val="center"/>
                </w:tcPr>
                <w:p w14:paraId="4997397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乐环函</w:t>
                  </w:r>
                  <w:r>
                    <w:rPr>
                      <w:color w:val="auto"/>
                      <w:spacing w:val="-4"/>
                      <w:sz w:val="21"/>
                      <w:szCs w:val="21"/>
                    </w:rPr>
                    <w:t>[</w:t>
                  </w:r>
                  <w:r>
                    <w:rPr>
                      <w:color w:val="auto"/>
                      <w:sz w:val="21"/>
                      <w:szCs w:val="21"/>
                    </w:rPr>
                    <w:fldChar w:fldCharType="begin"/>
                  </w:r>
                  <w:r>
                    <w:rPr>
                      <w:color w:val="auto"/>
                      <w:sz w:val="21"/>
                      <w:szCs w:val="21"/>
                    </w:rPr>
                    <w:instrText xml:space="preserve"> HYPERLINK \l "bookmark222" </w:instrText>
                  </w:r>
                  <w:r>
                    <w:rPr>
                      <w:color w:val="auto"/>
                      <w:sz w:val="21"/>
                      <w:szCs w:val="21"/>
                    </w:rPr>
                    <w:fldChar w:fldCharType="separate"/>
                  </w:r>
                  <w:r>
                    <w:rPr>
                      <w:color w:val="auto"/>
                      <w:spacing w:val="-4"/>
                      <w:sz w:val="21"/>
                      <w:szCs w:val="21"/>
                    </w:rPr>
                    <w:t>2008</w:t>
                  </w:r>
                  <w:r>
                    <w:rPr>
                      <w:color w:val="auto"/>
                      <w:spacing w:val="-4"/>
                      <w:sz w:val="21"/>
                      <w:szCs w:val="21"/>
                    </w:rPr>
                    <w:fldChar w:fldCharType="end"/>
                  </w:r>
                  <w:r>
                    <w:rPr>
                      <w:color w:val="auto"/>
                      <w:spacing w:val="-4"/>
                      <w:sz w:val="21"/>
                      <w:szCs w:val="21"/>
                    </w:rPr>
                    <w:t>]</w:t>
                  </w:r>
                  <w:r>
                    <w:rPr>
                      <w:color w:val="auto"/>
                      <w:spacing w:val="-16"/>
                      <w:sz w:val="21"/>
                      <w:szCs w:val="21"/>
                    </w:rPr>
                    <w:t xml:space="preserve"> </w:t>
                  </w:r>
                  <w:r>
                    <w:rPr>
                      <w:color w:val="auto"/>
                      <w:spacing w:val="-4"/>
                      <w:sz w:val="21"/>
                      <w:szCs w:val="21"/>
                    </w:rPr>
                    <w:t>12</w:t>
                  </w:r>
                  <w:r>
                    <w:rPr>
                      <w:color w:val="auto"/>
                      <w:spacing w:val="13"/>
                      <w:w w:val="101"/>
                      <w:sz w:val="21"/>
                      <w:szCs w:val="21"/>
                    </w:rPr>
                    <w:t xml:space="preserve"> </w:t>
                  </w:r>
                  <w:r>
                    <w:rPr>
                      <w:rFonts w:ascii="宋体" w:hAnsi="宋体" w:eastAsia="宋体" w:cs="宋体"/>
                      <w:color w:val="auto"/>
                      <w:spacing w:val="-4"/>
                      <w:sz w:val="21"/>
                      <w:szCs w:val="21"/>
                    </w:rPr>
                    <w:t>号、乐环审</w:t>
                  </w:r>
                </w:p>
                <w:p w14:paraId="76E79E5C">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z w:val="21"/>
                      <w:szCs w:val="21"/>
                    </w:rPr>
                  </w:pPr>
                  <w:r>
                    <w:rPr>
                      <w:color w:val="auto"/>
                      <w:spacing w:val="-6"/>
                      <w:sz w:val="21"/>
                      <w:szCs w:val="21"/>
                    </w:rPr>
                    <w:t>[</w:t>
                  </w:r>
                  <w:r>
                    <w:rPr>
                      <w:color w:val="auto"/>
                      <w:sz w:val="21"/>
                      <w:szCs w:val="21"/>
                    </w:rPr>
                    <w:fldChar w:fldCharType="begin"/>
                  </w:r>
                  <w:r>
                    <w:rPr>
                      <w:color w:val="auto"/>
                      <w:sz w:val="21"/>
                      <w:szCs w:val="21"/>
                    </w:rPr>
                    <w:instrText xml:space="preserve"> HYPERLINK \l "bookmark223" </w:instrText>
                  </w:r>
                  <w:r>
                    <w:rPr>
                      <w:color w:val="auto"/>
                      <w:sz w:val="21"/>
                      <w:szCs w:val="21"/>
                    </w:rPr>
                    <w:fldChar w:fldCharType="separate"/>
                  </w:r>
                  <w:r>
                    <w:rPr>
                      <w:color w:val="auto"/>
                      <w:spacing w:val="-6"/>
                      <w:sz w:val="21"/>
                      <w:szCs w:val="21"/>
                    </w:rPr>
                    <w:t>2018</w:t>
                  </w:r>
                  <w:r>
                    <w:rPr>
                      <w:color w:val="auto"/>
                      <w:spacing w:val="-6"/>
                      <w:sz w:val="21"/>
                      <w:szCs w:val="21"/>
                    </w:rPr>
                    <w:fldChar w:fldCharType="end"/>
                  </w:r>
                  <w:r>
                    <w:rPr>
                      <w:color w:val="auto"/>
                      <w:spacing w:val="-6"/>
                      <w:sz w:val="21"/>
                      <w:szCs w:val="21"/>
                    </w:rPr>
                    <w:t>]38</w:t>
                  </w:r>
                  <w:r>
                    <w:rPr>
                      <w:color w:val="auto"/>
                      <w:spacing w:val="24"/>
                      <w:w w:val="101"/>
                      <w:sz w:val="21"/>
                      <w:szCs w:val="21"/>
                    </w:rPr>
                    <w:t xml:space="preserve"> </w:t>
                  </w:r>
                  <w:r>
                    <w:rPr>
                      <w:rFonts w:ascii="宋体" w:hAnsi="宋体" w:eastAsia="宋体" w:cs="宋体"/>
                      <w:color w:val="auto"/>
                      <w:spacing w:val="-6"/>
                      <w:sz w:val="21"/>
                      <w:szCs w:val="21"/>
                    </w:rPr>
                    <w:t>号、韶环乐审〔</w:t>
                  </w:r>
                  <w:r>
                    <w:rPr>
                      <w:color w:val="auto"/>
                      <w:spacing w:val="-6"/>
                      <w:sz w:val="21"/>
                      <w:szCs w:val="21"/>
                    </w:rPr>
                    <w:t>2022</w:t>
                  </w:r>
                  <w:r>
                    <w:rPr>
                      <w:rFonts w:ascii="宋体" w:hAnsi="宋体" w:eastAsia="宋体" w:cs="宋体"/>
                      <w:color w:val="auto"/>
                      <w:spacing w:val="-6"/>
                      <w:sz w:val="21"/>
                      <w:szCs w:val="21"/>
                    </w:rPr>
                    <w:t>〕</w:t>
                  </w:r>
                  <w:r>
                    <w:rPr>
                      <w:color w:val="auto"/>
                      <w:spacing w:val="-6"/>
                      <w:sz w:val="21"/>
                      <w:szCs w:val="21"/>
                    </w:rPr>
                    <w:t>14</w:t>
                  </w:r>
                </w:p>
                <w:p w14:paraId="6700730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z w:val="21"/>
                      <w:szCs w:val="21"/>
                    </w:rPr>
                    <w:t>号</w:t>
                  </w:r>
                </w:p>
              </w:tc>
            </w:tr>
            <w:tr w14:paraId="66B4C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0F820F2A">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6"/>
                      <w:sz w:val="21"/>
                      <w:szCs w:val="21"/>
                    </w:rPr>
                    <w:t>19</w:t>
                  </w:r>
                </w:p>
              </w:tc>
              <w:tc>
                <w:tcPr>
                  <w:tcW w:w="961" w:type="dxa"/>
                  <w:vAlign w:val="center"/>
                </w:tcPr>
                <w:p w14:paraId="6032D32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乐昌市翔辉皮革有限公司</w:t>
                  </w:r>
                </w:p>
              </w:tc>
              <w:tc>
                <w:tcPr>
                  <w:tcW w:w="600" w:type="dxa"/>
                  <w:vAlign w:val="center"/>
                </w:tcPr>
                <w:p w14:paraId="7F50460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4EDDC048">
                  <w:pPr>
                    <w:keepNext w:val="0"/>
                    <w:keepLines w:val="0"/>
                    <w:pageBreakBefore w:val="0"/>
                    <w:widowControl/>
                    <w:kinsoku w:val="0"/>
                    <w:wordWrap/>
                    <w:overflowPunct/>
                    <w:topLinePunct w:val="0"/>
                    <w:autoSpaceDE w:val="0"/>
                    <w:autoSpaceDN w:val="0"/>
                    <w:bidi w:val="0"/>
                    <w:adjustRightInd w:val="0"/>
                    <w:snapToGrid w:val="0"/>
                    <w:spacing w:line="240" w:lineRule="auto"/>
                    <w:ind w:left="0" w:right="132" w:firstLine="4"/>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皮革、毛皮、羽毛</w:t>
                  </w:r>
                  <w:r>
                    <w:rPr>
                      <w:rFonts w:ascii="宋体" w:hAnsi="宋体" w:eastAsia="宋体" w:cs="宋体"/>
                      <w:color w:val="auto"/>
                      <w:spacing w:val="-1"/>
                      <w:sz w:val="21"/>
                      <w:szCs w:val="21"/>
                    </w:rPr>
                    <w:t>及其制品和制鞋业</w:t>
                  </w:r>
                </w:p>
              </w:tc>
              <w:tc>
                <w:tcPr>
                  <w:tcW w:w="1140" w:type="dxa"/>
                  <w:vAlign w:val="center"/>
                </w:tcPr>
                <w:p w14:paraId="603E99D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4"/>
                      <w:sz w:val="21"/>
                      <w:szCs w:val="21"/>
                    </w:rPr>
                    <w:t>14014.6</w:t>
                  </w:r>
                </w:p>
              </w:tc>
              <w:tc>
                <w:tcPr>
                  <w:tcW w:w="2053" w:type="dxa"/>
                  <w:vAlign w:val="center"/>
                </w:tcPr>
                <w:p w14:paraId="128DD028">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年产二层贴膜榔皮</w:t>
                  </w:r>
                  <w:r>
                    <w:rPr>
                      <w:rFonts w:ascii="宋体" w:hAnsi="宋体" w:eastAsia="宋体" w:cs="宋体"/>
                      <w:color w:val="auto"/>
                      <w:spacing w:val="-35"/>
                      <w:sz w:val="21"/>
                      <w:szCs w:val="21"/>
                    </w:rPr>
                    <w:t xml:space="preserve"> </w:t>
                  </w:r>
                  <w:r>
                    <w:rPr>
                      <w:color w:val="auto"/>
                      <w:spacing w:val="-2"/>
                      <w:sz w:val="21"/>
                      <w:szCs w:val="21"/>
                    </w:rPr>
                    <w:t>200</w:t>
                  </w:r>
                  <w:r>
                    <w:rPr>
                      <w:color w:val="auto"/>
                      <w:spacing w:val="14"/>
                      <w:sz w:val="21"/>
                      <w:szCs w:val="21"/>
                    </w:rPr>
                    <w:t xml:space="preserve"> </w:t>
                  </w:r>
                  <w:r>
                    <w:rPr>
                      <w:rFonts w:ascii="宋体" w:hAnsi="宋体" w:eastAsia="宋体" w:cs="宋体"/>
                      <w:color w:val="auto"/>
                      <w:spacing w:val="-2"/>
                      <w:sz w:val="21"/>
                      <w:szCs w:val="21"/>
                    </w:rPr>
                    <w:t>万呎、</w:t>
                  </w:r>
                  <w:r>
                    <w:rPr>
                      <w:color w:val="auto"/>
                      <w:spacing w:val="-2"/>
                      <w:sz w:val="21"/>
                      <w:szCs w:val="21"/>
                    </w:rPr>
                    <w:t xml:space="preserve">3 </w:t>
                  </w:r>
                  <w:r>
                    <w:rPr>
                      <w:rFonts w:ascii="宋体" w:hAnsi="宋体" w:eastAsia="宋体" w:cs="宋体"/>
                      <w:color w:val="auto"/>
                      <w:spacing w:val="-2"/>
                      <w:sz w:val="21"/>
                      <w:szCs w:val="21"/>
                    </w:rPr>
                    <w:t>贴膜</w:t>
                  </w:r>
                  <w:r>
                    <w:rPr>
                      <w:rFonts w:ascii="宋体" w:hAnsi="宋体" w:eastAsia="宋体" w:cs="宋体"/>
                      <w:color w:val="auto"/>
                      <w:spacing w:val="-51"/>
                      <w:sz w:val="21"/>
                      <w:szCs w:val="21"/>
                    </w:rPr>
                    <w:t xml:space="preserve"> </w:t>
                  </w:r>
                  <w:r>
                    <w:rPr>
                      <w:color w:val="auto"/>
                      <w:spacing w:val="-2"/>
                      <w:sz w:val="21"/>
                      <w:szCs w:val="21"/>
                    </w:rPr>
                    <w:t>PU0</w:t>
                  </w:r>
                  <w:r>
                    <w:rPr>
                      <w:color w:val="auto"/>
                      <w:spacing w:val="13"/>
                      <w:w w:val="101"/>
                      <w:sz w:val="21"/>
                      <w:szCs w:val="21"/>
                    </w:rPr>
                    <w:t xml:space="preserve"> </w:t>
                  </w:r>
                  <w:r>
                    <w:rPr>
                      <w:rFonts w:ascii="宋体" w:hAnsi="宋体" w:eastAsia="宋体" w:cs="宋体"/>
                      <w:color w:val="auto"/>
                      <w:spacing w:val="-2"/>
                      <w:sz w:val="21"/>
                      <w:szCs w:val="21"/>
                    </w:rPr>
                    <w:t>万码</w:t>
                  </w:r>
                </w:p>
              </w:tc>
              <w:tc>
                <w:tcPr>
                  <w:tcW w:w="1878" w:type="dxa"/>
                  <w:vAlign w:val="center"/>
                </w:tcPr>
                <w:p w14:paraId="7C0538B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乐环审</w:t>
                  </w:r>
                  <w:r>
                    <w:rPr>
                      <w:color w:val="auto"/>
                      <w:spacing w:val="-2"/>
                      <w:sz w:val="21"/>
                      <w:szCs w:val="21"/>
                    </w:rPr>
                    <w:t>[</w:t>
                  </w:r>
                  <w:r>
                    <w:rPr>
                      <w:color w:val="auto"/>
                      <w:sz w:val="21"/>
                      <w:szCs w:val="21"/>
                    </w:rPr>
                    <w:fldChar w:fldCharType="begin"/>
                  </w:r>
                  <w:r>
                    <w:rPr>
                      <w:color w:val="auto"/>
                      <w:sz w:val="21"/>
                      <w:szCs w:val="21"/>
                    </w:rPr>
                    <w:instrText xml:space="preserve"> HYPERLINK \l "bookmark224" </w:instrText>
                  </w:r>
                  <w:r>
                    <w:rPr>
                      <w:color w:val="auto"/>
                      <w:sz w:val="21"/>
                      <w:szCs w:val="21"/>
                    </w:rPr>
                    <w:fldChar w:fldCharType="separate"/>
                  </w:r>
                  <w:r>
                    <w:rPr>
                      <w:color w:val="auto"/>
                      <w:spacing w:val="-2"/>
                      <w:sz w:val="21"/>
                      <w:szCs w:val="21"/>
                    </w:rPr>
                    <w:t>2017</w:t>
                  </w:r>
                  <w:r>
                    <w:rPr>
                      <w:color w:val="auto"/>
                      <w:spacing w:val="-2"/>
                      <w:sz w:val="21"/>
                      <w:szCs w:val="21"/>
                    </w:rPr>
                    <w:fldChar w:fldCharType="end"/>
                  </w:r>
                  <w:r>
                    <w:rPr>
                      <w:color w:val="auto"/>
                      <w:spacing w:val="-2"/>
                      <w:sz w:val="21"/>
                      <w:szCs w:val="21"/>
                    </w:rPr>
                    <w:t>]07</w:t>
                  </w:r>
                  <w:r>
                    <w:rPr>
                      <w:color w:val="auto"/>
                      <w:spacing w:val="24"/>
                      <w:sz w:val="21"/>
                      <w:szCs w:val="21"/>
                    </w:rPr>
                    <w:t xml:space="preserve"> </w:t>
                  </w:r>
                  <w:r>
                    <w:rPr>
                      <w:rFonts w:ascii="宋体" w:hAnsi="宋体" w:eastAsia="宋体" w:cs="宋体"/>
                      <w:color w:val="auto"/>
                      <w:spacing w:val="-2"/>
                      <w:sz w:val="21"/>
                      <w:szCs w:val="21"/>
                    </w:rPr>
                    <w:t>号</w:t>
                  </w:r>
                </w:p>
              </w:tc>
            </w:tr>
            <w:tr w14:paraId="092D0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7EDD403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20</w:t>
                  </w:r>
                </w:p>
              </w:tc>
              <w:tc>
                <w:tcPr>
                  <w:tcW w:w="961" w:type="dxa"/>
                  <w:vAlign w:val="center"/>
                </w:tcPr>
                <w:p w14:paraId="6FF365C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广东欧匹特智能装备有限公</w:t>
                  </w:r>
                </w:p>
                <w:p w14:paraId="5B2F5A0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司</w:t>
                  </w:r>
                </w:p>
              </w:tc>
              <w:tc>
                <w:tcPr>
                  <w:tcW w:w="600" w:type="dxa"/>
                  <w:vAlign w:val="center"/>
                </w:tcPr>
                <w:p w14:paraId="5174A58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0A96BAE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通用设备制造业</w:t>
                  </w:r>
                </w:p>
              </w:tc>
              <w:tc>
                <w:tcPr>
                  <w:tcW w:w="1140" w:type="dxa"/>
                  <w:vAlign w:val="center"/>
                </w:tcPr>
                <w:p w14:paraId="30BE924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26032</w:t>
                  </w:r>
                </w:p>
              </w:tc>
              <w:tc>
                <w:tcPr>
                  <w:tcW w:w="2053" w:type="dxa"/>
                  <w:vAlign w:val="center"/>
                </w:tcPr>
                <w:p w14:paraId="73BE937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年产数控机床</w:t>
                  </w:r>
                  <w:r>
                    <w:rPr>
                      <w:rFonts w:ascii="宋体" w:hAnsi="宋体" w:eastAsia="宋体" w:cs="宋体"/>
                      <w:color w:val="auto"/>
                      <w:spacing w:val="-41"/>
                      <w:sz w:val="21"/>
                      <w:szCs w:val="21"/>
                    </w:rPr>
                    <w:t xml:space="preserve"> </w:t>
                  </w:r>
                  <w:r>
                    <w:rPr>
                      <w:color w:val="auto"/>
                      <w:spacing w:val="-2"/>
                      <w:sz w:val="21"/>
                      <w:szCs w:val="21"/>
                    </w:rPr>
                    <w:t>450</w:t>
                  </w:r>
                  <w:r>
                    <w:rPr>
                      <w:color w:val="auto"/>
                      <w:spacing w:val="25"/>
                      <w:w w:val="101"/>
                      <w:sz w:val="21"/>
                      <w:szCs w:val="21"/>
                    </w:rPr>
                    <w:t xml:space="preserve"> </w:t>
                  </w:r>
                  <w:r>
                    <w:rPr>
                      <w:rFonts w:ascii="宋体" w:hAnsi="宋体" w:eastAsia="宋体" w:cs="宋体"/>
                      <w:color w:val="auto"/>
                      <w:spacing w:val="-2"/>
                      <w:sz w:val="21"/>
                      <w:szCs w:val="21"/>
                    </w:rPr>
                    <w:t>台</w:t>
                  </w:r>
                </w:p>
              </w:tc>
              <w:tc>
                <w:tcPr>
                  <w:tcW w:w="1878" w:type="dxa"/>
                  <w:vAlign w:val="center"/>
                </w:tcPr>
                <w:p w14:paraId="1CF723D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乐环审〔</w:t>
                  </w:r>
                  <w:r>
                    <w:rPr>
                      <w:color w:val="auto"/>
                      <w:spacing w:val="-1"/>
                      <w:sz w:val="21"/>
                      <w:szCs w:val="21"/>
                    </w:rPr>
                    <w:t>2020</w:t>
                  </w:r>
                  <w:r>
                    <w:rPr>
                      <w:rFonts w:ascii="宋体" w:hAnsi="宋体" w:eastAsia="宋体" w:cs="宋体"/>
                      <w:color w:val="auto"/>
                      <w:spacing w:val="-1"/>
                      <w:sz w:val="21"/>
                      <w:szCs w:val="21"/>
                    </w:rPr>
                    <w:t>〕</w:t>
                  </w:r>
                  <w:r>
                    <w:rPr>
                      <w:color w:val="auto"/>
                      <w:spacing w:val="-1"/>
                      <w:sz w:val="21"/>
                      <w:szCs w:val="21"/>
                    </w:rPr>
                    <w:t xml:space="preserve">16 </w:t>
                  </w:r>
                  <w:r>
                    <w:rPr>
                      <w:rFonts w:ascii="宋体" w:hAnsi="宋体" w:eastAsia="宋体" w:cs="宋体"/>
                      <w:color w:val="auto"/>
                      <w:spacing w:val="-1"/>
                      <w:sz w:val="21"/>
                      <w:szCs w:val="21"/>
                    </w:rPr>
                    <w:t>号</w:t>
                  </w:r>
                </w:p>
              </w:tc>
            </w:tr>
            <w:tr w14:paraId="5A873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62D9B33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21</w:t>
                  </w:r>
                </w:p>
              </w:tc>
              <w:tc>
                <w:tcPr>
                  <w:tcW w:w="961" w:type="dxa"/>
                  <w:vAlign w:val="center"/>
                </w:tcPr>
                <w:p w14:paraId="1BB1DC5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乐昌市泰瑞菲实业有限公司</w:t>
                  </w:r>
                </w:p>
              </w:tc>
              <w:tc>
                <w:tcPr>
                  <w:tcW w:w="600" w:type="dxa"/>
                  <w:vAlign w:val="center"/>
                </w:tcPr>
                <w:p w14:paraId="0F1E31E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375AC63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橡胶和塑料制品业</w:t>
                  </w:r>
                </w:p>
              </w:tc>
              <w:tc>
                <w:tcPr>
                  <w:tcW w:w="1140" w:type="dxa"/>
                  <w:vAlign w:val="center"/>
                </w:tcPr>
                <w:p w14:paraId="43560E0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4"/>
                      <w:sz w:val="21"/>
                      <w:szCs w:val="21"/>
                    </w:rPr>
                    <w:t>15266</w:t>
                  </w:r>
                </w:p>
              </w:tc>
              <w:tc>
                <w:tcPr>
                  <w:tcW w:w="2053" w:type="dxa"/>
                  <w:vAlign w:val="center"/>
                </w:tcPr>
                <w:p w14:paraId="5912EFF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年产新型塑料装饰材料</w:t>
                  </w:r>
                  <w:r>
                    <w:rPr>
                      <w:rFonts w:ascii="宋体" w:hAnsi="宋体" w:eastAsia="宋体" w:cs="宋体"/>
                      <w:color w:val="auto"/>
                      <w:spacing w:val="-26"/>
                      <w:sz w:val="21"/>
                      <w:szCs w:val="21"/>
                    </w:rPr>
                    <w:t xml:space="preserve"> </w:t>
                  </w:r>
                  <w:r>
                    <w:rPr>
                      <w:color w:val="auto"/>
                      <w:spacing w:val="-2"/>
                      <w:sz w:val="21"/>
                      <w:szCs w:val="21"/>
                    </w:rPr>
                    <w:t xml:space="preserve">1 </w:t>
                  </w:r>
                  <w:r>
                    <w:rPr>
                      <w:rFonts w:ascii="宋体" w:hAnsi="宋体" w:eastAsia="宋体" w:cs="宋体"/>
                      <w:color w:val="auto"/>
                      <w:spacing w:val="-2"/>
                      <w:sz w:val="21"/>
                      <w:szCs w:val="21"/>
                    </w:rPr>
                    <w:t>万吨</w:t>
                  </w:r>
                </w:p>
              </w:tc>
              <w:tc>
                <w:tcPr>
                  <w:tcW w:w="1878" w:type="dxa"/>
                  <w:vAlign w:val="center"/>
                </w:tcPr>
                <w:p w14:paraId="1617182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乐环审</w:t>
                  </w:r>
                  <w:r>
                    <w:rPr>
                      <w:color w:val="auto"/>
                      <w:spacing w:val="-2"/>
                      <w:sz w:val="21"/>
                      <w:szCs w:val="21"/>
                    </w:rPr>
                    <w:t>[</w:t>
                  </w:r>
                  <w:r>
                    <w:rPr>
                      <w:color w:val="auto"/>
                      <w:sz w:val="21"/>
                      <w:szCs w:val="21"/>
                    </w:rPr>
                    <w:fldChar w:fldCharType="begin"/>
                  </w:r>
                  <w:r>
                    <w:rPr>
                      <w:color w:val="auto"/>
                      <w:sz w:val="21"/>
                      <w:szCs w:val="21"/>
                    </w:rPr>
                    <w:instrText xml:space="preserve"> HYPERLINK \l "bookmark225" </w:instrText>
                  </w:r>
                  <w:r>
                    <w:rPr>
                      <w:color w:val="auto"/>
                      <w:sz w:val="21"/>
                      <w:szCs w:val="21"/>
                    </w:rPr>
                    <w:fldChar w:fldCharType="separate"/>
                  </w:r>
                  <w:r>
                    <w:rPr>
                      <w:color w:val="auto"/>
                      <w:spacing w:val="-2"/>
                      <w:sz w:val="21"/>
                      <w:szCs w:val="21"/>
                    </w:rPr>
                    <w:t>2017</w:t>
                  </w:r>
                  <w:r>
                    <w:rPr>
                      <w:color w:val="auto"/>
                      <w:spacing w:val="-2"/>
                      <w:sz w:val="21"/>
                      <w:szCs w:val="21"/>
                    </w:rPr>
                    <w:fldChar w:fldCharType="end"/>
                  </w:r>
                  <w:r>
                    <w:rPr>
                      <w:color w:val="auto"/>
                      <w:spacing w:val="-2"/>
                      <w:sz w:val="21"/>
                      <w:szCs w:val="21"/>
                    </w:rPr>
                    <w:t>]55</w:t>
                  </w:r>
                  <w:r>
                    <w:rPr>
                      <w:color w:val="auto"/>
                      <w:spacing w:val="24"/>
                      <w:sz w:val="21"/>
                      <w:szCs w:val="21"/>
                    </w:rPr>
                    <w:t xml:space="preserve"> </w:t>
                  </w:r>
                  <w:r>
                    <w:rPr>
                      <w:rFonts w:ascii="宋体" w:hAnsi="宋体" w:eastAsia="宋体" w:cs="宋体"/>
                      <w:color w:val="auto"/>
                      <w:spacing w:val="-2"/>
                      <w:sz w:val="21"/>
                      <w:szCs w:val="21"/>
                    </w:rPr>
                    <w:t>号</w:t>
                  </w:r>
                </w:p>
              </w:tc>
            </w:tr>
            <w:tr w14:paraId="39670F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2FEE046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22</w:t>
                  </w:r>
                </w:p>
              </w:tc>
              <w:tc>
                <w:tcPr>
                  <w:tcW w:w="961" w:type="dxa"/>
                  <w:vAlign w:val="center"/>
                </w:tcPr>
                <w:p w14:paraId="5AC51AD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韶关韶瑞铸钢有限公司</w:t>
                  </w:r>
                </w:p>
              </w:tc>
              <w:tc>
                <w:tcPr>
                  <w:tcW w:w="600" w:type="dxa"/>
                  <w:vAlign w:val="center"/>
                </w:tcPr>
                <w:p w14:paraId="69BAFC9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10C8046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162555CA">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75085</w:t>
                  </w:r>
                </w:p>
              </w:tc>
              <w:tc>
                <w:tcPr>
                  <w:tcW w:w="2053" w:type="dxa"/>
                  <w:vAlign w:val="center"/>
                </w:tcPr>
                <w:p w14:paraId="6A062EF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年产铸钢件、铸铁件</w:t>
                  </w:r>
                  <w:r>
                    <w:rPr>
                      <w:rFonts w:ascii="宋体" w:hAnsi="宋体" w:eastAsia="宋体" w:cs="宋体"/>
                      <w:color w:val="auto"/>
                      <w:spacing w:val="-39"/>
                      <w:sz w:val="21"/>
                      <w:szCs w:val="21"/>
                    </w:rPr>
                    <w:t xml:space="preserve"> </w:t>
                  </w:r>
                  <w:r>
                    <w:rPr>
                      <w:color w:val="auto"/>
                      <w:spacing w:val="-1"/>
                      <w:sz w:val="21"/>
                      <w:szCs w:val="21"/>
                    </w:rPr>
                    <w:t xml:space="preserve">4.1 </w:t>
                  </w:r>
                  <w:r>
                    <w:rPr>
                      <w:rFonts w:ascii="宋体" w:hAnsi="宋体" w:eastAsia="宋体" w:cs="宋体"/>
                      <w:color w:val="auto"/>
                      <w:spacing w:val="-1"/>
                      <w:sz w:val="21"/>
                      <w:szCs w:val="21"/>
                    </w:rPr>
                    <w:t>万吨</w:t>
                  </w:r>
                </w:p>
              </w:tc>
              <w:tc>
                <w:tcPr>
                  <w:tcW w:w="1878" w:type="dxa"/>
                  <w:vAlign w:val="center"/>
                </w:tcPr>
                <w:p w14:paraId="7EBE578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乐环函</w:t>
                  </w:r>
                  <w:r>
                    <w:rPr>
                      <w:color w:val="auto"/>
                      <w:spacing w:val="-3"/>
                      <w:sz w:val="21"/>
                      <w:szCs w:val="21"/>
                    </w:rPr>
                    <w:t>[</w:t>
                  </w:r>
                  <w:r>
                    <w:rPr>
                      <w:color w:val="auto"/>
                      <w:sz w:val="21"/>
                      <w:szCs w:val="21"/>
                    </w:rPr>
                    <w:fldChar w:fldCharType="begin"/>
                  </w:r>
                  <w:r>
                    <w:rPr>
                      <w:color w:val="auto"/>
                      <w:sz w:val="21"/>
                      <w:szCs w:val="21"/>
                    </w:rPr>
                    <w:instrText xml:space="preserve"> HYPERLINK \l "bookmark226" </w:instrText>
                  </w:r>
                  <w:r>
                    <w:rPr>
                      <w:color w:val="auto"/>
                      <w:sz w:val="21"/>
                      <w:szCs w:val="21"/>
                    </w:rPr>
                    <w:fldChar w:fldCharType="separate"/>
                  </w:r>
                  <w:r>
                    <w:rPr>
                      <w:color w:val="auto"/>
                      <w:spacing w:val="-3"/>
                      <w:sz w:val="21"/>
                      <w:szCs w:val="21"/>
                    </w:rPr>
                    <w:t>2011</w:t>
                  </w:r>
                  <w:r>
                    <w:rPr>
                      <w:color w:val="auto"/>
                      <w:spacing w:val="-3"/>
                      <w:sz w:val="21"/>
                      <w:szCs w:val="21"/>
                    </w:rPr>
                    <w:fldChar w:fldCharType="end"/>
                  </w:r>
                  <w:r>
                    <w:rPr>
                      <w:color w:val="auto"/>
                      <w:spacing w:val="-3"/>
                      <w:sz w:val="21"/>
                      <w:szCs w:val="21"/>
                    </w:rPr>
                    <w:t>]</w:t>
                  </w:r>
                  <w:r>
                    <w:rPr>
                      <w:color w:val="auto"/>
                      <w:spacing w:val="-20"/>
                      <w:sz w:val="21"/>
                      <w:szCs w:val="21"/>
                    </w:rPr>
                    <w:t xml:space="preserve"> </w:t>
                  </w:r>
                  <w:r>
                    <w:rPr>
                      <w:color w:val="auto"/>
                      <w:spacing w:val="-3"/>
                      <w:sz w:val="21"/>
                      <w:szCs w:val="21"/>
                    </w:rPr>
                    <w:t xml:space="preserve">163 </w:t>
                  </w:r>
                  <w:r>
                    <w:rPr>
                      <w:rFonts w:ascii="宋体" w:hAnsi="宋体" w:eastAsia="宋体" w:cs="宋体"/>
                      <w:color w:val="auto"/>
                      <w:spacing w:val="-3"/>
                      <w:sz w:val="21"/>
                      <w:szCs w:val="21"/>
                    </w:rPr>
                    <w:t>号、乐环审</w:t>
                  </w:r>
                  <w:r>
                    <w:rPr>
                      <w:rFonts w:ascii="宋体" w:hAnsi="宋体" w:eastAsia="宋体" w:cs="宋体"/>
                      <w:color w:val="auto"/>
                      <w:sz w:val="21"/>
                      <w:szCs w:val="21"/>
                    </w:rPr>
                    <w:t xml:space="preserve"> </w:t>
                  </w:r>
                  <w:r>
                    <w:rPr>
                      <w:color w:val="auto"/>
                      <w:spacing w:val="-3"/>
                      <w:sz w:val="21"/>
                      <w:szCs w:val="21"/>
                    </w:rPr>
                    <w:t>[</w:t>
                  </w:r>
                  <w:r>
                    <w:rPr>
                      <w:color w:val="auto"/>
                      <w:sz w:val="21"/>
                      <w:szCs w:val="21"/>
                    </w:rPr>
                    <w:fldChar w:fldCharType="begin"/>
                  </w:r>
                  <w:r>
                    <w:rPr>
                      <w:color w:val="auto"/>
                      <w:sz w:val="21"/>
                      <w:szCs w:val="21"/>
                    </w:rPr>
                    <w:instrText xml:space="preserve"> HYPERLINK \l "bookmark227" </w:instrText>
                  </w:r>
                  <w:r>
                    <w:rPr>
                      <w:color w:val="auto"/>
                      <w:sz w:val="21"/>
                      <w:szCs w:val="21"/>
                    </w:rPr>
                    <w:fldChar w:fldCharType="separate"/>
                  </w:r>
                  <w:r>
                    <w:rPr>
                      <w:color w:val="auto"/>
                      <w:spacing w:val="-3"/>
                      <w:sz w:val="21"/>
                      <w:szCs w:val="21"/>
                    </w:rPr>
                    <w:t>2017</w:t>
                  </w:r>
                  <w:r>
                    <w:rPr>
                      <w:color w:val="auto"/>
                      <w:spacing w:val="-3"/>
                      <w:sz w:val="21"/>
                      <w:szCs w:val="21"/>
                    </w:rPr>
                    <w:fldChar w:fldCharType="end"/>
                  </w:r>
                  <w:r>
                    <w:rPr>
                      <w:color w:val="auto"/>
                      <w:spacing w:val="-3"/>
                      <w:sz w:val="21"/>
                      <w:szCs w:val="21"/>
                    </w:rPr>
                    <w:t xml:space="preserve">]01 </w:t>
                  </w:r>
                  <w:r>
                    <w:rPr>
                      <w:rFonts w:ascii="宋体" w:hAnsi="宋体" w:eastAsia="宋体" w:cs="宋体"/>
                      <w:color w:val="auto"/>
                      <w:spacing w:val="-3"/>
                      <w:sz w:val="21"/>
                      <w:szCs w:val="21"/>
                    </w:rPr>
                    <w:t>号、乐环审</w:t>
                  </w:r>
                  <w:r>
                    <w:rPr>
                      <w:color w:val="auto"/>
                      <w:spacing w:val="-3"/>
                      <w:sz w:val="21"/>
                      <w:szCs w:val="21"/>
                    </w:rPr>
                    <w:t>[</w:t>
                  </w:r>
                  <w:r>
                    <w:rPr>
                      <w:color w:val="auto"/>
                      <w:sz w:val="21"/>
                      <w:szCs w:val="21"/>
                    </w:rPr>
                    <w:fldChar w:fldCharType="begin"/>
                  </w:r>
                  <w:r>
                    <w:rPr>
                      <w:color w:val="auto"/>
                      <w:sz w:val="21"/>
                      <w:szCs w:val="21"/>
                    </w:rPr>
                    <w:instrText xml:space="preserve"> HYPERLINK \l "bookmark228" </w:instrText>
                  </w:r>
                  <w:r>
                    <w:rPr>
                      <w:color w:val="auto"/>
                      <w:sz w:val="21"/>
                      <w:szCs w:val="21"/>
                    </w:rPr>
                    <w:fldChar w:fldCharType="separate"/>
                  </w:r>
                  <w:r>
                    <w:rPr>
                      <w:color w:val="auto"/>
                      <w:spacing w:val="-3"/>
                      <w:sz w:val="21"/>
                      <w:szCs w:val="21"/>
                    </w:rPr>
                    <w:t>2018</w:t>
                  </w:r>
                  <w:r>
                    <w:rPr>
                      <w:color w:val="auto"/>
                      <w:spacing w:val="-3"/>
                      <w:sz w:val="21"/>
                      <w:szCs w:val="21"/>
                    </w:rPr>
                    <w:fldChar w:fldCharType="end"/>
                  </w:r>
                  <w:r>
                    <w:rPr>
                      <w:color w:val="auto"/>
                      <w:spacing w:val="-3"/>
                      <w:sz w:val="21"/>
                      <w:szCs w:val="21"/>
                    </w:rPr>
                    <w:t>]</w:t>
                  </w:r>
                  <w:r>
                    <w:rPr>
                      <w:color w:val="auto"/>
                      <w:spacing w:val="-12"/>
                      <w:sz w:val="21"/>
                      <w:szCs w:val="21"/>
                    </w:rPr>
                    <w:t xml:space="preserve"> </w:t>
                  </w:r>
                  <w:r>
                    <w:rPr>
                      <w:color w:val="auto"/>
                      <w:spacing w:val="-3"/>
                      <w:sz w:val="21"/>
                      <w:szCs w:val="21"/>
                    </w:rPr>
                    <w:t>19</w:t>
                  </w:r>
                  <w:r>
                    <w:rPr>
                      <w:color w:val="auto"/>
                      <w:spacing w:val="14"/>
                      <w:w w:val="101"/>
                      <w:sz w:val="21"/>
                      <w:szCs w:val="21"/>
                    </w:rPr>
                    <w:t xml:space="preserve"> </w:t>
                  </w:r>
                  <w:r>
                    <w:rPr>
                      <w:rFonts w:ascii="宋体" w:hAnsi="宋体" w:eastAsia="宋体" w:cs="宋体"/>
                      <w:color w:val="auto"/>
                      <w:spacing w:val="-3"/>
                      <w:sz w:val="21"/>
                      <w:szCs w:val="21"/>
                    </w:rPr>
                    <w:t>号</w:t>
                  </w:r>
                </w:p>
              </w:tc>
            </w:tr>
            <w:tr w14:paraId="5AF1F4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0CF056E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23</w:t>
                  </w:r>
                </w:p>
              </w:tc>
              <w:tc>
                <w:tcPr>
                  <w:tcW w:w="961" w:type="dxa"/>
                  <w:vAlign w:val="center"/>
                </w:tcPr>
                <w:p w14:paraId="387038A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精信（乐昌）机械有限公司</w:t>
                  </w:r>
                </w:p>
              </w:tc>
              <w:tc>
                <w:tcPr>
                  <w:tcW w:w="600" w:type="dxa"/>
                  <w:vAlign w:val="center"/>
                </w:tcPr>
                <w:p w14:paraId="3EF9450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145A5B8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4E9E9FEA">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4"/>
                      <w:sz w:val="21"/>
                      <w:szCs w:val="21"/>
                    </w:rPr>
                    <w:t>16950.3</w:t>
                  </w:r>
                </w:p>
              </w:tc>
              <w:tc>
                <w:tcPr>
                  <w:tcW w:w="2053" w:type="dxa"/>
                  <w:vAlign w:val="center"/>
                </w:tcPr>
                <w:p w14:paraId="3BE13F32">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年产人防门配件</w:t>
                  </w:r>
                  <w:r>
                    <w:rPr>
                      <w:rFonts w:ascii="宋体" w:hAnsi="宋体" w:eastAsia="宋体" w:cs="宋体"/>
                      <w:color w:val="auto"/>
                      <w:spacing w:val="-19"/>
                      <w:sz w:val="21"/>
                      <w:szCs w:val="21"/>
                    </w:rPr>
                    <w:t xml:space="preserve"> </w:t>
                  </w:r>
                  <w:r>
                    <w:rPr>
                      <w:color w:val="auto"/>
                      <w:spacing w:val="-3"/>
                      <w:sz w:val="21"/>
                      <w:szCs w:val="21"/>
                    </w:rPr>
                    <w:t xml:space="preserve">11250 </w:t>
                  </w:r>
                  <w:r>
                    <w:rPr>
                      <w:rFonts w:ascii="宋体" w:hAnsi="宋体" w:eastAsia="宋体" w:cs="宋体"/>
                      <w:color w:val="auto"/>
                      <w:spacing w:val="-3"/>
                      <w:sz w:val="21"/>
                      <w:szCs w:val="21"/>
                    </w:rPr>
                    <w:t>套</w:t>
                  </w:r>
                </w:p>
              </w:tc>
              <w:tc>
                <w:tcPr>
                  <w:tcW w:w="1878" w:type="dxa"/>
                  <w:vAlign w:val="center"/>
                </w:tcPr>
                <w:p w14:paraId="185BB19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2021</w:t>
                  </w:r>
                  <w:r>
                    <w:rPr>
                      <w:rFonts w:ascii="宋体" w:hAnsi="宋体" w:eastAsia="宋体" w:cs="宋体"/>
                      <w:color w:val="auto"/>
                      <w:spacing w:val="-1"/>
                      <w:sz w:val="21"/>
                      <w:szCs w:val="21"/>
                    </w:rPr>
                    <w:t>〕</w:t>
                  </w:r>
                  <w:r>
                    <w:rPr>
                      <w:color w:val="auto"/>
                      <w:spacing w:val="-1"/>
                      <w:sz w:val="21"/>
                      <w:szCs w:val="21"/>
                    </w:rPr>
                    <w:t>25</w:t>
                  </w:r>
                  <w:r>
                    <w:rPr>
                      <w:color w:val="auto"/>
                      <w:spacing w:val="18"/>
                      <w:sz w:val="21"/>
                      <w:szCs w:val="21"/>
                    </w:rPr>
                    <w:t xml:space="preserve"> </w:t>
                  </w:r>
                  <w:r>
                    <w:rPr>
                      <w:rFonts w:ascii="宋体" w:hAnsi="宋体" w:eastAsia="宋体" w:cs="宋体"/>
                      <w:color w:val="auto"/>
                      <w:spacing w:val="-1"/>
                      <w:sz w:val="21"/>
                      <w:szCs w:val="21"/>
                    </w:rPr>
                    <w:t>号</w:t>
                  </w:r>
                </w:p>
              </w:tc>
            </w:tr>
            <w:tr w14:paraId="11B349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311" w:type="dxa"/>
                  <w:vAlign w:val="center"/>
                </w:tcPr>
                <w:p w14:paraId="1B77C06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24</w:t>
                  </w:r>
                </w:p>
              </w:tc>
              <w:tc>
                <w:tcPr>
                  <w:tcW w:w="961" w:type="dxa"/>
                  <w:vAlign w:val="center"/>
                </w:tcPr>
                <w:p w14:paraId="4358A33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韶关高尔德防雷科技有限公</w:t>
                  </w:r>
                </w:p>
                <w:p w14:paraId="2F13C8E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司</w:t>
                  </w:r>
                </w:p>
              </w:tc>
              <w:tc>
                <w:tcPr>
                  <w:tcW w:w="600" w:type="dxa"/>
                  <w:vAlign w:val="center"/>
                </w:tcPr>
                <w:p w14:paraId="4B9068D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4282777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电气机械和器材制</w:t>
                  </w:r>
                  <w:r>
                    <w:rPr>
                      <w:rFonts w:ascii="宋体" w:hAnsi="宋体" w:eastAsia="宋体" w:cs="宋体"/>
                      <w:color w:val="auto"/>
                      <w:spacing w:val="-2"/>
                      <w:sz w:val="21"/>
                      <w:szCs w:val="21"/>
                    </w:rPr>
                    <w:t>造业</w:t>
                  </w:r>
                </w:p>
              </w:tc>
              <w:tc>
                <w:tcPr>
                  <w:tcW w:w="1140" w:type="dxa"/>
                  <w:vAlign w:val="center"/>
                </w:tcPr>
                <w:p w14:paraId="3F3A632A">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4"/>
                      <w:sz w:val="21"/>
                      <w:szCs w:val="21"/>
                    </w:rPr>
                    <w:t>15561.5</w:t>
                  </w:r>
                </w:p>
              </w:tc>
              <w:tc>
                <w:tcPr>
                  <w:tcW w:w="2053" w:type="dxa"/>
                  <w:vAlign w:val="center"/>
                </w:tcPr>
                <w:p w14:paraId="39E7C65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rFonts w:ascii="宋体" w:hAnsi="宋体" w:eastAsia="宋体" w:cs="宋体"/>
                      <w:color w:val="auto"/>
                      <w:spacing w:val="-3"/>
                      <w:sz w:val="21"/>
                      <w:szCs w:val="21"/>
                    </w:rPr>
                    <w:t>年产防雷电子器件</w:t>
                  </w:r>
                  <w:r>
                    <w:rPr>
                      <w:rFonts w:ascii="宋体" w:hAnsi="宋体" w:eastAsia="宋体" w:cs="宋体"/>
                      <w:color w:val="auto"/>
                      <w:spacing w:val="-19"/>
                      <w:sz w:val="21"/>
                      <w:szCs w:val="21"/>
                    </w:rPr>
                    <w:t xml:space="preserve"> </w:t>
                  </w:r>
                  <w:r>
                    <w:rPr>
                      <w:color w:val="auto"/>
                      <w:spacing w:val="-3"/>
                      <w:sz w:val="21"/>
                      <w:szCs w:val="21"/>
                    </w:rPr>
                    <w:t>10</w:t>
                  </w:r>
                  <w:r>
                    <w:rPr>
                      <w:color w:val="auto"/>
                      <w:spacing w:val="14"/>
                      <w:sz w:val="21"/>
                      <w:szCs w:val="21"/>
                    </w:rPr>
                    <w:t xml:space="preserve"> </w:t>
                  </w:r>
                  <w:r>
                    <w:rPr>
                      <w:rFonts w:ascii="宋体" w:hAnsi="宋体" w:eastAsia="宋体" w:cs="宋体"/>
                      <w:color w:val="auto"/>
                      <w:spacing w:val="-3"/>
                      <w:sz w:val="21"/>
                      <w:szCs w:val="21"/>
                    </w:rPr>
                    <w:t>万套、</w:t>
                  </w:r>
                  <w:r>
                    <w:rPr>
                      <w:color w:val="auto"/>
                      <w:spacing w:val="-3"/>
                      <w:sz w:val="21"/>
                      <w:szCs w:val="21"/>
                    </w:rPr>
                    <w:t xml:space="preserve">3 </w:t>
                  </w:r>
                  <w:r>
                    <w:rPr>
                      <w:rFonts w:ascii="宋体" w:hAnsi="宋体" w:eastAsia="宋体" w:cs="宋体"/>
                      <w:color w:val="auto"/>
                      <w:spacing w:val="-3"/>
                      <w:sz w:val="21"/>
                      <w:szCs w:val="21"/>
                    </w:rPr>
                    <w:t xml:space="preserve">万台移动通信基站电源、 </w:t>
                  </w:r>
                  <w:r>
                    <w:rPr>
                      <w:color w:val="auto"/>
                      <w:spacing w:val="-3"/>
                      <w:sz w:val="21"/>
                      <w:szCs w:val="21"/>
                    </w:rPr>
                    <w:t>480</w:t>
                  </w:r>
                </w:p>
                <w:p w14:paraId="398C307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万</w:t>
                  </w:r>
                  <w:r>
                    <w:rPr>
                      <w:rFonts w:ascii="宋体" w:hAnsi="宋体" w:eastAsia="宋体" w:cs="宋体"/>
                      <w:color w:val="auto"/>
                      <w:spacing w:val="-48"/>
                      <w:sz w:val="21"/>
                      <w:szCs w:val="21"/>
                    </w:rPr>
                    <w:t xml:space="preserve"> </w:t>
                  </w:r>
                  <w:r>
                    <w:rPr>
                      <w:color w:val="auto"/>
                      <w:spacing w:val="-2"/>
                      <w:sz w:val="21"/>
                      <w:szCs w:val="21"/>
                    </w:rPr>
                    <w:t xml:space="preserve">AH </w:t>
                  </w:r>
                  <w:r>
                    <w:rPr>
                      <w:rFonts w:ascii="宋体" w:hAnsi="宋体" w:eastAsia="宋体" w:cs="宋体"/>
                      <w:color w:val="auto"/>
                      <w:spacing w:val="-2"/>
                      <w:sz w:val="21"/>
                      <w:szCs w:val="21"/>
                    </w:rPr>
                    <w:t>铁锂电池</w:t>
                  </w:r>
                </w:p>
              </w:tc>
              <w:tc>
                <w:tcPr>
                  <w:tcW w:w="1878" w:type="dxa"/>
                  <w:vAlign w:val="center"/>
                </w:tcPr>
                <w:p w14:paraId="60904EE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乐环审</w:t>
                  </w:r>
                  <w:r>
                    <w:rPr>
                      <w:color w:val="auto"/>
                      <w:spacing w:val="-1"/>
                      <w:sz w:val="21"/>
                      <w:szCs w:val="21"/>
                    </w:rPr>
                    <w:t>[</w:t>
                  </w:r>
                  <w:r>
                    <w:rPr>
                      <w:color w:val="auto"/>
                      <w:sz w:val="21"/>
                      <w:szCs w:val="21"/>
                    </w:rPr>
                    <w:fldChar w:fldCharType="begin"/>
                  </w:r>
                  <w:r>
                    <w:rPr>
                      <w:color w:val="auto"/>
                      <w:sz w:val="21"/>
                      <w:szCs w:val="21"/>
                    </w:rPr>
                    <w:instrText xml:space="preserve"> HYPERLINK \l "bookmark229" </w:instrText>
                  </w:r>
                  <w:r>
                    <w:rPr>
                      <w:color w:val="auto"/>
                      <w:sz w:val="21"/>
                      <w:szCs w:val="21"/>
                    </w:rPr>
                    <w:fldChar w:fldCharType="separate"/>
                  </w:r>
                  <w:r>
                    <w:rPr>
                      <w:color w:val="auto"/>
                      <w:spacing w:val="-1"/>
                      <w:sz w:val="21"/>
                      <w:szCs w:val="21"/>
                    </w:rPr>
                    <w:t>2015</w:t>
                  </w:r>
                  <w:r>
                    <w:rPr>
                      <w:color w:val="auto"/>
                      <w:spacing w:val="-1"/>
                      <w:sz w:val="21"/>
                      <w:szCs w:val="21"/>
                    </w:rPr>
                    <w:fldChar w:fldCharType="end"/>
                  </w:r>
                  <w:r>
                    <w:rPr>
                      <w:color w:val="auto"/>
                      <w:spacing w:val="-1"/>
                      <w:sz w:val="21"/>
                      <w:szCs w:val="21"/>
                    </w:rPr>
                    <w:t xml:space="preserve">]240 </w:t>
                  </w:r>
                  <w:r>
                    <w:rPr>
                      <w:rFonts w:ascii="宋体" w:hAnsi="宋体" w:eastAsia="宋体" w:cs="宋体"/>
                      <w:color w:val="auto"/>
                      <w:spacing w:val="-1"/>
                      <w:sz w:val="21"/>
                      <w:szCs w:val="21"/>
                    </w:rPr>
                    <w:t>号、乐环审</w:t>
                  </w:r>
                  <w:r>
                    <w:rPr>
                      <w:rFonts w:ascii="宋体" w:hAnsi="宋体" w:eastAsia="宋体" w:cs="宋体"/>
                      <w:color w:val="auto"/>
                      <w:spacing w:val="-4"/>
                      <w:sz w:val="21"/>
                      <w:szCs w:val="21"/>
                    </w:rPr>
                    <w:t>〔</w:t>
                  </w:r>
                  <w:r>
                    <w:rPr>
                      <w:color w:val="auto"/>
                      <w:spacing w:val="-4"/>
                      <w:sz w:val="21"/>
                      <w:szCs w:val="21"/>
                    </w:rPr>
                    <w:t>2020</w:t>
                  </w:r>
                  <w:r>
                    <w:rPr>
                      <w:rFonts w:ascii="宋体" w:hAnsi="宋体" w:eastAsia="宋体" w:cs="宋体"/>
                      <w:color w:val="auto"/>
                      <w:spacing w:val="-4"/>
                      <w:sz w:val="21"/>
                      <w:szCs w:val="21"/>
                    </w:rPr>
                    <w:t>〕</w:t>
                  </w:r>
                  <w:r>
                    <w:rPr>
                      <w:color w:val="auto"/>
                      <w:spacing w:val="-4"/>
                      <w:sz w:val="21"/>
                      <w:szCs w:val="21"/>
                    </w:rPr>
                    <w:t>12</w:t>
                  </w:r>
                  <w:r>
                    <w:rPr>
                      <w:color w:val="auto"/>
                      <w:spacing w:val="17"/>
                      <w:sz w:val="21"/>
                      <w:szCs w:val="21"/>
                    </w:rPr>
                    <w:t xml:space="preserve"> </w:t>
                  </w:r>
                  <w:r>
                    <w:rPr>
                      <w:rFonts w:ascii="宋体" w:hAnsi="宋体" w:eastAsia="宋体" w:cs="宋体"/>
                      <w:color w:val="auto"/>
                      <w:spacing w:val="-4"/>
                      <w:sz w:val="21"/>
                      <w:szCs w:val="21"/>
                    </w:rPr>
                    <w:t>号</w:t>
                  </w:r>
                </w:p>
              </w:tc>
            </w:tr>
            <w:tr w14:paraId="5D179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458D2D1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25</w:t>
                  </w:r>
                </w:p>
              </w:tc>
              <w:tc>
                <w:tcPr>
                  <w:tcW w:w="961" w:type="dxa"/>
                  <w:vAlign w:val="center"/>
                </w:tcPr>
                <w:p w14:paraId="18CB967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韶关博尔兹阀门工业有限公</w:t>
                  </w:r>
                </w:p>
                <w:p w14:paraId="414BC6D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司</w:t>
                  </w:r>
                </w:p>
              </w:tc>
              <w:tc>
                <w:tcPr>
                  <w:tcW w:w="600" w:type="dxa"/>
                  <w:vAlign w:val="center"/>
                </w:tcPr>
                <w:p w14:paraId="05C3131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7741007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751150F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20198.7</w:t>
                  </w:r>
                </w:p>
              </w:tc>
              <w:tc>
                <w:tcPr>
                  <w:tcW w:w="2053" w:type="dxa"/>
                  <w:vAlign w:val="center"/>
                </w:tcPr>
                <w:p w14:paraId="21BCF6B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年产阀门</w:t>
                  </w:r>
                  <w:r>
                    <w:rPr>
                      <w:rFonts w:ascii="宋体" w:hAnsi="宋体" w:eastAsia="宋体" w:cs="宋体"/>
                      <w:color w:val="auto"/>
                      <w:spacing w:val="-31"/>
                      <w:sz w:val="21"/>
                      <w:szCs w:val="21"/>
                    </w:rPr>
                    <w:t xml:space="preserve"> </w:t>
                  </w:r>
                  <w:r>
                    <w:rPr>
                      <w:color w:val="auto"/>
                      <w:sz w:val="21"/>
                      <w:szCs w:val="21"/>
                    </w:rPr>
                    <w:t xml:space="preserve">5000 </w:t>
                  </w:r>
                  <w:r>
                    <w:rPr>
                      <w:rFonts w:ascii="宋体" w:hAnsi="宋体" w:eastAsia="宋体" w:cs="宋体"/>
                      <w:color w:val="auto"/>
                      <w:sz w:val="21"/>
                      <w:szCs w:val="21"/>
                    </w:rPr>
                    <w:t>件、铸钢件</w:t>
                  </w:r>
                  <w:r>
                    <w:rPr>
                      <w:rFonts w:ascii="宋体" w:hAnsi="宋体" w:eastAsia="宋体" w:cs="宋体"/>
                      <w:color w:val="auto"/>
                      <w:spacing w:val="-28"/>
                      <w:sz w:val="21"/>
                      <w:szCs w:val="21"/>
                    </w:rPr>
                    <w:t xml:space="preserve"> </w:t>
                  </w:r>
                  <w:r>
                    <w:rPr>
                      <w:color w:val="auto"/>
                      <w:sz w:val="21"/>
                      <w:szCs w:val="21"/>
                    </w:rPr>
                    <w:t xml:space="preserve">1.2 </w:t>
                  </w:r>
                  <w:r>
                    <w:rPr>
                      <w:rFonts w:ascii="宋体" w:hAnsi="宋体" w:eastAsia="宋体" w:cs="宋体"/>
                      <w:color w:val="auto"/>
                      <w:sz w:val="21"/>
                      <w:szCs w:val="21"/>
                    </w:rPr>
                    <w:t>万件、铸铁件</w:t>
                  </w:r>
                  <w:r>
                    <w:rPr>
                      <w:color w:val="auto"/>
                      <w:sz w:val="21"/>
                      <w:szCs w:val="21"/>
                    </w:rPr>
                    <w:t xml:space="preserve">2.3 </w:t>
                  </w:r>
                  <w:r>
                    <w:rPr>
                      <w:rFonts w:ascii="宋体" w:hAnsi="宋体" w:eastAsia="宋体" w:cs="宋体"/>
                      <w:color w:val="auto"/>
                      <w:sz w:val="21"/>
                      <w:szCs w:val="21"/>
                    </w:rPr>
                    <w:t>万件、机械</w:t>
                  </w:r>
                </w:p>
                <w:p w14:paraId="0672D85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配件</w:t>
                  </w:r>
                  <w:r>
                    <w:rPr>
                      <w:rFonts w:ascii="宋体" w:hAnsi="宋体" w:eastAsia="宋体" w:cs="宋体"/>
                      <w:color w:val="auto"/>
                      <w:spacing w:val="-24"/>
                      <w:sz w:val="21"/>
                      <w:szCs w:val="21"/>
                    </w:rPr>
                    <w:t xml:space="preserve"> </w:t>
                  </w:r>
                  <w:r>
                    <w:rPr>
                      <w:color w:val="auto"/>
                      <w:spacing w:val="-8"/>
                      <w:sz w:val="21"/>
                      <w:szCs w:val="21"/>
                    </w:rPr>
                    <w:t>1</w:t>
                  </w:r>
                  <w:r>
                    <w:rPr>
                      <w:color w:val="auto"/>
                      <w:spacing w:val="11"/>
                      <w:sz w:val="21"/>
                      <w:szCs w:val="21"/>
                    </w:rPr>
                    <w:t xml:space="preserve"> </w:t>
                  </w:r>
                  <w:r>
                    <w:rPr>
                      <w:rFonts w:ascii="宋体" w:hAnsi="宋体" w:eastAsia="宋体" w:cs="宋体"/>
                      <w:color w:val="auto"/>
                      <w:spacing w:val="-8"/>
                      <w:sz w:val="21"/>
                      <w:szCs w:val="21"/>
                    </w:rPr>
                    <w:t>万件</w:t>
                  </w:r>
                </w:p>
              </w:tc>
              <w:tc>
                <w:tcPr>
                  <w:tcW w:w="1878" w:type="dxa"/>
                  <w:vAlign w:val="center"/>
                </w:tcPr>
                <w:p w14:paraId="1FFA44AB">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3"/>
                      <w:sz w:val="21"/>
                      <w:szCs w:val="21"/>
                    </w:rPr>
                    <w:t>乐环函</w:t>
                  </w:r>
                  <w:r>
                    <w:rPr>
                      <w:color w:val="auto"/>
                      <w:spacing w:val="-13"/>
                      <w:sz w:val="21"/>
                      <w:szCs w:val="21"/>
                    </w:rPr>
                    <w:t>[</w:t>
                  </w:r>
                  <w:r>
                    <w:rPr>
                      <w:color w:val="auto"/>
                      <w:sz w:val="21"/>
                      <w:szCs w:val="21"/>
                    </w:rPr>
                    <w:fldChar w:fldCharType="begin"/>
                  </w:r>
                  <w:r>
                    <w:rPr>
                      <w:color w:val="auto"/>
                      <w:sz w:val="21"/>
                      <w:szCs w:val="21"/>
                    </w:rPr>
                    <w:instrText xml:space="preserve"> HYPERLINK \l "bookmark230" </w:instrText>
                  </w:r>
                  <w:r>
                    <w:rPr>
                      <w:color w:val="auto"/>
                      <w:sz w:val="21"/>
                      <w:szCs w:val="21"/>
                    </w:rPr>
                    <w:fldChar w:fldCharType="separate"/>
                  </w:r>
                  <w:r>
                    <w:rPr>
                      <w:color w:val="auto"/>
                      <w:spacing w:val="-13"/>
                      <w:sz w:val="21"/>
                      <w:szCs w:val="21"/>
                    </w:rPr>
                    <w:t>2009</w:t>
                  </w:r>
                  <w:r>
                    <w:rPr>
                      <w:color w:val="auto"/>
                      <w:spacing w:val="-13"/>
                      <w:sz w:val="21"/>
                      <w:szCs w:val="21"/>
                    </w:rPr>
                    <w:fldChar w:fldCharType="end"/>
                  </w:r>
                  <w:r>
                    <w:rPr>
                      <w:color w:val="auto"/>
                      <w:spacing w:val="-13"/>
                      <w:sz w:val="21"/>
                      <w:szCs w:val="21"/>
                    </w:rPr>
                    <w:t>]94</w:t>
                  </w:r>
                  <w:r>
                    <w:rPr>
                      <w:color w:val="auto"/>
                      <w:spacing w:val="30"/>
                      <w:sz w:val="21"/>
                      <w:szCs w:val="21"/>
                    </w:rPr>
                    <w:t xml:space="preserve"> </w:t>
                  </w:r>
                  <w:r>
                    <w:rPr>
                      <w:rFonts w:ascii="宋体" w:hAnsi="宋体" w:eastAsia="宋体" w:cs="宋体"/>
                      <w:color w:val="auto"/>
                      <w:spacing w:val="-13"/>
                      <w:sz w:val="21"/>
                      <w:szCs w:val="21"/>
                    </w:rPr>
                    <w:t>号、乐环审〔</w:t>
                  </w:r>
                  <w:r>
                    <w:rPr>
                      <w:color w:val="auto"/>
                      <w:spacing w:val="-13"/>
                      <w:sz w:val="21"/>
                      <w:szCs w:val="21"/>
                    </w:rPr>
                    <w:t>2018</w:t>
                  </w:r>
                  <w:r>
                    <w:rPr>
                      <w:rFonts w:ascii="宋体" w:hAnsi="宋体" w:eastAsia="宋体" w:cs="宋体"/>
                      <w:color w:val="auto"/>
                      <w:spacing w:val="-13"/>
                      <w:sz w:val="21"/>
                      <w:szCs w:val="21"/>
                    </w:rPr>
                    <w:t>〕</w:t>
                  </w:r>
                </w:p>
                <w:p w14:paraId="4E32673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color w:val="auto"/>
                      <w:spacing w:val="-3"/>
                      <w:sz w:val="21"/>
                      <w:szCs w:val="21"/>
                    </w:rPr>
                    <w:t>65</w:t>
                  </w:r>
                  <w:r>
                    <w:rPr>
                      <w:color w:val="auto"/>
                      <w:spacing w:val="13"/>
                      <w:w w:val="101"/>
                      <w:sz w:val="21"/>
                      <w:szCs w:val="21"/>
                    </w:rPr>
                    <w:t xml:space="preserve"> </w:t>
                  </w:r>
                  <w:r>
                    <w:rPr>
                      <w:rFonts w:ascii="宋体" w:hAnsi="宋体" w:eastAsia="宋体" w:cs="宋体"/>
                      <w:color w:val="auto"/>
                      <w:spacing w:val="-3"/>
                      <w:sz w:val="21"/>
                      <w:szCs w:val="21"/>
                    </w:rPr>
                    <w:t>号</w:t>
                  </w:r>
                </w:p>
              </w:tc>
            </w:tr>
            <w:tr w14:paraId="49C0F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1AC39B59">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26</w:t>
                  </w:r>
                </w:p>
              </w:tc>
              <w:tc>
                <w:tcPr>
                  <w:tcW w:w="961" w:type="dxa"/>
                  <w:vAlign w:val="center"/>
                </w:tcPr>
                <w:p w14:paraId="1AA6FBC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广东科拓电子元件有限公司</w:t>
                  </w:r>
                </w:p>
              </w:tc>
              <w:tc>
                <w:tcPr>
                  <w:tcW w:w="600" w:type="dxa"/>
                  <w:vAlign w:val="center"/>
                </w:tcPr>
                <w:p w14:paraId="0D5F10E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195BE86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电气机械和器材制</w:t>
                  </w:r>
                  <w:r>
                    <w:rPr>
                      <w:rFonts w:ascii="宋体" w:hAnsi="宋体" w:eastAsia="宋体" w:cs="宋体"/>
                      <w:color w:val="auto"/>
                      <w:spacing w:val="-2"/>
                      <w:sz w:val="21"/>
                      <w:szCs w:val="21"/>
                    </w:rPr>
                    <w:t>造业</w:t>
                  </w:r>
                </w:p>
              </w:tc>
              <w:tc>
                <w:tcPr>
                  <w:tcW w:w="1140" w:type="dxa"/>
                  <w:vAlign w:val="center"/>
                </w:tcPr>
                <w:p w14:paraId="38BA2F22">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4"/>
                      <w:sz w:val="21"/>
                      <w:szCs w:val="21"/>
                    </w:rPr>
                    <w:t>1720.83</w:t>
                  </w:r>
                </w:p>
              </w:tc>
              <w:tc>
                <w:tcPr>
                  <w:tcW w:w="2053" w:type="dxa"/>
                  <w:vAlign w:val="center"/>
                </w:tcPr>
                <w:p w14:paraId="6F903E7C">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年产电容、电阻器</w:t>
                  </w:r>
                  <w:r>
                    <w:rPr>
                      <w:rFonts w:ascii="宋体" w:hAnsi="宋体" w:eastAsia="宋体" w:cs="宋体"/>
                      <w:color w:val="auto"/>
                      <w:spacing w:val="-32"/>
                      <w:sz w:val="21"/>
                      <w:szCs w:val="21"/>
                    </w:rPr>
                    <w:t xml:space="preserve"> </w:t>
                  </w:r>
                  <w:r>
                    <w:rPr>
                      <w:color w:val="auto"/>
                      <w:spacing w:val="-2"/>
                      <w:sz w:val="21"/>
                      <w:szCs w:val="21"/>
                    </w:rPr>
                    <w:t xml:space="preserve">8 </w:t>
                  </w:r>
                  <w:r>
                    <w:rPr>
                      <w:rFonts w:ascii="宋体" w:hAnsi="宋体" w:eastAsia="宋体" w:cs="宋体"/>
                      <w:color w:val="auto"/>
                      <w:spacing w:val="-2"/>
                      <w:sz w:val="21"/>
                      <w:szCs w:val="21"/>
                    </w:rPr>
                    <w:t>亿只</w:t>
                  </w:r>
                </w:p>
              </w:tc>
              <w:tc>
                <w:tcPr>
                  <w:tcW w:w="1878" w:type="dxa"/>
                  <w:vAlign w:val="center"/>
                </w:tcPr>
                <w:p w14:paraId="2E72481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2021</w:t>
                  </w:r>
                  <w:r>
                    <w:rPr>
                      <w:rFonts w:ascii="宋体" w:hAnsi="宋体" w:eastAsia="宋体" w:cs="宋体"/>
                      <w:color w:val="auto"/>
                      <w:spacing w:val="-1"/>
                      <w:sz w:val="21"/>
                      <w:szCs w:val="21"/>
                    </w:rPr>
                    <w:t>〕</w:t>
                  </w:r>
                  <w:r>
                    <w:rPr>
                      <w:color w:val="auto"/>
                      <w:spacing w:val="-1"/>
                      <w:sz w:val="21"/>
                      <w:szCs w:val="21"/>
                    </w:rPr>
                    <w:t>13</w:t>
                  </w:r>
                  <w:r>
                    <w:rPr>
                      <w:color w:val="auto"/>
                      <w:spacing w:val="18"/>
                      <w:sz w:val="21"/>
                      <w:szCs w:val="21"/>
                    </w:rPr>
                    <w:t xml:space="preserve"> </w:t>
                  </w:r>
                  <w:r>
                    <w:rPr>
                      <w:rFonts w:ascii="宋体" w:hAnsi="宋体" w:eastAsia="宋体" w:cs="宋体"/>
                      <w:color w:val="auto"/>
                      <w:spacing w:val="-1"/>
                      <w:sz w:val="21"/>
                      <w:szCs w:val="21"/>
                    </w:rPr>
                    <w:t>号</w:t>
                  </w:r>
                </w:p>
              </w:tc>
            </w:tr>
            <w:tr w14:paraId="343F59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0478003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27</w:t>
                  </w:r>
                </w:p>
              </w:tc>
              <w:tc>
                <w:tcPr>
                  <w:tcW w:w="961" w:type="dxa"/>
                  <w:vAlign w:val="center"/>
                </w:tcPr>
                <w:p w14:paraId="3E08401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宇创箱包制品（韶关市乐昌）</w:t>
                  </w:r>
                </w:p>
                <w:p w14:paraId="772B6A13">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有限公司</w:t>
                  </w:r>
                </w:p>
              </w:tc>
              <w:tc>
                <w:tcPr>
                  <w:tcW w:w="600" w:type="dxa"/>
                  <w:vAlign w:val="center"/>
                </w:tcPr>
                <w:p w14:paraId="03A3E4D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731A6CE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皮革、毛皮、羽毛</w:t>
                  </w:r>
                  <w:r>
                    <w:rPr>
                      <w:rFonts w:ascii="宋体" w:hAnsi="宋体" w:eastAsia="宋体" w:cs="宋体"/>
                      <w:color w:val="auto"/>
                      <w:spacing w:val="-1"/>
                      <w:sz w:val="21"/>
                      <w:szCs w:val="21"/>
                    </w:rPr>
                    <w:t>及其制品和制鞋业</w:t>
                  </w:r>
                </w:p>
              </w:tc>
              <w:tc>
                <w:tcPr>
                  <w:tcW w:w="1140" w:type="dxa"/>
                  <w:vAlign w:val="center"/>
                </w:tcPr>
                <w:p w14:paraId="2E87CB8C">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5"/>
                      <w:sz w:val="21"/>
                      <w:szCs w:val="21"/>
                    </w:rPr>
                    <w:t>1200</w:t>
                  </w:r>
                </w:p>
              </w:tc>
              <w:tc>
                <w:tcPr>
                  <w:tcW w:w="2053" w:type="dxa"/>
                  <w:vAlign w:val="center"/>
                </w:tcPr>
                <w:p w14:paraId="455A023C">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年产钱包</w:t>
                  </w:r>
                  <w:r>
                    <w:rPr>
                      <w:rFonts w:ascii="宋体" w:hAnsi="宋体" w:eastAsia="宋体" w:cs="宋体"/>
                      <w:color w:val="auto"/>
                      <w:spacing w:val="-30"/>
                      <w:sz w:val="21"/>
                      <w:szCs w:val="21"/>
                    </w:rPr>
                    <w:t xml:space="preserve"> </w:t>
                  </w:r>
                  <w:r>
                    <w:rPr>
                      <w:color w:val="auto"/>
                      <w:spacing w:val="-4"/>
                      <w:sz w:val="21"/>
                      <w:szCs w:val="21"/>
                    </w:rPr>
                    <w:t>30</w:t>
                  </w:r>
                  <w:r>
                    <w:rPr>
                      <w:color w:val="auto"/>
                      <w:spacing w:val="13"/>
                      <w:w w:val="101"/>
                      <w:sz w:val="21"/>
                      <w:szCs w:val="21"/>
                    </w:rPr>
                    <w:t xml:space="preserve"> </w:t>
                  </w:r>
                  <w:r>
                    <w:rPr>
                      <w:rFonts w:ascii="宋体" w:hAnsi="宋体" w:eastAsia="宋体" w:cs="宋体"/>
                      <w:color w:val="auto"/>
                      <w:spacing w:val="-4"/>
                      <w:sz w:val="21"/>
                      <w:szCs w:val="21"/>
                    </w:rPr>
                    <w:t>万个，手袋</w:t>
                  </w:r>
                  <w:r>
                    <w:rPr>
                      <w:rFonts w:ascii="宋体" w:hAnsi="宋体" w:eastAsia="宋体" w:cs="宋体"/>
                      <w:color w:val="auto"/>
                      <w:spacing w:val="-44"/>
                      <w:sz w:val="21"/>
                      <w:szCs w:val="21"/>
                    </w:rPr>
                    <w:t xml:space="preserve"> </w:t>
                  </w:r>
                  <w:r>
                    <w:rPr>
                      <w:color w:val="auto"/>
                      <w:spacing w:val="-4"/>
                      <w:sz w:val="21"/>
                      <w:szCs w:val="21"/>
                    </w:rPr>
                    <w:t>50</w:t>
                  </w:r>
                  <w:r>
                    <w:rPr>
                      <w:color w:val="auto"/>
                      <w:spacing w:val="13"/>
                      <w:w w:val="101"/>
                      <w:sz w:val="21"/>
                      <w:szCs w:val="21"/>
                    </w:rPr>
                    <w:t xml:space="preserve"> </w:t>
                  </w:r>
                  <w:r>
                    <w:rPr>
                      <w:rFonts w:ascii="宋体" w:hAnsi="宋体" w:eastAsia="宋体" w:cs="宋体"/>
                      <w:color w:val="auto"/>
                      <w:spacing w:val="-4"/>
                      <w:sz w:val="21"/>
                      <w:szCs w:val="21"/>
                    </w:rPr>
                    <w:t>万个</w:t>
                  </w:r>
                </w:p>
              </w:tc>
              <w:tc>
                <w:tcPr>
                  <w:tcW w:w="1878" w:type="dxa"/>
                  <w:vAlign w:val="center"/>
                </w:tcPr>
                <w:p w14:paraId="69CD45B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乐环审〔</w:t>
                  </w:r>
                  <w:r>
                    <w:rPr>
                      <w:color w:val="auto"/>
                      <w:spacing w:val="-1"/>
                      <w:sz w:val="21"/>
                      <w:szCs w:val="21"/>
                    </w:rPr>
                    <w:t>2020</w:t>
                  </w:r>
                  <w:r>
                    <w:rPr>
                      <w:rFonts w:ascii="宋体" w:hAnsi="宋体" w:eastAsia="宋体" w:cs="宋体"/>
                      <w:color w:val="auto"/>
                      <w:spacing w:val="-1"/>
                      <w:sz w:val="21"/>
                      <w:szCs w:val="21"/>
                    </w:rPr>
                    <w:t>〕</w:t>
                  </w:r>
                  <w:r>
                    <w:rPr>
                      <w:color w:val="auto"/>
                      <w:spacing w:val="-1"/>
                      <w:sz w:val="21"/>
                      <w:szCs w:val="21"/>
                    </w:rPr>
                    <w:t xml:space="preserve">09 </w:t>
                  </w:r>
                  <w:r>
                    <w:rPr>
                      <w:rFonts w:ascii="宋体" w:hAnsi="宋体" w:eastAsia="宋体" w:cs="宋体"/>
                      <w:color w:val="auto"/>
                      <w:spacing w:val="-1"/>
                      <w:sz w:val="21"/>
                      <w:szCs w:val="21"/>
                    </w:rPr>
                    <w:t>号</w:t>
                  </w:r>
                </w:p>
              </w:tc>
            </w:tr>
            <w:tr w14:paraId="2CF48A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6C5C4AE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28</w:t>
                  </w:r>
                </w:p>
              </w:tc>
              <w:tc>
                <w:tcPr>
                  <w:tcW w:w="961" w:type="dxa"/>
                  <w:vAlign w:val="center"/>
                </w:tcPr>
                <w:p w14:paraId="7335766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广东启轮金属制品有限公司</w:t>
                  </w:r>
                </w:p>
              </w:tc>
              <w:tc>
                <w:tcPr>
                  <w:tcW w:w="600" w:type="dxa"/>
                  <w:vAlign w:val="center"/>
                </w:tcPr>
                <w:p w14:paraId="43A0E65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158B25F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6F4825F9">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4"/>
                      <w:sz w:val="21"/>
                      <w:szCs w:val="21"/>
                    </w:rPr>
                    <w:t>10679.3</w:t>
                  </w:r>
                </w:p>
              </w:tc>
              <w:tc>
                <w:tcPr>
                  <w:tcW w:w="2053" w:type="dxa"/>
                  <w:vAlign w:val="center"/>
                </w:tcPr>
                <w:p w14:paraId="499BED3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5"/>
                      <w:sz w:val="21"/>
                      <w:szCs w:val="21"/>
                    </w:rPr>
                    <w:t>年产脚轮</w:t>
                  </w:r>
                  <w:r>
                    <w:rPr>
                      <w:rFonts w:ascii="宋体" w:hAnsi="宋体" w:eastAsia="宋体" w:cs="宋体"/>
                      <w:color w:val="auto"/>
                      <w:spacing w:val="-22"/>
                      <w:sz w:val="21"/>
                      <w:szCs w:val="21"/>
                    </w:rPr>
                    <w:t xml:space="preserve"> </w:t>
                  </w:r>
                  <w:r>
                    <w:rPr>
                      <w:color w:val="auto"/>
                      <w:spacing w:val="-5"/>
                      <w:sz w:val="21"/>
                      <w:szCs w:val="21"/>
                    </w:rPr>
                    <w:t>100</w:t>
                  </w:r>
                  <w:r>
                    <w:rPr>
                      <w:color w:val="auto"/>
                      <w:spacing w:val="13"/>
                      <w:w w:val="101"/>
                      <w:sz w:val="21"/>
                      <w:szCs w:val="21"/>
                    </w:rPr>
                    <w:t xml:space="preserve"> </w:t>
                  </w:r>
                  <w:r>
                    <w:rPr>
                      <w:rFonts w:ascii="宋体" w:hAnsi="宋体" w:eastAsia="宋体" w:cs="宋体"/>
                      <w:color w:val="auto"/>
                      <w:spacing w:val="-5"/>
                      <w:sz w:val="21"/>
                      <w:szCs w:val="21"/>
                    </w:rPr>
                    <w:t>万个</w:t>
                  </w:r>
                </w:p>
              </w:tc>
              <w:tc>
                <w:tcPr>
                  <w:tcW w:w="1878" w:type="dxa"/>
                  <w:vAlign w:val="center"/>
                </w:tcPr>
                <w:p w14:paraId="7C1D5D6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韶环乐审〔</w:t>
                  </w:r>
                  <w:r>
                    <w:rPr>
                      <w:color w:val="auto"/>
                      <w:spacing w:val="-2"/>
                      <w:sz w:val="21"/>
                      <w:szCs w:val="21"/>
                    </w:rPr>
                    <w:t>2021</w:t>
                  </w:r>
                  <w:r>
                    <w:rPr>
                      <w:rFonts w:ascii="宋体" w:hAnsi="宋体" w:eastAsia="宋体" w:cs="宋体"/>
                      <w:color w:val="auto"/>
                      <w:spacing w:val="-2"/>
                      <w:sz w:val="21"/>
                      <w:szCs w:val="21"/>
                    </w:rPr>
                    <w:t>〕</w:t>
                  </w:r>
                  <w:r>
                    <w:rPr>
                      <w:color w:val="auto"/>
                      <w:spacing w:val="-2"/>
                      <w:sz w:val="21"/>
                      <w:szCs w:val="21"/>
                    </w:rPr>
                    <w:t>22</w:t>
                  </w:r>
                  <w:r>
                    <w:rPr>
                      <w:color w:val="auto"/>
                      <w:spacing w:val="26"/>
                      <w:w w:val="101"/>
                      <w:sz w:val="21"/>
                      <w:szCs w:val="21"/>
                    </w:rPr>
                    <w:t xml:space="preserve"> </w:t>
                  </w:r>
                  <w:r>
                    <w:rPr>
                      <w:rFonts w:ascii="宋体" w:hAnsi="宋体" w:eastAsia="宋体" w:cs="宋体"/>
                      <w:color w:val="auto"/>
                      <w:spacing w:val="-2"/>
                      <w:sz w:val="21"/>
                      <w:szCs w:val="21"/>
                    </w:rPr>
                    <w:t>号、韶环乐</w:t>
                  </w:r>
                  <w:r>
                    <w:rPr>
                      <w:rFonts w:ascii="宋体" w:hAnsi="宋体" w:eastAsia="宋体" w:cs="宋体"/>
                      <w:color w:val="auto"/>
                      <w:spacing w:val="-1"/>
                      <w:sz w:val="21"/>
                      <w:szCs w:val="21"/>
                    </w:rPr>
                    <w:t>审〔</w:t>
                  </w:r>
                  <w:r>
                    <w:rPr>
                      <w:color w:val="auto"/>
                      <w:spacing w:val="-1"/>
                      <w:sz w:val="21"/>
                      <w:szCs w:val="21"/>
                    </w:rPr>
                    <w:t>2025</w:t>
                  </w:r>
                  <w:r>
                    <w:rPr>
                      <w:rFonts w:ascii="宋体" w:hAnsi="宋体" w:eastAsia="宋体" w:cs="宋体"/>
                      <w:color w:val="auto"/>
                      <w:spacing w:val="-1"/>
                      <w:sz w:val="21"/>
                      <w:szCs w:val="21"/>
                    </w:rPr>
                    <w:t>〕</w:t>
                  </w:r>
                  <w:r>
                    <w:rPr>
                      <w:color w:val="auto"/>
                      <w:spacing w:val="-1"/>
                      <w:sz w:val="21"/>
                      <w:szCs w:val="21"/>
                    </w:rPr>
                    <w:t xml:space="preserve">09 </w:t>
                  </w:r>
                  <w:r>
                    <w:rPr>
                      <w:rFonts w:ascii="宋体" w:hAnsi="宋体" w:eastAsia="宋体" w:cs="宋体"/>
                      <w:color w:val="auto"/>
                      <w:spacing w:val="-1"/>
                      <w:sz w:val="21"/>
                      <w:szCs w:val="21"/>
                    </w:rPr>
                    <w:t>号</w:t>
                  </w:r>
                </w:p>
              </w:tc>
            </w:tr>
            <w:tr w14:paraId="2AE262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533C974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eastAsia="宋体"/>
                      <w:color w:val="auto"/>
                      <w:spacing w:val="-1"/>
                      <w:sz w:val="21"/>
                      <w:szCs w:val="21"/>
                      <w:lang w:val="en-US" w:eastAsia="zh-CN"/>
                    </w:rPr>
                  </w:pPr>
                  <w:r>
                    <w:rPr>
                      <w:rFonts w:hint="eastAsia" w:eastAsia="宋体"/>
                      <w:color w:val="auto"/>
                      <w:spacing w:val="-1"/>
                      <w:sz w:val="21"/>
                      <w:szCs w:val="21"/>
                      <w:lang w:val="en-US" w:eastAsia="zh-CN"/>
                    </w:rPr>
                    <w:t>29</w:t>
                  </w:r>
                </w:p>
              </w:tc>
              <w:tc>
                <w:tcPr>
                  <w:tcW w:w="961" w:type="dxa"/>
                  <w:vAlign w:val="center"/>
                </w:tcPr>
                <w:p w14:paraId="6FE8C29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1"/>
                      <w:sz w:val="21"/>
                      <w:szCs w:val="21"/>
                    </w:rPr>
                  </w:pPr>
                  <w:r>
                    <w:rPr>
                      <w:rFonts w:hint="eastAsia" w:ascii="宋体" w:hAnsi="宋体" w:eastAsia="宋体" w:cs="宋体"/>
                      <w:color w:val="auto"/>
                      <w:spacing w:val="-1"/>
                      <w:sz w:val="21"/>
                      <w:szCs w:val="21"/>
                    </w:rPr>
                    <w:t>深圳艾尔康电子元器件有限公司乐昌分公司</w:t>
                  </w:r>
                </w:p>
              </w:tc>
              <w:tc>
                <w:tcPr>
                  <w:tcW w:w="600" w:type="dxa"/>
                  <w:vAlign w:val="center"/>
                </w:tcPr>
                <w:p w14:paraId="39ADD003">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8"/>
                      <w:sz w:val="21"/>
                      <w:szCs w:val="21"/>
                    </w:rPr>
                  </w:pPr>
                  <w:r>
                    <w:rPr>
                      <w:rFonts w:ascii="宋体" w:hAnsi="宋体" w:eastAsia="宋体" w:cs="宋体"/>
                      <w:color w:val="auto"/>
                      <w:spacing w:val="-8"/>
                      <w:sz w:val="21"/>
                      <w:szCs w:val="21"/>
                    </w:rPr>
                    <w:t>已建</w:t>
                  </w:r>
                </w:p>
              </w:tc>
              <w:tc>
                <w:tcPr>
                  <w:tcW w:w="915" w:type="dxa"/>
                  <w:vAlign w:val="center"/>
                </w:tcPr>
                <w:p w14:paraId="40380BD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2"/>
                      <w:sz w:val="21"/>
                      <w:szCs w:val="21"/>
                    </w:rPr>
                  </w:pPr>
                  <w:r>
                    <w:rPr>
                      <w:rFonts w:ascii="宋体" w:hAnsi="宋体" w:eastAsia="宋体" w:cs="宋体"/>
                      <w:color w:val="auto"/>
                      <w:spacing w:val="-1"/>
                      <w:sz w:val="21"/>
                      <w:szCs w:val="21"/>
                    </w:rPr>
                    <w:t>计算机、通信和其他电子设备制造业</w:t>
                  </w:r>
                </w:p>
              </w:tc>
              <w:tc>
                <w:tcPr>
                  <w:tcW w:w="1140" w:type="dxa"/>
                  <w:vAlign w:val="center"/>
                </w:tcPr>
                <w:p w14:paraId="6C69C0CA">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4"/>
                      <w:sz w:val="21"/>
                      <w:szCs w:val="21"/>
                    </w:rPr>
                  </w:pPr>
                  <w:r>
                    <w:rPr>
                      <w:color w:val="auto"/>
                      <w:spacing w:val="-1"/>
                      <w:sz w:val="21"/>
                      <w:szCs w:val="21"/>
                    </w:rPr>
                    <w:t>20006.9</w:t>
                  </w:r>
                </w:p>
              </w:tc>
              <w:tc>
                <w:tcPr>
                  <w:tcW w:w="2053" w:type="dxa"/>
                  <w:vAlign w:val="center"/>
                </w:tcPr>
                <w:p w14:paraId="3B212F79">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pacing w:val="-5"/>
                      <w:sz w:val="21"/>
                      <w:szCs w:val="21"/>
                    </w:rPr>
                  </w:pPr>
                  <w:r>
                    <w:rPr>
                      <w:rFonts w:ascii="宋体" w:hAnsi="宋体" w:eastAsia="宋体" w:cs="宋体"/>
                      <w:color w:val="auto"/>
                      <w:spacing w:val="-1"/>
                      <w:sz w:val="21"/>
                      <w:szCs w:val="21"/>
                    </w:rPr>
                    <w:t>年产探针</w:t>
                  </w:r>
                  <w:r>
                    <w:rPr>
                      <w:rFonts w:ascii="宋体" w:hAnsi="宋体" w:eastAsia="宋体" w:cs="宋体"/>
                      <w:color w:val="auto"/>
                      <w:spacing w:val="-49"/>
                      <w:sz w:val="21"/>
                      <w:szCs w:val="21"/>
                    </w:rPr>
                    <w:t xml:space="preserve"> </w:t>
                  </w:r>
                  <w:r>
                    <w:rPr>
                      <w:color w:val="auto"/>
                      <w:spacing w:val="-1"/>
                      <w:sz w:val="21"/>
                      <w:szCs w:val="21"/>
                    </w:rPr>
                    <w:t>422</w:t>
                  </w:r>
                  <w:r>
                    <w:rPr>
                      <w:color w:val="auto"/>
                      <w:spacing w:val="13"/>
                      <w:w w:val="101"/>
                      <w:sz w:val="21"/>
                      <w:szCs w:val="21"/>
                    </w:rPr>
                    <w:t xml:space="preserve"> </w:t>
                  </w:r>
                  <w:r>
                    <w:rPr>
                      <w:rFonts w:ascii="宋体" w:hAnsi="宋体" w:eastAsia="宋体" w:cs="宋体"/>
                      <w:color w:val="auto"/>
                      <w:spacing w:val="-1"/>
                      <w:sz w:val="21"/>
                      <w:szCs w:val="21"/>
                    </w:rPr>
                    <w:t>万、接线端子及其零部件</w:t>
                  </w:r>
                  <w:r>
                    <w:rPr>
                      <w:rFonts w:ascii="宋体" w:hAnsi="宋体" w:eastAsia="宋体" w:cs="宋体"/>
                      <w:color w:val="auto"/>
                      <w:spacing w:val="-44"/>
                      <w:sz w:val="21"/>
                      <w:szCs w:val="21"/>
                    </w:rPr>
                    <w:t xml:space="preserve"> </w:t>
                  </w:r>
                  <w:r>
                    <w:rPr>
                      <w:color w:val="auto"/>
                      <w:spacing w:val="-1"/>
                      <w:sz w:val="21"/>
                      <w:szCs w:val="21"/>
                    </w:rPr>
                    <w:t xml:space="preserve">36000 </w:t>
                  </w:r>
                  <w:r>
                    <w:rPr>
                      <w:rFonts w:ascii="宋体" w:hAnsi="宋体" w:eastAsia="宋体" w:cs="宋体"/>
                      <w:color w:val="auto"/>
                      <w:spacing w:val="-1"/>
                      <w:sz w:val="21"/>
                      <w:szCs w:val="21"/>
                    </w:rPr>
                    <w:t>万、感应器及</w:t>
                  </w:r>
                  <w:r>
                    <w:rPr>
                      <w:rFonts w:ascii="宋体" w:hAnsi="宋体" w:eastAsia="宋体" w:cs="宋体"/>
                      <w:color w:val="auto"/>
                      <w:spacing w:val="-2"/>
                      <w:sz w:val="21"/>
                      <w:szCs w:val="21"/>
                    </w:rPr>
                    <w:t>其零部件</w:t>
                  </w:r>
                  <w:r>
                    <w:rPr>
                      <w:rFonts w:ascii="宋体" w:hAnsi="宋体" w:eastAsia="宋体" w:cs="宋体"/>
                      <w:color w:val="auto"/>
                      <w:spacing w:val="-40"/>
                      <w:sz w:val="21"/>
                      <w:szCs w:val="21"/>
                    </w:rPr>
                    <w:t xml:space="preserve"> </w:t>
                  </w:r>
                  <w:r>
                    <w:rPr>
                      <w:color w:val="auto"/>
                      <w:spacing w:val="-2"/>
                      <w:sz w:val="21"/>
                      <w:szCs w:val="21"/>
                    </w:rPr>
                    <w:t>200</w:t>
                  </w:r>
                  <w:r>
                    <w:rPr>
                      <w:color w:val="auto"/>
                      <w:spacing w:val="13"/>
                      <w:w w:val="101"/>
                      <w:sz w:val="21"/>
                      <w:szCs w:val="21"/>
                    </w:rPr>
                    <w:t xml:space="preserve"> </w:t>
                  </w:r>
                  <w:r>
                    <w:rPr>
                      <w:rFonts w:ascii="宋体" w:hAnsi="宋体" w:eastAsia="宋体" w:cs="宋体"/>
                      <w:color w:val="auto"/>
                      <w:spacing w:val="-2"/>
                      <w:sz w:val="21"/>
                      <w:szCs w:val="21"/>
                    </w:rPr>
                    <w:t>万、接插件及其零部件</w:t>
                  </w:r>
                  <w:r>
                    <w:rPr>
                      <w:rFonts w:ascii="宋体" w:hAnsi="宋体" w:eastAsia="宋体" w:cs="宋体"/>
                      <w:color w:val="auto"/>
                      <w:spacing w:val="-48"/>
                      <w:sz w:val="21"/>
                      <w:szCs w:val="21"/>
                    </w:rPr>
                    <w:t xml:space="preserve"> </w:t>
                  </w:r>
                  <w:r>
                    <w:rPr>
                      <w:color w:val="auto"/>
                      <w:spacing w:val="-2"/>
                      <w:sz w:val="21"/>
                      <w:szCs w:val="21"/>
                    </w:rPr>
                    <w:t>2500</w:t>
                  </w:r>
                  <w:r>
                    <w:rPr>
                      <w:color w:val="auto"/>
                      <w:spacing w:val="14"/>
                      <w:sz w:val="21"/>
                      <w:szCs w:val="21"/>
                    </w:rPr>
                    <w:t xml:space="preserve"> </w:t>
                  </w:r>
                  <w:r>
                    <w:rPr>
                      <w:rFonts w:ascii="宋体" w:hAnsi="宋体" w:eastAsia="宋体" w:cs="宋体"/>
                      <w:color w:val="auto"/>
                      <w:spacing w:val="-2"/>
                      <w:sz w:val="21"/>
                      <w:szCs w:val="21"/>
                    </w:rPr>
                    <w:t>万、模具</w:t>
                  </w:r>
                  <w:r>
                    <w:rPr>
                      <w:rFonts w:ascii="宋体" w:hAnsi="宋体" w:eastAsia="宋体" w:cs="宋体"/>
                      <w:color w:val="auto"/>
                      <w:spacing w:val="-42"/>
                      <w:sz w:val="21"/>
                      <w:szCs w:val="21"/>
                    </w:rPr>
                    <w:t xml:space="preserve"> </w:t>
                  </w:r>
                  <w:r>
                    <w:rPr>
                      <w:color w:val="auto"/>
                      <w:spacing w:val="-2"/>
                      <w:sz w:val="21"/>
                      <w:szCs w:val="21"/>
                    </w:rPr>
                    <w:t xml:space="preserve">50 </w:t>
                  </w:r>
                  <w:r>
                    <w:rPr>
                      <w:rFonts w:ascii="宋体" w:hAnsi="宋体" w:eastAsia="宋体" w:cs="宋体"/>
                      <w:color w:val="auto"/>
                      <w:spacing w:val="-2"/>
                      <w:sz w:val="21"/>
                      <w:szCs w:val="21"/>
                    </w:rPr>
                    <w:t>套、</w:t>
                  </w:r>
                  <w:r>
                    <w:rPr>
                      <w:rFonts w:ascii="宋体" w:hAnsi="宋体" w:eastAsia="宋体" w:cs="宋体"/>
                      <w:color w:val="auto"/>
                      <w:spacing w:val="1"/>
                      <w:sz w:val="21"/>
                      <w:szCs w:val="21"/>
                    </w:rPr>
                    <w:t>五金产品</w:t>
                  </w:r>
                  <w:r>
                    <w:rPr>
                      <w:rFonts w:ascii="宋体" w:hAnsi="宋体" w:eastAsia="宋体" w:cs="宋体"/>
                      <w:color w:val="auto"/>
                      <w:spacing w:val="-43"/>
                      <w:sz w:val="21"/>
                      <w:szCs w:val="21"/>
                    </w:rPr>
                    <w:t xml:space="preserve"> </w:t>
                  </w:r>
                  <w:r>
                    <w:rPr>
                      <w:color w:val="auto"/>
                      <w:spacing w:val="1"/>
                      <w:sz w:val="21"/>
                      <w:szCs w:val="21"/>
                    </w:rPr>
                    <w:t xml:space="preserve">30000 </w:t>
                  </w:r>
                  <w:r>
                    <w:rPr>
                      <w:rFonts w:ascii="宋体" w:hAnsi="宋体" w:eastAsia="宋体" w:cs="宋体"/>
                      <w:color w:val="auto"/>
                      <w:spacing w:val="1"/>
                      <w:sz w:val="21"/>
                      <w:szCs w:val="21"/>
                    </w:rPr>
                    <w:t>万、塑胶配件</w:t>
                  </w:r>
                  <w:r>
                    <w:rPr>
                      <w:rFonts w:ascii="宋体" w:hAnsi="宋体" w:eastAsia="宋体" w:cs="宋体"/>
                      <w:color w:val="auto"/>
                      <w:spacing w:val="-43"/>
                      <w:sz w:val="21"/>
                      <w:szCs w:val="21"/>
                    </w:rPr>
                    <w:t xml:space="preserve"> </w:t>
                  </w:r>
                  <w:r>
                    <w:rPr>
                      <w:color w:val="auto"/>
                      <w:spacing w:val="1"/>
                      <w:sz w:val="21"/>
                      <w:szCs w:val="21"/>
                    </w:rPr>
                    <w:t>300</w:t>
                  </w:r>
                  <w:r>
                    <w:rPr>
                      <w:color w:val="auto"/>
                      <w:sz w:val="21"/>
                      <w:szCs w:val="21"/>
                    </w:rPr>
                    <w:t xml:space="preserve">00 </w:t>
                  </w:r>
                  <w:r>
                    <w:rPr>
                      <w:rFonts w:ascii="宋体" w:hAnsi="宋体" w:eastAsia="宋体" w:cs="宋体"/>
                      <w:color w:val="auto"/>
                      <w:sz w:val="21"/>
                      <w:szCs w:val="21"/>
                    </w:rPr>
                    <w:t>万、自动化装备</w:t>
                  </w:r>
                  <w:r>
                    <w:rPr>
                      <w:rFonts w:ascii="宋体" w:hAnsi="宋体" w:eastAsia="宋体" w:cs="宋体"/>
                      <w:color w:val="auto"/>
                      <w:spacing w:val="-43"/>
                      <w:sz w:val="21"/>
                      <w:szCs w:val="21"/>
                    </w:rPr>
                    <w:t xml:space="preserve"> </w:t>
                  </w:r>
                  <w:r>
                    <w:rPr>
                      <w:color w:val="auto"/>
                      <w:sz w:val="21"/>
                      <w:szCs w:val="21"/>
                    </w:rPr>
                    <w:t>50</w:t>
                  </w:r>
                  <w:r>
                    <w:rPr>
                      <w:color w:val="auto"/>
                      <w:spacing w:val="23"/>
                      <w:sz w:val="21"/>
                      <w:szCs w:val="21"/>
                    </w:rPr>
                    <w:t xml:space="preserve"> </w:t>
                  </w:r>
                  <w:r>
                    <w:rPr>
                      <w:rFonts w:ascii="宋体" w:hAnsi="宋体" w:eastAsia="宋体" w:cs="宋体"/>
                      <w:color w:val="auto"/>
                      <w:sz w:val="21"/>
                      <w:szCs w:val="21"/>
                    </w:rPr>
                    <w:t>台</w:t>
                  </w:r>
                </w:p>
              </w:tc>
              <w:tc>
                <w:tcPr>
                  <w:tcW w:w="1878" w:type="dxa"/>
                  <w:vAlign w:val="center"/>
                </w:tcPr>
                <w:p w14:paraId="4E0B382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pacing w:val="-2"/>
                      <w:sz w:val="21"/>
                      <w:szCs w:val="21"/>
                    </w:rPr>
                  </w:pPr>
                  <w:r>
                    <w:rPr>
                      <w:rFonts w:ascii="宋体" w:hAnsi="宋体" w:eastAsia="宋体" w:cs="宋体"/>
                      <w:color w:val="auto"/>
                      <w:spacing w:val="-2"/>
                      <w:sz w:val="21"/>
                      <w:szCs w:val="21"/>
                    </w:rPr>
                    <w:t>乐环审</w:t>
                  </w:r>
                  <w:r>
                    <w:rPr>
                      <w:color w:val="auto"/>
                      <w:spacing w:val="-2"/>
                      <w:sz w:val="21"/>
                      <w:szCs w:val="21"/>
                    </w:rPr>
                    <w:t>[</w:t>
                  </w:r>
                  <w:r>
                    <w:rPr>
                      <w:color w:val="auto"/>
                      <w:sz w:val="21"/>
                      <w:szCs w:val="21"/>
                    </w:rPr>
                    <w:fldChar w:fldCharType="begin"/>
                  </w:r>
                  <w:r>
                    <w:rPr>
                      <w:color w:val="auto"/>
                      <w:sz w:val="21"/>
                      <w:szCs w:val="21"/>
                    </w:rPr>
                    <w:instrText xml:space="preserve"> HYPERLINK \l "bookmark231" </w:instrText>
                  </w:r>
                  <w:r>
                    <w:rPr>
                      <w:color w:val="auto"/>
                      <w:sz w:val="21"/>
                      <w:szCs w:val="21"/>
                    </w:rPr>
                    <w:fldChar w:fldCharType="separate"/>
                  </w:r>
                  <w:r>
                    <w:rPr>
                      <w:color w:val="auto"/>
                      <w:spacing w:val="-2"/>
                      <w:sz w:val="21"/>
                      <w:szCs w:val="21"/>
                    </w:rPr>
                    <w:t>2018</w:t>
                  </w:r>
                  <w:r>
                    <w:rPr>
                      <w:color w:val="auto"/>
                      <w:spacing w:val="-2"/>
                      <w:sz w:val="21"/>
                      <w:szCs w:val="21"/>
                    </w:rPr>
                    <w:fldChar w:fldCharType="end"/>
                  </w:r>
                  <w:r>
                    <w:rPr>
                      <w:color w:val="auto"/>
                      <w:spacing w:val="-2"/>
                      <w:sz w:val="21"/>
                      <w:szCs w:val="21"/>
                    </w:rPr>
                    <w:t>]32</w:t>
                  </w:r>
                  <w:r>
                    <w:rPr>
                      <w:color w:val="auto"/>
                      <w:spacing w:val="24"/>
                      <w:sz w:val="21"/>
                      <w:szCs w:val="21"/>
                    </w:rPr>
                    <w:t xml:space="preserve"> </w:t>
                  </w:r>
                  <w:r>
                    <w:rPr>
                      <w:rFonts w:ascii="宋体" w:hAnsi="宋体" w:eastAsia="宋体" w:cs="宋体"/>
                      <w:color w:val="auto"/>
                      <w:spacing w:val="-2"/>
                      <w:sz w:val="21"/>
                      <w:szCs w:val="21"/>
                    </w:rPr>
                    <w:t>号</w:t>
                  </w:r>
                </w:p>
              </w:tc>
            </w:tr>
            <w:tr w14:paraId="476C5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3543B1D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30</w:t>
                  </w:r>
                </w:p>
              </w:tc>
              <w:tc>
                <w:tcPr>
                  <w:tcW w:w="961" w:type="dxa"/>
                  <w:vAlign w:val="center"/>
                </w:tcPr>
                <w:p w14:paraId="08EB0FB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乐昌市缔恒科技有限公司</w:t>
                  </w:r>
                </w:p>
              </w:tc>
              <w:tc>
                <w:tcPr>
                  <w:tcW w:w="600" w:type="dxa"/>
                  <w:vAlign w:val="center"/>
                </w:tcPr>
                <w:p w14:paraId="20D7FA4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2552C4E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通用设备制造业</w:t>
                  </w:r>
                </w:p>
              </w:tc>
              <w:tc>
                <w:tcPr>
                  <w:tcW w:w="1140" w:type="dxa"/>
                  <w:vAlign w:val="center"/>
                </w:tcPr>
                <w:p w14:paraId="72A0489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5000</w:t>
                  </w:r>
                </w:p>
              </w:tc>
              <w:tc>
                <w:tcPr>
                  <w:tcW w:w="2053" w:type="dxa"/>
                  <w:vAlign w:val="center"/>
                </w:tcPr>
                <w:p w14:paraId="0776367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年产金刚石复合片</w:t>
                  </w:r>
                  <w:r>
                    <w:rPr>
                      <w:rFonts w:ascii="宋体" w:hAnsi="宋体" w:eastAsia="宋体" w:cs="宋体"/>
                      <w:color w:val="auto"/>
                      <w:spacing w:val="-32"/>
                      <w:sz w:val="21"/>
                      <w:szCs w:val="21"/>
                    </w:rPr>
                    <w:t xml:space="preserve"> </w:t>
                  </w:r>
                  <w:r>
                    <w:rPr>
                      <w:color w:val="auto"/>
                      <w:spacing w:val="-3"/>
                      <w:sz w:val="21"/>
                      <w:szCs w:val="21"/>
                    </w:rPr>
                    <w:t>50</w:t>
                  </w:r>
                  <w:r>
                    <w:rPr>
                      <w:color w:val="auto"/>
                      <w:spacing w:val="14"/>
                      <w:sz w:val="21"/>
                      <w:szCs w:val="21"/>
                    </w:rPr>
                    <w:t xml:space="preserve"> </w:t>
                  </w:r>
                  <w:r>
                    <w:rPr>
                      <w:rFonts w:ascii="宋体" w:hAnsi="宋体" w:eastAsia="宋体" w:cs="宋体"/>
                      <w:color w:val="auto"/>
                      <w:spacing w:val="-3"/>
                      <w:sz w:val="21"/>
                      <w:szCs w:val="21"/>
                    </w:rPr>
                    <w:t>万片</w:t>
                  </w:r>
                </w:p>
              </w:tc>
              <w:tc>
                <w:tcPr>
                  <w:tcW w:w="1878" w:type="dxa"/>
                  <w:vAlign w:val="center"/>
                </w:tcPr>
                <w:p w14:paraId="4D2D0BE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乐环函</w:t>
                  </w:r>
                  <w:r>
                    <w:rPr>
                      <w:color w:val="auto"/>
                      <w:spacing w:val="-4"/>
                      <w:sz w:val="21"/>
                      <w:szCs w:val="21"/>
                    </w:rPr>
                    <w:t>[</w:t>
                  </w:r>
                  <w:r>
                    <w:rPr>
                      <w:color w:val="auto"/>
                      <w:sz w:val="21"/>
                      <w:szCs w:val="21"/>
                    </w:rPr>
                    <w:fldChar w:fldCharType="begin"/>
                  </w:r>
                  <w:r>
                    <w:rPr>
                      <w:color w:val="auto"/>
                      <w:sz w:val="21"/>
                      <w:szCs w:val="21"/>
                    </w:rPr>
                    <w:instrText xml:space="preserve"> HYPERLINK \l "bookmark232" </w:instrText>
                  </w:r>
                  <w:r>
                    <w:rPr>
                      <w:color w:val="auto"/>
                      <w:sz w:val="21"/>
                      <w:szCs w:val="21"/>
                    </w:rPr>
                    <w:fldChar w:fldCharType="separate"/>
                  </w:r>
                  <w:r>
                    <w:rPr>
                      <w:color w:val="auto"/>
                      <w:spacing w:val="-4"/>
                      <w:sz w:val="21"/>
                      <w:szCs w:val="21"/>
                    </w:rPr>
                    <w:t>2009</w:t>
                  </w:r>
                  <w:r>
                    <w:rPr>
                      <w:color w:val="auto"/>
                      <w:spacing w:val="-4"/>
                      <w:sz w:val="21"/>
                      <w:szCs w:val="21"/>
                    </w:rPr>
                    <w:fldChar w:fldCharType="end"/>
                  </w:r>
                  <w:r>
                    <w:rPr>
                      <w:color w:val="auto"/>
                      <w:spacing w:val="-4"/>
                      <w:sz w:val="21"/>
                      <w:szCs w:val="21"/>
                    </w:rPr>
                    <w:t>]</w:t>
                  </w:r>
                  <w:r>
                    <w:rPr>
                      <w:color w:val="auto"/>
                      <w:spacing w:val="-19"/>
                      <w:sz w:val="21"/>
                      <w:szCs w:val="21"/>
                    </w:rPr>
                    <w:t xml:space="preserve"> </w:t>
                  </w:r>
                  <w:r>
                    <w:rPr>
                      <w:color w:val="auto"/>
                      <w:spacing w:val="-4"/>
                      <w:sz w:val="21"/>
                      <w:szCs w:val="21"/>
                    </w:rPr>
                    <w:t>16</w:t>
                  </w:r>
                  <w:r>
                    <w:rPr>
                      <w:color w:val="auto"/>
                      <w:spacing w:val="14"/>
                      <w:w w:val="101"/>
                      <w:sz w:val="21"/>
                      <w:szCs w:val="21"/>
                    </w:rPr>
                    <w:t xml:space="preserve"> </w:t>
                  </w:r>
                  <w:r>
                    <w:rPr>
                      <w:rFonts w:ascii="宋体" w:hAnsi="宋体" w:eastAsia="宋体" w:cs="宋体"/>
                      <w:color w:val="auto"/>
                      <w:spacing w:val="-4"/>
                      <w:sz w:val="21"/>
                      <w:szCs w:val="21"/>
                    </w:rPr>
                    <w:t>号</w:t>
                  </w:r>
                </w:p>
              </w:tc>
            </w:tr>
            <w:tr w14:paraId="08FB6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311" w:type="dxa"/>
                  <w:vAlign w:val="center"/>
                </w:tcPr>
                <w:p w14:paraId="7C6B046C">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31</w:t>
                  </w:r>
                </w:p>
              </w:tc>
              <w:tc>
                <w:tcPr>
                  <w:tcW w:w="961" w:type="dxa"/>
                  <w:vAlign w:val="center"/>
                </w:tcPr>
                <w:p w14:paraId="2627203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乐昌市盛昌钢构有限公司</w:t>
                  </w:r>
                </w:p>
              </w:tc>
              <w:tc>
                <w:tcPr>
                  <w:tcW w:w="600" w:type="dxa"/>
                  <w:vAlign w:val="center"/>
                </w:tcPr>
                <w:p w14:paraId="37104B2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302F519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20417638">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9000</w:t>
                  </w:r>
                </w:p>
              </w:tc>
              <w:tc>
                <w:tcPr>
                  <w:tcW w:w="2053" w:type="dxa"/>
                  <w:vAlign w:val="center"/>
                </w:tcPr>
                <w:p w14:paraId="53916D3A">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年加工</w:t>
                  </w:r>
                  <w:r>
                    <w:rPr>
                      <w:rFonts w:ascii="宋体" w:hAnsi="宋体" w:eastAsia="宋体" w:cs="宋体"/>
                      <w:color w:val="auto"/>
                      <w:spacing w:val="-35"/>
                      <w:sz w:val="21"/>
                      <w:szCs w:val="21"/>
                    </w:rPr>
                    <w:t xml:space="preserve"> </w:t>
                  </w:r>
                  <w:r>
                    <w:rPr>
                      <w:color w:val="auto"/>
                      <w:spacing w:val="-4"/>
                      <w:sz w:val="21"/>
                      <w:szCs w:val="21"/>
                    </w:rPr>
                    <w:t>500</w:t>
                  </w:r>
                  <w:r>
                    <w:rPr>
                      <w:color w:val="auto"/>
                      <w:spacing w:val="16"/>
                      <w:sz w:val="21"/>
                      <w:szCs w:val="21"/>
                    </w:rPr>
                    <w:t xml:space="preserve"> </w:t>
                  </w:r>
                  <w:r>
                    <w:rPr>
                      <w:rFonts w:ascii="宋体" w:hAnsi="宋体" w:eastAsia="宋体" w:cs="宋体"/>
                      <w:color w:val="auto"/>
                      <w:spacing w:val="-4"/>
                      <w:sz w:val="21"/>
                      <w:szCs w:val="21"/>
                    </w:rPr>
                    <w:t>吨钢结构</w:t>
                  </w:r>
                </w:p>
              </w:tc>
              <w:tc>
                <w:tcPr>
                  <w:tcW w:w="1878" w:type="dxa"/>
                  <w:vAlign w:val="center"/>
                </w:tcPr>
                <w:p w14:paraId="738CB4D8">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乐环函</w:t>
                  </w:r>
                  <w:r>
                    <w:rPr>
                      <w:color w:val="auto"/>
                      <w:spacing w:val="-1"/>
                      <w:sz w:val="21"/>
                      <w:szCs w:val="21"/>
                    </w:rPr>
                    <w:t>[</w:t>
                  </w:r>
                  <w:r>
                    <w:rPr>
                      <w:color w:val="auto"/>
                      <w:sz w:val="21"/>
                      <w:szCs w:val="21"/>
                    </w:rPr>
                    <w:fldChar w:fldCharType="begin"/>
                  </w:r>
                  <w:r>
                    <w:rPr>
                      <w:color w:val="auto"/>
                      <w:sz w:val="21"/>
                      <w:szCs w:val="21"/>
                    </w:rPr>
                    <w:instrText xml:space="preserve"> HYPERLINK \l "bookmark233" </w:instrText>
                  </w:r>
                  <w:r>
                    <w:rPr>
                      <w:color w:val="auto"/>
                      <w:sz w:val="21"/>
                      <w:szCs w:val="21"/>
                    </w:rPr>
                    <w:fldChar w:fldCharType="separate"/>
                  </w:r>
                  <w:r>
                    <w:rPr>
                      <w:color w:val="auto"/>
                      <w:spacing w:val="-1"/>
                      <w:sz w:val="21"/>
                      <w:szCs w:val="21"/>
                    </w:rPr>
                    <w:t>2011</w:t>
                  </w:r>
                  <w:r>
                    <w:rPr>
                      <w:color w:val="auto"/>
                      <w:spacing w:val="-1"/>
                      <w:sz w:val="21"/>
                      <w:szCs w:val="21"/>
                    </w:rPr>
                    <w:fldChar w:fldCharType="end"/>
                  </w:r>
                  <w:r>
                    <w:rPr>
                      <w:color w:val="auto"/>
                      <w:spacing w:val="-1"/>
                      <w:sz w:val="21"/>
                      <w:szCs w:val="21"/>
                    </w:rPr>
                    <w:t xml:space="preserve">]80 </w:t>
                  </w:r>
                  <w:r>
                    <w:rPr>
                      <w:rFonts w:ascii="宋体" w:hAnsi="宋体" w:eastAsia="宋体" w:cs="宋体"/>
                      <w:color w:val="auto"/>
                      <w:spacing w:val="-1"/>
                      <w:sz w:val="21"/>
                      <w:szCs w:val="21"/>
                    </w:rPr>
                    <w:t>号</w:t>
                  </w:r>
                </w:p>
              </w:tc>
            </w:tr>
            <w:tr w14:paraId="2460CC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311" w:type="dxa"/>
                  <w:vAlign w:val="center"/>
                </w:tcPr>
                <w:p w14:paraId="6887F8B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32</w:t>
                  </w:r>
                </w:p>
              </w:tc>
              <w:tc>
                <w:tcPr>
                  <w:tcW w:w="961" w:type="dxa"/>
                  <w:vAlign w:val="center"/>
                </w:tcPr>
                <w:p w14:paraId="1CF5E03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乐昌市安莉琪服饰有限公司</w:t>
                  </w:r>
                </w:p>
              </w:tc>
              <w:tc>
                <w:tcPr>
                  <w:tcW w:w="600" w:type="dxa"/>
                  <w:vAlign w:val="center"/>
                </w:tcPr>
                <w:p w14:paraId="3B6380F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21C3931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纺织服装、服饰业</w:t>
                  </w:r>
                </w:p>
              </w:tc>
              <w:tc>
                <w:tcPr>
                  <w:tcW w:w="1140" w:type="dxa"/>
                  <w:vAlign w:val="center"/>
                </w:tcPr>
                <w:p w14:paraId="7517096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3"/>
                      <w:sz w:val="21"/>
                      <w:szCs w:val="21"/>
                    </w:rPr>
                    <w:t>13164.82</w:t>
                  </w:r>
                </w:p>
              </w:tc>
              <w:tc>
                <w:tcPr>
                  <w:tcW w:w="2053" w:type="dxa"/>
                  <w:vAlign w:val="center"/>
                </w:tcPr>
                <w:p w14:paraId="5A063A2B">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年产</w:t>
                  </w:r>
                  <w:r>
                    <w:rPr>
                      <w:rFonts w:ascii="宋体" w:hAnsi="宋体" w:eastAsia="宋体" w:cs="宋体"/>
                      <w:color w:val="auto"/>
                      <w:spacing w:val="-37"/>
                      <w:sz w:val="21"/>
                      <w:szCs w:val="21"/>
                    </w:rPr>
                    <w:t xml:space="preserve"> </w:t>
                  </w:r>
                  <w:r>
                    <w:rPr>
                      <w:color w:val="auto"/>
                      <w:spacing w:val="-4"/>
                      <w:sz w:val="21"/>
                      <w:szCs w:val="21"/>
                    </w:rPr>
                    <w:t>600</w:t>
                  </w:r>
                  <w:r>
                    <w:rPr>
                      <w:color w:val="auto"/>
                      <w:spacing w:val="14"/>
                      <w:sz w:val="21"/>
                      <w:szCs w:val="21"/>
                    </w:rPr>
                    <w:t xml:space="preserve"> </w:t>
                  </w:r>
                  <w:r>
                    <w:rPr>
                      <w:rFonts w:ascii="宋体" w:hAnsi="宋体" w:eastAsia="宋体" w:cs="宋体"/>
                      <w:color w:val="auto"/>
                      <w:spacing w:val="-4"/>
                      <w:sz w:val="21"/>
                      <w:szCs w:val="21"/>
                    </w:rPr>
                    <w:t>万件服装</w:t>
                  </w:r>
                </w:p>
              </w:tc>
              <w:tc>
                <w:tcPr>
                  <w:tcW w:w="1878" w:type="dxa"/>
                  <w:vAlign w:val="center"/>
                </w:tcPr>
                <w:p w14:paraId="2405CE18">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乐环审</w:t>
                  </w:r>
                  <w:r>
                    <w:rPr>
                      <w:color w:val="auto"/>
                      <w:spacing w:val="-2"/>
                      <w:sz w:val="21"/>
                      <w:szCs w:val="21"/>
                    </w:rPr>
                    <w:t>[</w:t>
                  </w:r>
                  <w:r>
                    <w:rPr>
                      <w:color w:val="auto"/>
                      <w:sz w:val="21"/>
                      <w:szCs w:val="21"/>
                    </w:rPr>
                    <w:fldChar w:fldCharType="begin"/>
                  </w:r>
                  <w:r>
                    <w:rPr>
                      <w:color w:val="auto"/>
                      <w:sz w:val="21"/>
                      <w:szCs w:val="21"/>
                    </w:rPr>
                    <w:instrText xml:space="preserve"> HYPERLINK \l "bookmark234" </w:instrText>
                  </w:r>
                  <w:r>
                    <w:rPr>
                      <w:color w:val="auto"/>
                      <w:sz w:val="21"/>
                      <w:szCs w:val="21"/>
                    </w:rPr>
                    <w:fldChar w:fldCharType="separate"/>
                  </w:r>
                  <w:r>
                    <w:rPr>
                      <w:color w:val="auto"/>
                      <w:spacing w:val="-2"/>
                      <w:sz w:val="21"/>
                      <w:szCs w:val="21"/>
                    </w:rPr>
                    <w:t>2018</w:t>
                  </w:r>
                  <w:r>
                    <w:rPr>
                      <w:color w:val="auto"/>
                      <w:spacing w:val="-2"/>
                      <w:sz w:val="21"/>
                      <w:szCs w:val="21"/>
                    </w:rPr>
                    <w:fldChar w:fldCharType="end"/>
                  </w:r>
                  <w:r>
                    <w:rPr>
                      <w:color w:val="auto"/>
                      <w:spacing w:val="-2"/>
                      <w:sz w:val="21"/>
                      <w:szCs w:val="21"/>
                    </w:rPr>
                    <w:t>]61</w:t>
                  </w:r>
                  <w:r>
                    <w:rPr>
                      <w:color w:val="auto"/>
                      <w:spacing w:val="24"/>
                      <w:sz w:val="21"/>
                      <w:szCs w:val="21"/>
                    </w:rPr>
                    <w:t xml:space="preserve"> </w:t>
                  </w:r>
                  <w:r>
                    <w:rPr>
                      <w:rFonts w:ascii="宋体" w:hAnsi="宋体" w:eastAsia="宋体" w:cs="宋体"/>
                      <w:color w:val="auto"/>
                      <w:spacing w:val="-2"/>
                      <w:sz w:val="21"/>
                      <w:szCs w:val="21"/>
                    </w:rPr>
                    <w:t>号</w:t>
                  </w:r>
                </w:p>
              </w:tc>
            </w:tr>
            <w:tr w14:paraId="6FC0DB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51EF5ECC">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33</w:t>
                  </w:r>
                </w:p>
              </w:tc>
              <w:tc>
                <w:tcPr>
                  <w:tcW w:w="961" w:type="dxa"/>
                  <w:vAlign w:val="center"/>
                </w:tcPr>
                <w:p w14:paraId="709A3CE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乐昌市宏泰机械制造有限公</w:t>
                  </w:r>
                </w:p>
                <w:p w14:paraId="4A2FDED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司</w:t>
                  </w:r>
                </w:p>
              </w:tc>
              <w:tc>
                <w:tcPr>
                  <w:tcW w:w="600" w:type="dxa"/>
                  <w:vAlign w:val="center"/>
                </w:tcPr>
                <w:p w14:paraId="5768592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5A28A2E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41C7933A">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4"/>
                      <w:sz w:val="21"/>
                      <w:szCs w:val="21"/>
                    </w:rPr>
                    <w:t>17320</w:t>
                  </w:r>
                </w:p>
              </w:tc>
              <w:tc>
                <w:tcPr>
                  <w:tcW w:w="2053" w:type="dxa"/>
                  <w:vAlign w:val="center"/>
                </w:tcPr>
                <w:p w14:paraId="1D219B3C">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年产铸钢件</w:t>
                  </w:r>
                  <w:r>
                    <w:rPr>
                      <w:rFonts w:ascii="宋体" w:hAnsi="宋体" w:eastAsia="宋体" w:cs="宋体"/>
                      <w:color w:val="auto"/>
                      <w:spacing w:val="-10"/>
                      <w:sz w:val="21"/>
                      <w:szCs w:val="21"/>
                    </w:rPr>
                    <w:t xml:space="preserve"> </w:t>
                  </w:r>
                  <w:r>
                    <w:rPr>
                      <w:color w:val="auto"/>
                      <w:spacing w:val="-3"/>
                      <w:sz w:val="21"/>
                      <w:szCs w:val="21"/>
                    </w:rPr>
                    <w:t xml:space="preserve">1.5 </w:t>
                  </w:r>
                  <w:r>
                    <w:rPr>
                      <w:rFonts w:ascii="宋体" w:hAnsi="宋体" w:eastAsia="宋体" w:cs="宋体"/>
                      <w:color w:val="auto"/>
                      <w:spacing w:val="-3"/>
                      <w:sz w:val="21"/>
                      <w:szCs w:val="21"/>
                    </w:rPr>
                    <w:t>万吨、铸铁件</w:t>
                  </w:r>
                  <w:r>
                    <w:rPr>
                      <w:rFonts w:ascii="宋体" w:hAnsi="宋体" w:eastAsia="宋体" w:cs="宋体"/>
                      <w:color w:val="auto"/>
                      <w:spacing w:val="-42"/>
                      <w:sz w:val="21"/>
                      <w:szCs w:val="21"/>
                    </w:rPr>
                    <w:t xml:space="preserve"> </w:t>
                  </w:r>
                  <w:r>
                    <w:rPr>
                      <w:color w:val="auto"/>
                      <w:spacing w:val="-3"/>
                      <w:sz w:val="21"/>
                      <w:szCs w:val="21"/>
                    </w:rPr>
                    <w:t>5000</w:t>
                  </w:r>
                  <w:r>
                    <w:rPr>
                      <w:color w:val="auto"/>
                      <w:spacing w:val="16"/>
                      <w:w w:val="101"/>
                      <w:sz w:val="21"/>
                      <w:szCs w:val="21"/>
                    </w:rPr>
                    <w:t xml:space="preserve"> </w:t>
                  </w:r>
                  <w:r>
                    <w:rPr>
                      <w:rFonts w:ascii="宋体" w:hAnsi="宋体" w:eastAsia="宋体" w:cs="宋体"/>
                      <w:color w:val="auto"/>
                      <w:spacing w:val="-3"/>
                      <w:sz w:val="21"/>
                      <w:szCs w:val="21"/>
                    </w:rPr>
                    <w:t>吨</w:t>
                  </w:r>
                </w:p>
              </w:tc>
              <w:tc>
                <w:tcPr>
                  <w:tcW w:w="1878" w:type="dxa"/>
                  <w:vAlign w:val="center"/>
                </w:tcPr>
                <w:p w14:paraId="494B687A">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3"/>
                      <w:sz w:val="21"/>
                      <w:szCs w:val="21"/>
                    </w:rPr>
                    <w:t>乐环函</w:t>
                  </w:r>
                  <w:r>
                    <w:rPr>
                      <w:color w:val="auto"/>
                      <w:spacing w:val="-13"/>
                      <w:sz w:val="21"/>
                      <w:szCs w:val="21"/>
                    </w:rPr>
                    <w:t>[</w:t>
                  </w:r>
                  <w:r>
                    <w:rPr>
                      <w:color w:val="auto"/>
                      <w:sz w:val="21"/>
                      <w:szCs w:val="21"/>
                    </w:rPr>
                    <w:fldChar w:fldCharType="begin"/>
                  </w:r>
                  <w:r>
                    <w:rPr>
                      <w:color w:val="auto"/>
                      <w:sz w:val="21"/>
                      <w:szCs w:val="21"/>
                    </w:rPr>
                    <w:instrText xml:space="preserve"> HYPERLINK \l "bookmark235" </w:instrText>
                  </w:r>
                  <w:r>
                    <w:rPr>
                      <w:color w:val="auto"/>
                      <w:sz w:val="21"/>
                      <w:szCs w:val="21"/>
                    </w:rPr>
                    <w:fldChar w:fldCharType="separate"/>
                  </w:r>
                  <w:r>
                    <w:rPr>
                      <w:color w:val="auto"/>
                      <w:spacing w:val="-13"/>
                      <w:sz w:val="21"/>
                      <w:szCs w:val="21"/>
                    </w:rPr>
                    <w:t>2009</w:t>
                  </w:r>
                  <w:r>
                    <w:rPr>
                      <w:color w:val="auto"/>
                      <w:spacing w:val="-13"/>
                      <w:sz w:val="21"/>
                      <w:szCs w:val="21"/>
                    </w:rPr>
                    <w:fldChar w:fldCharType="end"/>
                  </w:r>
                  <w:r>
                    <w:rPr>
                      <w:color w:val="auto"/>
                      <w:spacing w:val="-13"/>
                      <w:sz w:val="21"/>
                      <w:szCs w:val="21"/>
                    </w:rPr>
                    <w:t>]36</w:t>
                  </w:r>
                  <w:r>
                    <w:rPr>
                      <w:color w:val="auto"/>
                      <w:spacing w:val="30"/>
                      <w:sz w:val="21"/>
                      <w:szCs w:val="21"/>
                    </w:rPr>
                    <w:t xml:space="preserve"> </w:t>
                  </w:r>
                  <w:r>
                    <w:rPr>
                      <w:rFonts w:ascii="宋体" w:hAnsi="宋体" w:eastAsia="宋体" w:cs="宋体"/>
                      <w:color w:val="auto"/>
                      <w:spacing w:val="-13"/>
                      <w:sz w:val="21"/>
                      <w:szCs w:val="21"/>
                    </w:rPr>
                    <w:t>号、乐环审〔</w:t>
                  </w:r>
                  <w:r>
                    <w:rPr>
                      <w:color w:val="auto"/>
                      <w:spacing w:val="-13"/>
                      <w:sz w:val="21"/>
                      <w:szCs w:val="21"/>
                    </w:rPr>
                    <w:t>2019</w:t>
                  </w:r>
                  <w:r>
                    <w:rPr>
                      <w:rFonts w:ascii="宋体" w:hAnsi="宋体" w:eastAsia="宋体" w:cs="宋体"/>
                      <w:color w:val="auto"/>
                      <w:spacing w:val="-13"/>
                      <w:sz w:val="21"/>
                      <w:szCs w:val="21"/>
                    </w:rPr>
                    <w:t>〕</w:t>
                  </w:r>
                </w:p>
                <w:p w14:paraId="185AA582">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color w:val="auto"/>
                      <w:spacing w:val="-1"/>
                      <w:sz w:val="21"/>
                      <w:szCs w:val="21"/>
                    </w:rPr>
                    <w:t>43</w:t>
                  </w:r>
                  <w:r>
                    <w:rPr>
                      <w:color w:val="auto"/>
                      <w:spacing w:val="13"/>
                      <w:w w:val="101"/>
                      <w:sz w:val="21"/>
                      <w:szCs w:val="21"/>
                    </w:rPr>
                    <w:t xml:space="preserve"> </w:t>
                  </w:r>
                  <w:r>
                    <w:rPr>
                      <w:rFonts w:ascii="宋体" w:hAnsi="宋体" w:eastAsia="宋体" w:cs="宋体"/>
                      <w:color w:val="auto"/>
                      <w:spacing w:val="-1"/>
                      <w:sz w:val="21"/>
                      <w:szCs w:val="21"/>
                    </w:rPr>
                    <w:t>号</w:t>
                  </w:r>
                </w:p>
              </w:tc>
            </w:tr>
            <w:tr w14:paraId="1EC99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0" w:hRule="atLeast"/>
                <w:jc w:val="center"/>
              </w:trPr>
              <w:tc>
                <w:tcPr>
                  <w:tcW w:w="311" w:type="dxa"/>
                  <w:vAlign w:val="center"/>
                </w:tcPr>
                <w:p w14:paraId="6EE7E15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34</w:t>
                  </w:r>
                </w:p>
              </w:tc>
              <w:tc>
                <w:tcPr>
                  <w:tcW w:w="961" w:type="dxa"/>
                  <w:vAlign w:val="center"/>
                </w:tcPr>
                <w:p w14:paraId="39FACC5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乐昌市特安消防器材有限公</w:t>
                  </w:r>
                </w:p>
                <w:p w14:paraId="57A0CA6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司</w:t>
                  </w:r>
                </w:p>
              </w:tc>
              <w:tc>
                <w:tcPr>
                  <w:tcW w:w="600" w:type="dxa"/>
                  <w:vAlign w:val="center"/>
                </w:tcPr>
                <w:p w14:paraId="3B87B4A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15A2331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专用设备制造业</w:t>
                  </w:r>
                </w:p>
              </w:tc>
              <w:tc>
                <w:tcPr>
                  <w:tcW w:w="1140" w:type="dxa"/>
                  <w:vAlign w:val="center"/>
                </w:tcPr>
                <w:p w14:paraId="40DABB48">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3"/>
                      <w:sz w:val="21"/>
                      <w:szCs w:val="21"/>
                    </w:rPr>
                    <w:t>1283.1</w:t>
                  </w:r>
                </w:p>
              </w:tc>
              <w:tc>
                <w:tcPr>
                  <w:tcW w:w="2053" w:type="dxa"/>
                  <w:vAlign w:val="center"/>
                </w:tcPr>
                <w:p w14:paraId="5DF29F7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rFonts w:ascii="宋体" w:hAnsi="宋体" w:eastAsia="宋体" w:cs="宋体"/>
                      <w:color w:val="auto"/>
                      <w:spacing w:val="-2"/>
                      <w:sz w:val="21"/>
                      <w:szCs w:val="21"/>
                    </w:rPr>
                    <w:t>年产过滤式消防自救呼吸器</w:t>
                  </w:r>
                  <w:r>
                    <w:rPr>
                      <w:rFonts w:ascii="宋体" w:hAnsi="宋体" w:eastAsia="宋体" w:cs="宋体"/>
                      <w:color w:val="auto"/>
                      <w:spacing w:val="-44"/>
                      <w:sz w:val="21"/>
                      <w:szCs w:val="21"/>
                    </w:rPr>
                    <w:t xml:space="preserve"> </w:t>
                  </w:r>
                  <w:r>
                    <w:rPr>
                      <w:color w:val="auto"/>
                      <w:spacing w:val="-2"/>
                      <w:sz w:val="21"/>
                      <w:szCs w:val="21"/>
                    </w:rPr>
                    <w:t xml:space="preserve">60 </w:t>
                  </w:r>
                  <w:r>
                    <w:rPr>
                      <w:rFonts w:ascii="宋体" w:hAnsi="宋体" w:eastAsia="宋体" w:cs="宋体"/>
                      <w:color w:val="auto"/>
                      <w:spacing w:val="-2"/>
                      <w:sz w:val="21"/>
                      <w:szCs w:val="21"/>
                    </w:rPr>
                    <w:t>万件（含霍加拉特剂生产</w:t>
                  </w:r>
                  <w:r>
                    <w:rPr>
                      <w:rFonts w:ascii="宋体" w:hAnsi="宋体" w:eastAsia="宋体" w:cs="宋体"/>
                      <w:color w:val="auto"/>
                      <w:spacing w:val="-43"/>
                      <w:sz w:val="21"/>
                      <w:szCs w:val="21"/>
                    </w:rPr>
                    <w:t xml:space="preserve"> </w:t>
                  </w:r>
                  <w:r>
                    <w:rPr>
                      <w:color w:val="auto"/>
                      <w:spacing w:val="-2"/>
                      <w:sz w:val="21"/>
                      <w:szCs w:val="21"/>
                    </w:rPr>
                    <w:t>600</w:t>
                  </w:r>
                </w:p>
                <w:p w14:paraId="02C03DE7">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rFonts w:ascii="宋体" w:hAnsi="宋体" w:eastAsia="宋体" w:cs="宋体"/>
                      <w:color w:val="auto"/>
                      <w:spacing w:val="-2"/>
                      <w:sz w:val="21"/>
                      <w:szCs w:val="21"/>
                    </w:rPr>
                    <w:t>吨</w:t>
                  </w:r>
                  <w:r>
                    <w:rPr>
                      <w:rFonts w:ascii="宋体" w:hAnsi="宋体" w:eastAsia="宋体" w:cs="宋体"/>
                      <w:color w:val="auto"/>
                      <w:spacing w:val="-29"/>
                      <w:sz w:val="21"/>
                      <w:szCs w:val="21"/>
                    </w:rPr>
                    <w:t>），</w:t>
                  </w:r>
                  <w:r>
                    <w:rPr>
                      <w:rFonts w:ascii="宋体" w:hAnsi="宋体" w:eastAsia="宋体" w:cs="宋体"/>
                      <w:color w:val="auto"/>
                      <w:spacing w:val="-2"/>
                      <w:sz w:val="21"/>
                      <w:szCs w:val="21"/>
                    </w:rPr>
                    <w:t>逃生缓降器</w:t>
                  </w:r>
                  <w:r>
                    <w:rPr>
                      <w:rFonts w:ascii="宋体" w:hAnsi="宋体" w:eastAsia="宋体" w:cs="宋体"/>
                      <w:color w:val="auto"/>
                      <w:spacing w:val="-43"/>
                      <w:sz w:val="21"/>
                      <w:szCs w:val="21"/>
                    </w:rPr>
                    <w:t xml:space="preserve"> </w:t>
                  </w:r>
                  <w:r>
                    <w:rPr>
                      <w:color w:val="auto"/>
                      <w:spacing w:val="-2"/>
                      <w:sz w:val="21"/>
                      <w:szCs w:val="21"/>
                    </w:rPr>
                    <w:t xml:space="preserve">3000 </w:t>
                  </w:r>
                  <w:r>
                    <w:rPr>
                      <w:rFonts w:ascii="宋体" w:hAnsi="宋体" w:eastAsia="宋体" w:cs="宋体"/>
                      <w:color w:val="auto"/>
                      <w:spacing w:val="-2"/>
                      <w:sz w:val="21"/>
                      <w:szCs w:val="21"/>
                    </w:rPr>
                    <w:t>套，急逃生绳</w:t>
                  </w:r>
                  <w:r>
                    <w:rPr>
                      <w:rFonts w:ascii="宋体" w:hAnsi="宋体" w:eastAsia="宋体" w:cs="宋体"/>
                      <w:color w:val="auto"/>
                      <w:spacing w:val="-43"/>
                      <w:sz w:val="21"/>
                      <w:szCs w:val="21"/>
                    </w:rPr>
                    <w:t xml:space="preserve"> </w:t>
                  </w:r>
                  <w:r>
                    <w:rPr>
                      <w:color w:val="auto"/>
                      <w:spacing w:val="-2"/>
                      <w:sz w:val="21"/>
                      <w:szCs w:val="21"/>
                    </w:rPr>
                    <w:t xml:space="preserve">3000 </w:t>
                  </w:r>
                  <w:r>
                    <w:rPr>
                      <w:rFonts w:ascii="宋体" w:hAnsi="宋体" w:eastAsia="宋体" w:cs="宋体"/>
                      <w:color w:val="auto"/>
                      <w:spacing w:val="-2"/>
                      <w:sz w:val="21"/>
                      <w:szCs w:val="21"/>
                    </w:rPr>
                    <w:t>条，</w:t>
                  </w:r>
                  <w:r>
                    <w:rPr>
                      <w:rFonts w:ascii="宋体" w:hAnsi="宋体" w:eastAsia="宋体" w:cs="宋体"/>
                      <w:color w:val="auto"/>
                      <w:spacing w:val="-3"/>
                      <w:sz w:val="21"/>
                      <w:szCs w:val="21"/>
                    </w:rPr>
                    <w:t>消防防护服</w:t>
                  </w:r>
                  <w:r>
                    <w:rPr>
                      <w:color w:val="auto"/>
                      <w:spacing w:val="-3"/>
                      <w:sz w:val="21"/>
                      <w:szCs w:val="21"/>
                    </w:rPr>
                    <w:t>2</w:t>
                  </w:r>
                </w:p>
                <w:p w14:paraId="72B01A9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万套，家庭应急供氧组合装备</w:t>
                  </w:r>
                  <w:r>
                    <w:rPr>
                      <w:rFonts w:ascii="宋体" w:hAnsi="宋体" w:eastAsia="宋体" w:cs="宋体"/>
                      <w:color w:val="auto"/>
                      <w:spacing w:val="-10"/>
                      <w:sz w:val="21"/>
                      <w:szCs w:val="21"/>
                    </w:rPr>
                    <w:t xml:space="preserve"> </w:t>
                  </w:r>
                  <w:r>
                    <w:rPr>
                      <w:color w:val="auto"/>
                      <w:spacing w:val="-3"/>
                      <w:sz w:val="21"/>
                      <w:szCs w:val="21"/>
                    </w:rPr>
                    <w:t>1500</w:t>
                  </w:r>
                  <w:r>
                    <w:rPr>
                      <w:color w:val="auto"/>
                      <w:spacing w:val="22"/>
                      <w:w w:val="101"/>
                      <w:sz w:val="21"/>
                      <w:szCs w:val="21"/>
                    </w:rPr>
                    <w:t xml:space="preserve"> </w:t>
                  </w:r>
                  <w:r>
                    <w:rPr>
                      <w:rFonts w:ascii="宋体" w:hAnsi="宋体" w:eastAsia="宋体" w:cs="宋体"/>
                      <w:color w:val="auto"/>
                      <w:spacing w:val="-3"/>
                      <w:sz w:val="21"/>
                      <w:szCs w:val="21"/>
                    </w:rPr>
                    <w:t>台，灭火毯</w:t>
                  </w:r>
                  <w:r>
                    <w:rPr>
                      <w:rFonts w:ascii="宋体" w:hAnsi="宋体" w:eastAsia="宋体" w:cs="宋体"/>
                      <w:color w:val="auto"/>
                      <w:spacing w:val="-44"/>
                      <w:sz w:val="21"/>
                      <w:szCs w:val="21"/>
                    </w:rPr>
                    <w:t xml:space="preserve"> </w:t>
                  </w:r>
                  <w:r>
                    <w:rPr>
                      <w:color w:val="auto"/>
                      <w:spacing w:val="-3"/>
                      <w:sz w:val="21"/>
                      <w:szCs w:val="21"/>
                    </w:rPr>
                    <w:t>3000</w:t>
                  </w:r>
                  <w:r>
                    <w:rPr>
                      <w:color w:val="auto"/>
                      <w:spacing w:val="14"/>
                      <w:sz w:val="21"/>
                      <w:szCs w:val="21"/>
                    </w:rPr>
                    <w:t xml:space="preserve"> </w:t>
                  </w:r>
                  <w:r>
                    <w:rPr>
                      <w:rFonts w:ascii="宋体" w:hAnsi="宋体" w:eastAsia="宋体" w:cs="宋体"/>
                      <w:color w:val="auto"/>
                      <w:spacing w:val="-3"/>
                      <w:sz w:val="21"/>
                      <w:szCs w:val="21"/>
                    </w:rPr>
                    <w:t>张，箔</w:t>
                  </w:r>
                  <w:r>
                    <w:rPr>
                      <w:rFonts w:ascii="宋体" w:hAnsi="宋体" w:eastAsia="宋体" w:cs="宋体"/>
                      <w:color w:val="auto"/>
                      <w:spacing w:val="-2"/>
                      <w:sz w:val="21"/>
                      <w:szCs w:val="21"/>
                    </w:rPr>
                    <w:t>隔热服</w:t>
                  </w:r>
                  <w:r>
                    <w:rPr>
                      <w:rFonts w:ascii="宋体" w:hAnsi="宋体" w:eastAsia="宋体" w:cs="宋体"/>
                      <w:color w:val="auto"/>
                      <w:spacing w:val="-26"/>
                      <w:sz w:val="21"/>
                      <w:szCs w:val="21"/>
                    </w:rPr>
                    <w:t xml:space="preserve"> </w:t>
                  </w:r>
                  <w:r>
                    <w:rPr>
                      <w:color w:val="auto"/>
                      <w:spacing w:val="-2"/>
                      <w:sz w:val="21"/>
                      <w:szCs w:val="21"/>
                    </w:rPr>
                    <w:t xml:space="preserve">3000 </w:t>
                  </w:r>
                  <w:r>
                    <w:rPr>
                      <w:rFonts w:ascii="宋体" w:hAnsi="宋体" w:eastAsia="宋体" w:cs="宋体"/>
                      <w:color w:val="auto"/>
                      <w:spacing w:val="-2"/>
                      <w:sz w:val="21"/>
                      <w:szCs w:val="21"/>
                    </w:rPr>
                    <w:t>套，以及应急包、应急箱</w:t>
                  </w:r>
                  <w:r>
                    <w:rPr>
                      <w:rFonts w:ascii="宋体" w:hAnsi="宋体" w:eastAsia="宋体" w:cs="宋体"/>
                      <w:color w:val="auto"/>
                      <w:spacing w:val="-43"/>
                      <w:sz w:val="21"/>
                      <w:szCs w:val="21"/>
                    </w:rPr>
                    <w:t xml:space="preserve"> </w:t>
                  </w:r>
                  <w:r>
                    <w:rPr>
                      <w:color w:val="auto"/>
                      <w:spacing w:val="-2"/>
                      <w:sz w:val="21"/>
                      <w:szCs w:val="21"/>
                    </w:rPr>
                    <w:t xml:space="preserve">6000 </w:t>
                  </w:r>
                  <w:r>
                    <w:rPr>
                      <w:rFonts w:ascii="宋体" w:hAnsi="宋体" w:eastAsia="宋体" w:cs="宋体"/>
                      <w:color w:val="auto"/>
                      <w:spacing w:val="-2"/>
                      <w:sz w:val="21"/>
                      <w:szCs w:val="21"/>
                    </w:rPr>
                    <w:t>套等</w:t>
                  </w:r>
                </w:p>
              </w:tc>
              <w:tc>
                <w:tcPr>
                  <w:tcW w:w="1878" w:type="dxa"/>
                  <w:vAlign w:val="center"/>
                </w:tcPr>
                <w:p w14:paraId="59A7A0D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乐环审</w:t>
                  </w:r>
                  <w:r>
                    <w:rPr>
                      <w:color w:val="auto"/>
                      <w:spacing w:val="-2"/>
                      <w:sz w:val="21"/>
                      <w:szCs w:val="21"/>
                    </w:rPr>
                    <w:t>[</w:t>
                  </w:r>
                  <w:r>
                    <w:rPr>
                      <w:color w:val="auto"/>
                      <w:sz w:val="21"/>
                      <w:szCs w:val="21"/>
                    </w:rPr>
                    <w:fldChar w:fldCharType="begin"/>
                  </w:r>
                  <w:r>
                    <w:rPr>
                      <w:color w:val="auto"/>
                      <w:sz w:val="21"/>
                      <w:szCs w:val="21"/>
                    </w:rPr>
                    <w:instrText xml:space="preserve"> HYPERLINK \l "bookmark236" </w:instrText>
                  </w:r>
                  <w:r>
                    <w:rPr>
                      <w:color w:val="auto"/>
                      <w:sz w:val="21"/>
                      <w:szCs w:val="21"/>
                    </w:rPr>
                    <w:fldChar w:fldCharType="separate"/>
                  </w:r>
                  <w:r>
                    <w:rPr>
                      <w:color w:val="auto"/>
                      <w:spacing w:val="-2"/>
                      <w:sz w:val="21"/>
                      <w:szCs w:val="21"/>
                    </w:rPr>
                    <w:t>2017</w:t>
                  </w:r>
                  <w:r>
                    <w:rPr>
                      <w:color w:val="auto"/>
                      <w:spacing w:val="-2"/>
                      <w:sz w:val="21"/>
                      <w:szCs w:val="21"/>
                    </w:rPr>
                    <w:fldChar w:fldCharType="end"/>
                  </w:r>
                  <w:r>
                    <w:rPr>
                      <w:color w:val="auto"/>
                      <w:spacing w:val="-2"/>
                      <w:sz w:val="21"/>
                      <w:szCs w:val="21"/>
                    </w:rPr>
                    <w:t>]79</w:t>
                  </w:r>
                  <w:r>
                    <w:rPr>
                      <w:color w:val="auto"/>
                      <w:spacing w:val="24"/>
                      <w:sz w:val="21"/>
                      <w:szCs w:val="21"/>
                    </w:rPr>
                    <w:t xml:space="preserve"> </w:t>
                  </w:r>
                  <w:r>
                    <w:rPr>
                      <w:rFonts w:ascii="宋体" w:hAnsi="宋体" w:eastAsia="宋体" w:cs="宋体"/>
                      <w:color w:val="auto"/>
                      <w:spacing w:val="-2"/>
                      <w:sz w:val="21"/>
                      <w:szCs w:val="21"/>
                    </w:rPr>
                    <w:t>号</w:t>
                  </w:r>
                </w:p>
              </w:tc>
            </w:tr>
            <w:tr w14:paraId="19710C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311" w:type="dxa"/>
                  <w:vAlign w:val="center"/>
                </w:tcPr>
                <w:p w14:paraId="77D683D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35</w:t>
                  </w:r>
                </w:p>
              </w:tc>
              <w:tc>
                <w:tcPr>
                  <w:tcW w:w="961" w:type="dxa"/>
                  <w:vAlign w:val="center"/>
                </w:tcPr>
                <w:p w14:paraId="3653A91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乐昌市同路单采血浆有限公</w:t>
                  </w:r>
                </w:p>
                <w:p w14:paraId="77D37D8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司</w:t>
                  </w:r>
                </w:p>
              </w:tc>
              <w:tc>
                <w:tcPr>
                  <w:tcW w:w="600" w:type="dxa"/>
                  <w:vAlign w:val="center"/>
                </w:tcPr>
                <w:p w14:paraId="5B9265A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395B714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卫生</w:t>
                  </w:r>
                </w:p>
              </w:tc>
              <w:tc>
                <w:tcPr>
                  <w:tcW w:w="1140" w:type="dxa"/>
                  <w:vAlign w:val="center"/>
                </w:tcPr>
                <w:p w14:paraId="1608D27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9379</w:t>
                  </w:r>
                </w:p>
              </w:tc>
              <w:tc>
                <w:tcPr>
                  <w:tcW w:w="2053" w:type="dxa"/>
                  <w:vAlign w:val="center"/>
                </w:tcPr>
                <w:p w14:paraId="50544EA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rFonts w:ascii="宋体" w:hAnsi="宋体" w:eastAsia="宋体" w:cs="宋体"/>
                      <w:color w:val="auto"/>
                      <w:spacing w:val="-2"/>
                      <w:sz w:val="21"/>
                      <w:szCs w:val="21"/>
                    </w:rPr>
                    <w:t>采浆量为</w:t>
                  </w:r>
                  <w:r>
                    <w:rPr>
                      <w:rFonts w:ascii="宋体" w:hAnsi="宋体" w:eastAsia="宋体" w:cs="宋体"/>
                      <w:color w:val="auto"/>
                      <w:spacing w:val="-41"/>
                      <w:sz w:val="21"/>
                      <w:szCs w:val="21"/>
                    </w:rPr>
                    <w:t xml:space="preserve"> </w:t>
                  </w:r>
                  <w:r>
                    <w:rPr>
                      <w:color w:val="auto"/>
                      <w:spacing w:val="-2"/>
                      <w:sz w:val="21"/>
                      <w:szCs w:val="21"/>
                    </w:rPr>
                    <w:t>40t/a</w:t>
                  </w:r>
                </w:p>
              </w:tc>
              <w:tc>
                <w:tcPr>
                  <w:tcW w:w="1878" w:type="dxa"/>
                  <w:vAlign w:val="center"/>
                </w:tcPr>
                <w:p w14:paraId="6AFC6DA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乐环审</w:t>
                  </w:r>
                  <w:r>
                    <w:rPr>
                      <w:color w:val="auto"/>
                      <w:spacing w:val="-2"/>
                      <w:sz w:val="21"/>
                      <w:szCs w:val="21"/>
                    </w:rPr>
                    <w:t>[</w:t>
                  </w:r>
                  <w:r>
                    <w:rPr>
                      <w:color w:val="auto"/>
                      <w:sz w:val="21"/>
                      <w:szCs w:val="21"/>
                    </w:rPr>
                    <w:fldChar w:fldCharType="begin"/>
                  </w:r>
                  <w:r>
                    <w:rPr>
                      <w:color w:val="auto"/>
                      <w:sz w:val="21"/>
                      <w:szCs w:val="21"/>
                    </w:rPr>
                    <w:instrText xml:space="preserve"> HYPERLINK \l "bookmark237" </w:instrText>
                  </w:r>
                  <w:r>
                    <w:rPr>
                      <w:color w:val="auto"/>
                      <w:sz w:val="21"/>
                      <w:szCs w:val="21"/>
                    </w:rPr>
                    <w:fldChar w:fldCharType="separate"/>
                  </w:r>
                  <w:r>
                    <w:rPr>
                      <w:color w:val="auto"/>
                      <w:spacing w:val="-2"/>
                      <w:sz w:val="21"/>
                      <w:szCs w:val="21"/>
                    </w:rPr>
                    <w:t>2016</w:t>
                  </w:r>
                  <w:r>
                    <w:rPr>
                      <w:color w:val="auto"/>
                      <w:spacing w:val="-2"/>
                      <w:sz w:val="21"/>
                      <w:szCs w:val="21"/>
                    </w:rPr>
                    <w:fldChar w:fldCharType="end"/>
                  </w:r>
                  <w:r>
                    <w:rPr>
                      <w:color w:val="auto"/>
                      <w:spacing w:val="-2"/>
                      <w:sz w:val="21"/>
                      <w:szCs w:val="21"/>
                    </w:rPr>
                    <w:t>]20</w:t>
                  </w:r>
                  <w:r>
                    <w:rPr>
                      <w:color w:val="auto"/>
                      <w:spacing w:val="24"/>
                      <w:sz w:val="21"/>
                      <w:szCs w:val="21"/>
                    </w:rPr>
                    <w:t xml:space="preserve"> </w:t>
                  </w:r>
                  <w:r>
                    <w:rPr>
                      <w:rFonts w:ascii="宋体" w:hAnsi="宋体" w:eastAsia="宋体" w:cs="宋体"/>
                      <w:color w:val="auto"/>
                      <w:spacing w:val="-2"/>
                      <w:sz w:val="21"/>
                      <w:szCs w:val="21"/>
                    </w:rPr>
                    <w:t>号</w:t>
                  </w:r>
                </w:p>
              </w:tc>
            </w:tr>
            <w:tr w14:paraId="6C6FD2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311" w:type="dxa"/>
                  <w:vAlign w:val="center"/>
                </w:tcPr>
                <w:p w14:paraId="78380ED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36</w:t>
                  </w:r>
                </w:p>
              </w:tc>
              <w:tc>
                <w:tcPr>
                  <w:tcW w:w="961" w:type="dxa"/>
                  <w:vAlign w:val="center"/>
                </w:tcPr>
                <w:p w14:paraId="00E71C0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韶关鑫瑞智能装备有限公司</w:t>
                  </w:r>
                </w:p>
              </w:tc>
              <w:tc>
                <w:tcPr>
                  <w:tcW w:w="600" w:type="dxa"/>
                  <w:vAlign w:val="center"/>
                </w:tcPr>
                <w:p w14:paraId="5FE0AAC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46E6152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专用设备制造业</w:t>
                  </w:r>
                </w:p>
              </w:tc>
              <w:tc>
                <w:tcPr>
                  <w:tcW w:w="1140" w:type="dxa"/>
                  <w:vAlign w:val="center"/>
                </w:tcPr>
                <w:p w14:paraId="22096E0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4"/>
                      <w:sz w:val="21"/>
                      <w:szCs w:val="21"/>
                    </w:rPr>
                    <w:t>17693</w:t>
                  </w:r>
                </w:p>
              </w:tc>
              <w:tc>
                <w:tcPr>
                  <w:tcW w:w="2053" w:type="dxa"/>
                  <w:vAlign w:val="center"/>
                </w:tcPr>
                <w:p w14:paraId="2CCBE7C3">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年产破碎、筛分单机设备，移动式破碎筛分装备和</w:t>
                  </w:r>
                  <w:r>
                    <w:rPr>
                      <w:rFonts w:ascii="宋体" w:hAnsi="宋体" w:eastAsia="宋体" w:cs="宋体"/>
                      <w:color w:val="auto"/>
                      <w:spacing w:val="-1"/>
                      <w:sz w:val="21"/>
                      <w:szCs w:val="21"/>
                    </w:rPr>
                    <w:t>模块化装</w:t>
                  </w:r>
                </w:p>
                <w:p w14:paraId="2D7B438C">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5"/>
                      <w:sz w:val="21"/>
                      <w:szCs w:val="21"/>
                    </w:rPr>
                    <w:t>备</w:t>
                  </w:r>
                  <w:r>
                    <w:rPr>
                      <w:rFonts w:ascii="宋体" w:hAnsi="宋体" w:eastAsia="宋体" w:cs="宋体"/>
                      <w:color w:val="auto"/>
                      <w:spacing w:val="-36"/>
                      <w:sz w:val="21"/>
                      <w:szCs w:val="21"/>
                    </w:rPr>
                    <w:t xml:space="preserve"> </w:t>
                  </w:r>
                  <w:r>
                    <w:rPr>
                      <w:color w:val="auto"/>
                      <w:spacing w:val="-5"/>
                      <w:sz w:val="21"/>
                      <w:szCs w:val="21"/>
                    </w:rPr>
                    <w:t>803</w:t>
                  </w:r>
                  <w:r>
                    <w:rPr>
                      <w:color w:val="auto"/>
                      <w:spacing w:val="23"/>
                      <w:sz w:val="21"/>
                      <w:szCs w:val="21"/>
                    </w:rPr>
                    <w:t xml:space="preserve"> </w:t>
                  </w:r>
                  <w:r>
                    <w:rPr>
                      <w:rFonts w:ascii="宋体" w:hAnsi="宋体" w:eastAsia="宋体" w:cs="宋体"/>
                      <w:color w:val="auto"/>
                      <w:spacing w:val="-5"/>
                      <w:sz w:val="21"/>
                      <w:szCs w:val="21"/>
                    </w:rPr>
                    <w:t>台</w:t>
                  </w:r>
                </w:p>
              </w:tc>
              <w:tc>
                <w:tcPr>
                  <w:tcW w:w="1878" w:type="dxa"/>
                  <w:vAlign w:val="center"/>
                </w:tcPr>
                <w:p w14:paraId="56BC60B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乐环审〔</w:t>
                  </w:r>
                  <w:r>
                    <w:rPr>
                      <w:color w:val="auto"/>
                      <w:spacing w:val="-1"/>
                      <w:sz w:val="21"/>
                      <w:szCs w:val="21"/>
                    </w:rPr>
                    <w:t>2019</w:t>
                  </w:r>
                  <w:r>
                    <w:rPr>
                      <w:rFonts w:ascii="宋体" w:hAnsi="宋体" w:eastAsia="宋体" w:cs="宋体"/>
                      <w:color w:val="auto"/>
                      <w:spacing w:val="-1"/>
                      <w:sz w:val="21"/>
                      <w:szCs w:val="21"/>
                    </w:rPr>
                    <w:t>〕</w:t>
                  </w:r>
                  <w:r>
                    <w:rPr>
                      <w:color w:val="auto"/>
                      <w:spacing w:val="-1"/>
                      <w:sz w:val="21"/>
                      <w:szCs w:val="21"/>
                    </w:rPr>
                    <w:t xml:space="preserve">25 </w:t>
                  </w:r>
                  <w:r>
                    <w:rPr>
                      <w:rFonts w:ascii="宋体" w:hAnsi="宋体" w:eastAsia="宋体" w:cs="宋体"/>
                      <w:color w:val="auto"/>
                      <w:spacing w:val="-1"/>
                      <w:sz w:val="21"/>
                      <w:szCs w:val="21"/>
                    </w:rPr>
                    <w:t>号</w:t>
                  </w:r>
                </w:p>
              </w:tc>
            </w:tr>
            <w:tr w14:paraId="06C95E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583585EA">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37</w:t>
                  </w:r>
                </w:p>
              </w:tc>
              <w:tc>
                <w:tcPr>
                  <w:tcW w:w="961" w:type="dxa"/>
                  <w:vAlign w:val="center"/>
                </w:tcPr>
                <w:p w14:paraId="3949D51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韶关龙督装饰材料有限公司</w:t>
                  </w:r>
                </w:p>
              </w:tc>
              <w:tc>
                <w:tcPr>
                  <w:tcW w:w="600" w:type="dxa"/>
                  <w:vAlign w:val="center"/>
                </w:tcPr>
                <w:p w14:paraId="7F53E56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3C251EB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275C86D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33812.1</w:t>
                  </w:r>
                </w:p>
              </w:tc>
              <w:tc>
                <w:tcPr>
                  <w:tcW w:w="2053" w:type="dxa"/>
                  <w:vAlign w:val="center"/>
                </w:tcPr>
                <w:p w14:paraId="69E6517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年产彩涂铝卷</w:t>
                  </w:r>
                  <w:r>
                    <w:rPr>
                      <w:rFonts w:ascii="宋体" w:hAnsi="宋体" w:eastAsia="宋体" w:cs="宋体"/>
                      <w:color w:val="auto"/>
                      <w:spacing w:val="-47"/>
                      <w:sz w:val="21"/>
                      <w:szCs w:val="21"/>
                    </w:rPr>
                    <w:t xml:space="preserve"> </w:t>
                  </w:r>
                  <w:r>
                    <w:rPr>
                      <w:color w:val="auto"/>
                      <w:spacing w:val="-2"/>
                      <w:sz w:val="21"/>
                      <w:szCs w:val="21"/>
                    </w:rPr>
                    <w:t>400</w:t>
                  </w:r>
                  <w:r>
                    <w:rPr>
                      <w:color w:val="auto"/>
                      <w:spacing w:val="13"/>
                      <w:w w:val="101"/>
                      <w:sz w:val="21"/>
                      <w:szCs w:val="21"/>
                    </w:rPr>
                    <w:t xml:space="preserve"> </w:t>
                  </w:r>
                  <w:r>
                    <w:rPr>
                      <w:rFonts w:ascii="宋体" w:hAnsi="宋体" w:eastAsia="宋体" w:cs="宋体"/>
                      <w:color w:val="auto"/>
                      <w:spacing w:val="-2"/>
                      <w:sz w:val="21"/>
                      <w:szCs w:val="21"/>
                    </w:rPr>
                    <w:t>万平方米，铝幕墙板、铝天花板</w:t>
                  </w:r>
                  <w:r>
                    <w:rPr>
                      <w:rFonts w:ascii="宋体" w:hAnsi="宋体" w:eastAsia="宋体" w:cs="宋体"/>
                      <w:color w:val="auto"/>
                      <w:spacing w:val="-30"/>
                      <w:sz w:val="21"/>
                      <w:szCs w:val="21"/>
                    </w:rPr>
                    <w:t xml:space="preserve"> </w:t>
                  </w:r>
                  <w:r>
                    <w:rPr>
                      <w:color w:val="auto"/>
                      <w:spacing w:val="-2"/>
                      <w:sz w:val="21"/>
                      <w:szCs w:val="21"/>
                    </w:rPr>
                    <w:t>100</w:t>
                  </w:r>
                  <w:r>
                    <w:rPr>
                      <w:color w:val="auto"/>
                      <w:spacing w:val="13"/>
                      <w:w w:val="101"/>
                      <w:sz w:val="21"/>
                      <w:szCs w:val="21"/>
                    </w:rPr>
                    <w:t xml:space="preserve"> </w:t>
                  </w:r>
                  <w:r>
                    <w:rPr>
                      <w:rFonts w:ascii="宋体" w:hAnsi="宋体" w:eastAsia="宋体" w:cs="宋体"/>
                      <w:color w:val="auto"/>
                      <w:spacing w:val="-2"/>
                      <w:sz w:val="21"/>
                      <w:szCs w:val="21"/>
                    </w:rPr>
                    <w:t>万平</w:t>
                  </w:r>
                </w:p>
                <w:p w14:paraId="4D93C563">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方米</w:t>
                  </w:r>
                </w:p>
              </w:tc>
              <w:tc>
                <w:tcPr>
                  <w:tcW w:w="1878" w:type="dxa"/>
                  <w:vAlign w:val="center"/>
                </w:tcPr>
                <w:p w14:paraId="232225B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乐环审</w:t>
                  </w:r>
                  <w:r>
                    <w:rPr>
                      <w:color w:val="auto"/>
                      <w:spacing w:val="-2"/>
                      <w:sz w:val="21"/>
                      <w:szCs w:val="21"/>
                    </w:rPr>
                    <w:t>[</w:t>
                  </w:r>
                  <w:r>
                    <w:rPr>
                      <w:color w:val="auto"/>
                      <w:sz w:val="21"/>
                      <w:szCs w:val="21"/>
                    </w:rPr>
                    <w:fldChar w:fldCharType="begin"/>
                  </w:r>
                  <w:r>
                    <w:rPr>
                      <w:color w:val="auto"/>
                      <w:sz w:val="21"/>
                      <w:szCs w:val="21"/>
                    </w:rPr>
                    <w:instrText xml:space="preserve"> HYPERLINK \l "bookmark238" </w:instrText>
                  </w:r>
                  <w:r>
                    <w:rPr>
                      <w:color w:val="auto"/>
                      <w:sz w:val="21"/>
                      <w:szCs w:val="21"/>
                    </w:rPr>
                    <w:fldChar w:fldCharType="separate"/>
                  </w:r>
                  <w:r>
                    <w:rPr>
                      <w:color w:val="auto"/>
                      <w:spacing w:val="-2"/>
                      <w:sz w:val="21"/>
                      <w:szCs w:val="21"/>
                    </w:rPr>
                    <w:t>2018</w:t>
                  </w:r>
                  <w:r>
                    <w:rPr>
                      <w:color w:val="auto"/>
                      <w:spacing w:val="-2"/>
                      <w:sz w:val="21"/>
                      <w:szCs w:val="21"/>
                    </w:rPr>
                    <w:fldChar w:fldCharType="end"/>
                  </w:r>
                  <w:r>
                    <w:rPr>
                      <w:color w:val="auto"/>
                      <w:spacing w:val="-2"/>
                      <w:sz w:val="21"/>
                      <w:szCs w:val="21"/>
                    </w:rPr>
                    <w:t>]50</w:t>
                  </w:r>
                  <w:r>
                    <w:rPr>
                      <w:color w:val="auto"/>
                      <w:spacing w:val="24"/>
                      <w:sz w:val="21"/>
                      <w:szCs w:val="21"/>
                    </w:rPr>
                    <w:t xml:space="preserve"> </w:t>
                  </w:r>
                  <w:r>
                    <w:rPr>
                      <w:rFonts w:ascii="宋体" w:hAnsi="宋体" w:eastAsia="宋体" w:cs="宋体"/>
                      <w:color w:val="auto"/>
                      <w:spacing w:val="-2"/>
                      <w:sz w:val="21"/>
                      <w:szCs w:val="21"/>
                    </w:rPr>
                    <w:t>号</w:t>
                  </w:r>
                </w:p>
              </w:tc>
            </w:tr>
            <w:tr w14:paraId="2C7A9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2DDC58C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38</w:t>
                  </w:r>
                </w:p>
              </w:tc>
              <w:tc>
                <w:tcPr>
                  <w:tcW w:w="961" w:type="dxa"/>
                  <w:vAlign w:val="center"/>
                </w:tcPr>
                <w:p w14:paraId="58278ED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乐昌市胜兴新材料有限公司</w:t>
                  </w:r>
                </w:p>
              </w:tc>
              <w:tc>
                <w:tcPr>
                  <w:tcW w:w="600" w:type="dxa"/>
                  <w:vAlign w:val="center"/>
                </w:tcPr>
                <w:p w14:paraId="04DD1CD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39CEAA4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纺织业</w:t>
                  </w:r>
                </w:p>
              </w:tc>
              <w:tc>
                <w:tcPr>
                  <w:tcW w:w="1140" w:type="dxa"/>
                  <w:vAlign w:val="center"/>
                </w:tcPr>
                <w:p w14:paraId="19520959">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5760</w:t>
                  </w:r>
                </w:p>
              </w:tc>
              <w:tc>
                <w:tcPr>
                  <w:tcW w:w="2053" w:type="dxa"/>
                  <w:vAlign w:val="center"/>
                </w:tcPr>
                <w:p w14:paraId="3357F6B8">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年产衬布</w:t>
                  </w:r>
                  <w:r>
                    <w:rPr>
                      <w:rFonts w:ascii="宋体" w:hAnsi="宋体" w:eastAsia="宋体" w:cs="宋体"/>
                      <w:color w:val="auto"/>
                      <w:spacing w:val="-43"/>
                      <w:sz w:val="21"/>
                      <w:szCs w:val="21"/>
                    </w:rPr>
                    <w:t xml:space="preserve"> </w:t>
                  </w:r>
                  <w:r>
                    <w:rPr>
                      <w:color w:val="auto"/>
                      <w:spacing w:val="-1"/>
                      <w:sz w:val="21"/>
                      <w:szCs w:val="21"/>
                    </w:rPr>
                    <w:t xml:space="preserve">6000 </w:t>
                  </w:r>
                  <w:r>
                    <w:rPr>
                      <w:rFonts w:ascii="宋体" w:hAnsi="宋体" w:eastAsia="宋体" w:cs="宋体"/>
                      <w:color w:val="auto"/>
                      <w:spacing w:val="-1"/>
                      <w:sz w:val="21"/>
                      <w:szCs w:val="21"/>
                    </w:rPr>
                    <w:t>万米</w:t>
                  </w:r>
                </w:p>
              </w:tc>
              <w:tc>
                <w:tcPr>
                  <w:tcW w:w="1878" w:type="dxa"/>
                  <w:vAlign w:val="center"/>
                </w:tcPr>
                <w:p w14:paraId="142EC942">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韶环乐审</w:t>
                  </w:r>
                  <w:r>
                    <w:rPr>
                      <w:color w:val="auto"/>
                      <w:spacing w:val="-2"/>
                      <w:sz w:val="21"/>
                      <w:szCs w:val="21"/>
                    </w:rPr>
                    <w:t>[</w:t>
                  </w:r>
                  <w:r>
                    <w:rPr>
                      <w:color w:val="auto"/>
                      <w:sz w:val="21"/>
                      <w:szCs w:val="21"/>
                    </w:rPr>
                    <w:fldChar w:fldCharType="begin"/>
                  </w:r>
                  <w:r>
                    <w:rPr>
                      <w:color w:val="auto"/>
                      <w:sz w:val="21"/>
                      <w:szCs w:val="21"/>
                    </w:rPr>
                    <w:instrText xml:space="preserve"> HYPERLINK \l "bookmark239" </w:instrText>
                  </w:r>
                  <w:r>
                    <w:rPr>
                      <w:color w:val="auto"/>
                      <w:sz w:val="21"/>
                      <w:szCs w:val="21"/>
                    </w:rPr>
                    <w:fldChar w:fldCharType="separate"/>
                  </w:r>
                  <w:r>
                    <w:rPr>
                      <w:color w:val="auto"/>
                      <w:spacing w:val="-2"/>
                      <w:sz w:val="21"/>
                      <w:szCs w:val="21"/>
                    </w:rPr>
                    <w:t>2023</w:t>
                  </w:r>
                  <w:r>
                    <w:rPr>
                      <w:color w:val="auto"/>
                      <w:spacing w:val="-2"/>
                      <w:sz w:val="21"/>
                      <w:szCs w:val="21"/>
                    </w:rPr>
                    <w:fldChar w:fldCharType="end"/>
                  </w:r>
                  <w:r>
                    <w:rPr>
                      <w:color w:val="auto"/>
                      <w:spacing w:val="-2"/>
                      <w:sz w:val="21"/>
                      <w:szCs w:val="21"/>
                    </w:rPr>
                    <w:t>]</w:t>
                  </w:r>
                  <w:r>
                    <w:rPr>
                      <w:color w:val="auto"/>
                      <w:spacing w:val="-20"/>
                      <w:sz w:val="21"/>
                      <w:szCs w:val="21"/>
                    </w:rPr>
                    <w:t xml:space="preserve"> </w:t>
                  </w:r>
                  <w:r>
                    <w:rPr>
                      <w:color w:val="auto"/>
                      <w:spacing w:val="-2"/>
                      <w:sz w:val="21"/>
                      <w:szCs w:val="21"/>
                    </w:rPr>
                    <w:t xml:space="preserve">18 </w:t>
                  </w:r>
                  <w:r>
                    <w:rPr>
                      <w:rFonts w:ascii="宋体" w:hAnsi="宋体" w:eastAsia="宋体" w:cs="宋体"/>
                      <w:color w:val="auto"/>
                      <w:spacing w:val="-2"/>
                      <w:sz w:val="21"/>
                      <w:szCs w:val="21"/>
                    </w:rPr>
                    <w:t>号</w:t>
                  </w:r>
                </w:p>
              </w:tc>
            </w:tr>
            <w:tr w14:paraId="5D207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2021A6AB">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39</w:t>
                  </w:r>
                </w:p>
              </w:tc>
              <w:tc>
                <w:tcPr>
                  <w:tcW w:w="961" w:type="dxa"/>
                  <w:vAlign w:val="center"/>
                </w:tcPr>
                <w:p w14:paraId="3C4EA6E3">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乐昌市鸿鑫机械设备有限公</w:t>
                  </w:r>
                </w:p>
                <w:p w14:paraId="07B0442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司</w:t>
                  </w:r>
                </w:p>
              </w:tc>
              <w:tc>
                <w:tcPr>
                  <w:tcW w:w="600" w:type="dxa"/>
                  <w:vAlign w:val="center"/>
                </w:tcPr>
                <w:p w14:paraId="5D1CD37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107D942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通用设备制造业</w:t>
                  </w:r>
                </w:p>
              </w:tc>
              <w:tc>
                <w:tcPr>
                  <w:tcW w:w="1140" w:type="dxa"/>
                  <w:vAlign w:val="center"/>
                </w:tcPr>
                <w:p w14:paraId="5786B18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700</w:t>
                  </w:r>
                </w:p>
              </w:tc>
              <w:tc>
                <w:tcPr>
                  <w:tcW w:w="2053" w:type="dxa"/>
                  <w:vAlign w:val="center"/>
                </w:tcPr>
                <w:p w14:paraId="0099560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年产液压元件</w:t>
                  </w:r>
                  <w:r>
                    <w:rPr>
                      <w:rFonts w:ascii="宋体" w:hAnsi="宋体" w:eastAsia="宋体" w:cs="宋体"/>
                      <w:color w:val="auto"/>
                      <w:spacing w:val="-17"/>
                      <w:sz w:val="21"/>
                      <w:szCs w:val="21"/>
                    </w:rPr>
                    <w:t xml:space="preserve"> </w:t>
                  </w:r>
                  <w:r>
                    <w:rPr>
                      <w:color w:val="auto"/>
                      <w:spacing w:val="-3"/>
                      <w:sz w:val="21"/>
                      <w:szCs w:val="21"/>
                    </w:rPr>
                    <w:t xml:space="preserve">1000 </w:t>
                  </w:r>
                  <w:r>
                    <w:rPr>
                      <w:rFonts w:ascii="宋体" w:hAnsi="宋体" w:eastAsia="宋体" w:cs="宋体"/>
                      <w:color w:val="auto"/>
                      <w:spacing w:val="-3"/>
                      <w:sz w:val="21"/>
                      <w:szCs w:val="21"/>
                    </w:rPr>
                    <w:t>套</w:t>
                  </w:r>
                </w:p>
              </w:tc>
              <w:tc>
                <w:tcPr>
                  <w:tcW w:w="1878" w:type="dxa"/>
                  <w:vAlign w:val="center"/>
                </w:tcPr>
                <w:p w14:paraId="5410A4A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乐环审〔</w:t>
                  </w:r>
                  <w:r>
                    <w:rPr>
                      <w:color w:val="auto"/>
                      <w:spacing w:val="-1"/>
                      <w:sz w:val="21"/>
                      <w:szCs w:val="21"/>
                    </w:rPr>
                    <w:t>2019</w:t>
                  </w:r>
                  <w:r>
                    <w:rPr>
                      <w:rFonts w:ascii="宋体" w:hAnsi="宋体" w:eastAsia="宋体" w:cs="宋体"/>
                      <w:color w:val="auto"/>
                      <w:spacing w:val="-1"/>
                      <w:sz w:val="21"/>
                      <w:szCs w:val="21"/>
                    </w:rPr>
                    <w:t>〕</w:t>
                  </w:r>
                  <w:r>
                    <w:rPr>
                      <w:color w:val="auto"/>
                      <w:spacing w:val="-1"/>
                      <w:sz w:val="21"/>
                      <w:szCs w:val="21"/>
                    </w:rPr>
                    <w:t xml:space="preserve">38 </w:t>
                  </w:r>
                  <w:r>
                    <w:rPr>
                      <w:rFonts w:ascii="宋体" w:hAnsi="宋体" w:eastAsia="宋体" w:cs="宋体"/>
                      <w:color w:val="auto"/>
                      <w:spacing w:val="-1"/>
                      <w:sz w:val="21"/>
                      <w:szCs w:val="21"/>
                    </w:rPr>
                    <w:t>号</w:t>
                  </w:r>
                </w:p>
              </w:tc>
            </w:tr>
            <w:tr w14:paraId="682AAA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56F5BAE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40</w:t>
                  </w:r>
                </w:p>
              </w:tc>
              <w:tc>
                <w:tcPr>
                  <w:tcW w:w="961" w:type="dxa"/>
                  <w:vAlign w:val="center"/>
                </w:tcPr>
                <w:p w14:paraId="3DF65E9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广东柏创智能装备有限公司</w:t>
                  </w:r>
                </w:p>
              </w:tc>
              <w:tc>
                <w:tcPr>
                  <w:tcW w:w="600" w:type="dxa"/>
                  <w:vAlign w:val="center"/>
                </w:tcPr>
                <w:p w14:paraId="1F07793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0503E89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电气机械和器材制</w:t>
                  </w:r>
                  <w:r>
                    <w:rPr>
                      <w:rFonts w:ascii="宋体" w:hAnsi="宋体" w:eastAsia="宋体" w:cs="宋体"/>
                      <w:color w:val="auto"/>
                      <w:spacing w:val="-2"/>
                      <w:sz w:val="21"/>
                      <w:szCs w:val="21"/>
                    </w:rPr>
                    <w:t>造业</w:t>
                  </w:r>
                </w:p>
              </w:tc>
              <w:tc>
                <w:tcPr>
                  <w:tcW w:w="1140" w:type="dxa"/>
                  <w:vAlign w:val="center"/>
                </w:tcPr>
                <w:p w14:paraId="33561E9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23334.5</w:t>
                  </w:r>
                </w:p>
              </w:tc>
              <w:tc>
                <w:tcPr>
                  <w:tcW w:w="2053" w:type="dxa"/>
                  <w:vAlign w:val="center"/>
                </w:tcPr>
                <w:p w14:paraId="4BC361C8">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年产单晶炉热交换器</w:t>
                  </w:r>
                  <w:r>
                    <w:rPr>
                      <w:rFonts w:ascii="宋体" w:hAnsi="宋体" w:eastAsia="宋体" w:cs="宋体"/>
                      <w:color w:val="auto"/>
                      <w:spacing w:val="-28"/>
                      <w:sz w:val="21"/>
                      <w:szCs w:val="21"/>
                    </w:rPr>
                    <w:t xml:space="preserve"> </w:t>
                  </w:r>
                  <w:r>
                    <w:rPr>
                      <w:color w:val="auto"/>
                      <w:spacing w:val="-1"/>
                      <w:sz w:val="21"/>
                      <w:szCs w:val="21"/>
                    </w:rPr>
                    <w:t xml:space="preserve">1.2 </w:t>
                  </w:r>
                  <w:r>
                    <w:rPr>
                      <w:rFonts w:ascii="宋体" w:hAnsi="宋体" w:eastAsia="宋体" w:cs="宋体"/>
                      <w:color w:val="auto"/>
                      <w:spacing w:val="-1"/>
                      <w:sz w:val="21"/>
                      <w:szCs w:val="21"/>
                    </w:rPr>
                    <w:t>万套、腔体部件</w:t>
                  </w:r>
                  <w:r>
                    <w:rPr>
                      <w:rFonts w:ascii="宋体" w:hAnsi="宋体" w:eastAsia="宋体" w:cs="宋体"/>
                      <w:color w:val="auto"/>
                      <w:spacing w:val="-47"/>
                      <w:sz w:val="21"/>
                      <w:szCs w:val="21"/>
                    </w:rPr>
                    <w:t xml:space="preserve"> </w:t>
                  </w:r>
                  <w:r>
                    <w:rPr>
                      <w:color w:val="auto"/>
                      <w:spacing w:val="-1"/>
                      <w:sz w:val="21"/>
                      <w:szCs w:val="21"/>
                    </w:rPr>
                    <w:t xml:space="preserve">200 </w:t>
                  </w:r>
                  <w:r>
                    <w:rPr>
                      <w:rFonts w:ascii="宋体" w:hAnsi="宋体" w:eastAsia="宋体" w:cs="宋体"/>
                      <w:color w:val="auto"/>
                      <w:spacing w:val="-1"/>
                      <w:sz w:val="21"/>
                      <w:szCs w:val="21"/>
                    </w:rPr>
                    <w:t>套、</w:t>
                  </w:r>
                  <w:r>
                    <w:rPr>
                      <w:rFonts w:ascii="宋体" w:hAnsi="宋体" w:eastAsia="宋体" w:cs="宋体"/>
                      <w:color w:val="auto"/>
                      <w:spacing w:val="-2"/>
                      <w:sz w:val="21"/>
                      <w:szCs w:val="21"/>
                    </w:rPr>
                    <w:t>晶棒相关</w:t>
                  </w:r>
                </w:p>
                <w:p w14:paraId="51EFA17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自动化设备</w:t>
                  </w:r>
                  <w:r>
                    <w:rPr>
                      <w:rFonts w:ascii="宋体" w:hAnsi="宋体" w:eastAsia="宋体" w:cs="宋体"/>
                      <w:color w:val="auto"/>
                      <w:spacing w:val="-46"/>
                      <w:sz w:val="21"/>
                      <w:szCs w:val="21"/>
                    </w:rPr>
                    <w:t xml:space="preserve"> </w:t>
                  </w:r>
                  <w:r>
                    <w:rPr>
                      <w:color w:val="auto"/>
                      <w:spacing w:val="-4"/>
                      <w:sz w:val="21"/>
                      <w:szCs w:val="21"/>
                    </w:rPr>
                    <w:t xml:space="preserve">200 </w:t>
                  </w:r>
                  <w:r>
                    <w:rPr>
                      <w:rFonts w:ascii="宋体" w:hAnsi="宋体" w:eastAsia="宋体" w:cs="宋体"/>
                      <w:color w:val="auto"/>
                      <w:spacing w:val="-4"/>
                      <w:sz w:val="21"/>
                      <w:szCs w:val="21"/>
                    </w:rPr>
                    <w:t>套</w:t>
                  </w:r>
                </w:p>
              </w:tc>
              <w:tc>
                <w:tcPr>
                  <w:tcW w:w="1878" w:type="dxa"/>
                  <w:vAlign w:val="center"/>
                </w:tcPr>
                <w:p w14:paraId="61944D5B">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2023</w:t>
                  </w:r>
                  <w:r>
                    <w:rPr>
                      <w:rFonts w:ascii="宋体" w:hAnsi="宋体" w:eastAsia="宋体" w:cs="宋体"/>
                      <w:color w:val="auto"/>
                      <w:spacing w:val="-1"/>
                      <w:sz w:val="21"/>
                      <w:szCs w:val="21"/>
                    </w:rPr>
                    <w:t>〕</w:t>
                  </w:r>
                  <w:r>
                    <w:rPr>
                      <w:color w:val="auto"/>
                      <w:spacing w:val="-1"/>
                      <w:sz w:val="21"/>
                      <w:szCs w:val="21"/>
                    </w:rPr>
                    <w:t>33</w:t>
                  </w:r>
                  <w:r>
                    <w:rPr>
                      <w:color w:val="auto"/>
                      <w:spacing w:val="18"/>
                      <w:sz w:val="21"/>
                      <w:szCs w:val="21"/>
                    </w:rPr>
                    <w:t xml:space="preserve"> </w:t>
                  </w:r>
                  <w:r>
                    <w:rPr>
                      <w:rFonts w:ascii="宋体" w:hAnsi="宋体" w:eastAsia="宋体" w:cs="宋体"/>
                      <w:color w:val="auto"/>
                      <w:spacing w:val="-1"/>
                      <w:sz w:val="21"/>
                      <w:szCs w:val="21"/>
                    </w:rPr>
                    <w:t>号</w:t>
                  </w:r>
                </w:p>
              </w:tc>
            </w:tr>
            <w:tr w14:paraId="4E3ED6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2965B0D9">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41</w:t>
                  </w:r>
                </w:p>
              </w:tc>
              <w:tc>
                <w:tcPr>
                  <w:tcW w:w="961" w:type="dxa"/>
                  <w:vAlign w:val="center"/>
                </w:tcPr>
                <w:p w14:paraId="0E6B725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广东中衡能源设备有限公司</w:t>
                  </w:r>
                </w:p>
              </w:tc>
              <w:tc>
                <w:tcPr>
                  <w:tcW w:w="600" w:type="dxa"/>
                  <w:vAlign w:val="center"/>
                </w:tcPr>
                <w:p w14:paraId="58836A9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29DACB8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41D2F0BB">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3"/>
                      <w:sz w:val="21"/>
                      <w:szCs w:val="21"/>
                    </w:rPr>
                    <w:t>13940.57</w:t>
                  </w:r>
                </w:p>
              </w:tc>
              <w:tc>
                <w:tcPr>
                  <w:tcW w:w="2053" w:type="dxa"/>
                  <w:vAlign w:val="center"/>
                </w:tcPr>
                <w:p w14:paraId="60ECB0A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年产移动通信基站设备</w:t>
                  </w:r>
                  <w:r>
                    <w:rPr>
                      <w:rFonts w:ascii="宋体" w:hAnsi="宋体" w:eastAsia="宋体" w:cs="宋体"/>
                      <w:color w:val="auto"/>
                      <w:spacing w:val="-43"/>
                      <w:sz w:val="21"/>
                      <w:szCs w:val="21"/>
                    </w:rPr>
                    <w:t xml:space="preserve"> </w:t>
                  </w:r>
                  <w:r>
                    <w:rPr>
                      <w:color w:val="auto"/>
                      <w:spacing w:val="-1"/>
                      <w:sz w:val="21"/>
                      <w:szCs w:val="21"/>
                    </w:rPr>
                    <w:t xml:space="preserve">3 </w:t>
                  </w:r>
                  <w:r>
                    <w:rPr>
                      <w:rFonts w:ascii="宋体" w:hAnsi="宋体" w:eastAsia="宋体" w:cs="宋体"/>
                      <w:color w:val="auto"/>
                      <w:spacing w:val="-1"/>
                      <w:sz w:val="21"/>
                      <w:szCs w:val="21"/>
                    </w:rPr>
                    <w:t>万套、移动通信机柜</w:t>
                  </w:r>
                  <w:r>
                    <w:rPr>
                      <w:rFonts w:ascii="宋体" w:hAnsi="宋体" w:eastAsia="宋体" w:cs="宋体"/>
                      <w:color w:val="auto"/>
                      <w:spacing w:val="-49"/>
                      <w:sz w:val="21"/>
                      <w:szCs w:val="21"/>
                    </w:rPr>
                    <w:t xml:space="preserve"> </w:t>
                  </w:r>
                  <w:r>
                    <w:rPr>
                      <w:color w:val="auto"/>
                      <w:spacing w:val="-2"/>
                      <w:sz w:val="21"/>
                      <w:szCs w:val="21"/>
                    </w:rPr>
                    <w:t>2</w:t>
                  </w:r>
                  <w:r>
                    <w:rPr>
                      <w:color w:val="auto"/>
                      <w:spacing w:val="14"/>
                      <w:w w:val="101"/>
                      <w:sz w:val="21"/>
                      <w:szCs w:val="21"/>
                    </w:rPr>
                    <w:t xml:space="preserve"> </w:t>
                  </w:r>
                  <w:r>
                    <w:rPr>
                      <w:rFonts w:ascii="宋体" w:hAnsi="宋体" w:eastAsia="宋体" w:cs="宋体"/>
                      <w:color w:val="auto"/>
                      <w:spacing w:val="-2"/>
                      <w:sz w:val="21"/>
                      <w:szCs w:val="21"/>
                    </w:rPr>
                    <w:t>万套</w:t>
                  </w:r>
                </w:p>
              </w:tc>
              <w:tc>
                <w:tcPr>
                  <w:tcW w:w="1878" w:type="dxa"/>
                  <w:vAlign w:val="center"/>
                </w:tcPr>
                <w:p w14:paraId="38A827B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2022</w:t>
                  </w:r>
                  <w:r>
                    <w:rPr>
                      <w:rFonts w:ascii="宋体" w:hAnsi="宋体" w:eastAsia="宋体" w:cs="宋体"/>
                      <w:color w:val="auto"/>
                      <w:spacing w:val="-1"/>
                      <w:sz w:val="21"/>
                      <w:szCs w:val="21"/>
                    </w:rPr>
                    <w:t>〕</w:t>
                  </w:r>
                  <w:r>
                    <w:rPr>
                      <w:color w:val="auto"/>
                      <w:spacing w:val="-1"/>
                      <w:sz w:val="21"/>
                      <w:szCs w:val="21"/>
                    </w:rPr>
                    <w:t>12</w:t>
                  </w:r>
                  <w:r>
                    <w:rPr>
                      <w:color w:val="auto"/>
                      <w:spacing w:val="18"/>
                      <w:sz w:val="21"/>
                      <w:szCs w:val="21"/>
                    </w:rPr>
                    <w:t xml:space="preserve"> </w:t>
                  </w:r>
                  <w:r>
                    <w:rPr>
                      <w:rFonts w:ascii="宋体" w:hAnsi="宋体" w:eastAsia="宋体" w:cs="宋体"/>
                      <w:color w:val="auto"/>
                      <w:spacing w:val="-1"/>
                      <w:sz w:val="21"/>
                      <w:szCs w:val="21"/>
                    </w:rPr>
                    <w:t>号</w:t>
                  </w:r>
                </w:p>
              </w:tc>
            </w:tr>
            <w:tr w14:paraId="6070D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4" w:hRule="atLeast"/>
                <w:jc w:val="center"/>
              </w:trPr>
              <w:tc>
                <w:tcPr>
                  <w:tcW w:w="311" w:type="dxa"/>
                  <w:vAlign w:val="center"/>
                </w:tcPr>
                <w:p w14:paraId="31954A8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szCs w:val="21"/>
                    </w:rPr>
                  </w:pPr>
                </w:p>
                <w:p w14:paraId="5A44C63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szCs w:val="21"/>
                    </w:rPr>
                  </w:pPr>
                </w:p>
                <w:p w14:paraId="347E316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42</w:t>
                  </w:r>
                </w:p>
              </w:tc>
              <w:tc>
                <w:tcPr>
                  <w:tcW w:w="961" w:type="dxa"/>
                  <w:vAlign w:val="center"/>
                </w:tcPr>
                <w:p w14:paraId="0A5F605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韶关欧亚特电子制品有限公</w:t>
                  </w:r>
                </w:p>
                <w:p w14:paraId="13FBD0D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司</w:t>
                  </w:r>
                </w:p>
              </w:tc>
              <w:tc>
                <w:tcPr>
                  <w:tcW w:w="600" w:type="dxa"/>
                  <w:vAlign w:val="center"/>
                </w:tcPr>
                <w:p w14:paraId="5553750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54BA89C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计算机、通信和其</w:t>
                  </w:r>
                </w:p>
                <w:p w14:paraId="0375BDC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他电子设备制造</w:t>
                  </w:r>
                </w:p>
                <w:p w14:paraId="220E672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业、电气机械和器</w:t>
                  </w:r>
                </w:p>
                <w:p w14:paraId="633CE3C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材制造业、橡胶和</w:t>
                  </w:r>
                </w:p>
                <w:p w14:paraId="55F704A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塑料制品业</w:t>
                  </w:r>
                </w:p>
              </w:tc>
              <w:tc>
                <w:tcPr>
                  <w:tcW w:w="1140" w:type="dxa"/>
                  <w:vAlign w:val="center"/>
                </w:tcPr>
                <w:p w14:paraId="354546F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4"/>
                      <w:sz w:val="21"/>
                      <w:szCs w:val="21"/>
                    </w:rPr>
                    <w:t>18664</w:t>
                  </w:r>
                </w:p>
              </w:tc>
              <w:tc>
                <w:tcPr>
                  <w:tcW w:w="2053" w:type="dxa"/>
                  <w:vAlign w:val="center"/>
                </w:tcPr>
                <w:p w14:paraId="2FBFB08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年产</w:t>
                  </w:r>
                  <w:r>
                    <w:rPr>
                      <w:rFonts w:ascii="宋体" w:hAnsi="宋体" w:eastAsia="宋体" w:cs="宋体"/>
                      <w:color w:val="auto"/>
                      <w:spacing w:val="-27"/>
                      <w:sz w:val="21"/>
                      <w:szCs w:val="21"/>
                    </w:rPr>
                    <w:t xml:space="preserve"> </w:t>
                  </w:r>
                  <w:r>
                    <w:rPr>
                      <w:color w:val="auto"/>
                      <w:spacing w:val="-3"/>
                      <w:sz w:val="21"/>
                      <w:szCs w:val="21"/>
                    </w:rPr>
                    <w:t xml:space="preserve">1000 </w:t>
                  </w:r>
                  <w:r>
                    <w:rPr>
                      <w:rFonts w:ascii="宋体" w:hAnsi="宋体" w:eastAsia="宋体" w:cs="宋体"/>
                      <w:color w:val="auto"/>
                      <w:spacing w:val="-3"/>
                      <w:sz w:val="21"/>
                      <w:szCs w:val="21"/>
                    </w:rPr>
                    <w:t>万支热熔胶枪及</w:t>
                  </w:r>
                  <w:r>
                    <w:rPr>
                      <w:rFonts w:ascii="宋体" w:hAnsi="宋体" w:eastAsia="宋体" w:cs="宋体"/>
                      <w:color w:val="auto"/>
                      <w:spacing w:val="-28"/>
                      <w:sz w:val="21"/>
                      <w:szCs w:val="21"/>
                    </w:rPr>
                    <w:t xml:space="preserve"> </w:t>
                  </w:r>
                  <w:r>
                    <w:rPr>
                      <w:color w:val="auto"/>
                      <w:spacing w:val="-3"/>
                      <w:sz w:val="21"/>
                      <w:szCs w:val="21"/>
                    </w:rPr>
                    <w:t>1000</w:t>
                  </w:r>
                  <w:r>
                    <w:rPr>
                      <w:color w:val="auto"/>
                      <w:spacing w:val="14"/>
                      <w:sz w:val="21"/>
                      <w:szCs w:val="21"/>
                    </w:rPr>
                    <w:t xml:space="preserve"> </w:t>
                  </w:r>
                  <w:r>
                    <w:rPr>
                      <w:rFonts w:ascii="宋体" w:hAnsi="宋体" w:eastAsia="宋体" w:cs="宋体"/>
                      <w:color w:val="auto"/>
                      <w:spacing w:val="-3"/>
                      <w:sz w:val="21"/>
                      <w:szCs w:val="21"/>
                    </w:rPr>
                    <w:t>万根插头线、</w:t>
                  </w:r>
                  <w:r>
                    <w:rPr>
                      <w:color w:val="auto"/>
                      <w:spacing w:val="-3"/>
                      <w:sz w:val="21"/>
                      <w:szCs w:val="21"/>
                    </w:rPr>
                    <w:t>30</w:t>
                  </w:r>
                  <w:r>
                    <w:rPr>
                      <w:color w:val="auto"/>
                      <w:spacing w:val="-4"/>
                      <w:sz w:val="21"/>
                      <w:szCs w:val="21"/>
                    </w:rPr>
                    <w:t xml:space="preserve">00 </w:t>
                  </w:r>
                  <w:r>
                    <w:rPr>
                      <w:rFonts w:ascii="宋体" w:hAnsi="宋体" w:eastAsia="宋体" w:cs="宋体"/>
                      <w:color w:val="auto"/>
                      <w:spacing w:val="-4"/>
                      <w:sz w:val="21"/>
                      <w:szCs w:val="21"/>
                    </w:rPr>
                    <w:t>万条热熔</w:t>
                  </w:r>
                </w:p>
                <w:p w14:paraId="591063A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胶条</w:t>
                  </w:r>
                </w:p>
              </w:tc>
              <w:tc>
                <w:tcPr>
                  <w:tcW w:w="1878" w:type="dxa"/>
                  <w:vAlign w:val="center"/>
                </w:tcPr>
                <w:p w14:paraId="44E5BAB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乐环函</w:t>
                  </w:r>
                  <w:r>
                    <w:rPr>
                      <w:color w:val="auto"/>
                      <w:spacing w:val="-2"/>
                      <w:sz w:val="21"/>
                      <w:szCs w:val="21"/>
                    </w:rPr>
                    <w:t>[</w:t>
                  </w:r>
                  <w:r>
                    <w:rPr>
                      <w:color w:val="auto"/>
                      <w:sz w:val="21"/>
                      <w:szCs w:val="21"/>
                    </w:rPr>
                    <w:fldChar w:fldCharType="begin"/>
                  </w:r>
                  <w:r>
                    <w:rPr>
                      <w:color w:val="auto"/>
                      <w:sz w:val="21"/>
                      <w:szCs w:val="21"/>
                    </w:rPr>
                    <w:instrText xml:space="preserve"> HYPERLINK \l "bookmark240" </w:instrText>
                  </w:r>
                  <w:r>
                    <w:rPr>
                      <w:color w:val="auto"/>
                      <w:sz w:val="21"/>
                      <w:szCs w:val="21"/>
                    </w:rPr>
                    <w:fldChar w:fldCharType="separate"/>
                  </w:r>
                  <w:r>
                    <w:rPr>
                      <w:color w:val="auto"/>
                      <w:spacing w:val="-2"/>
                      <w:sz w:val="21"/>
                      <w:szCs w:val="21"/>
                    </w:rPr>
                    <w:t>2011</w:t>
                  </w:r>
                  <w:r>
                    <w:rPr>
                      <w:color w:val="auto"/>
                      <w:spacing w:val="-2"/>
                      <w:sz w:val="21"/>
                      <w:szCs w:val="21"/>
                    </w:rPr>
                    <w:fldChar w:fldCharType="end"/>
                  </w:r>
                  <w:r>
                    <w:rPr>
                      <w:color w:val="auto"/>
                      <w:spacing w:val="-2"/>
                      <w:sz w:val="21"/>
                      <w:szCs w:val="21"/>
                    </w:rPr>
                    <w:t xml:space="preserve">]79 </w:t>
                  </w:r>
                  <w:r>
                    <w:rPr>
                      <w:rFonts w:ascii="宋体" w:hAnsi="宋体" w:eastAsia="宋体" w:cs="宋体"/>
                      <w:color w:val="auto"/>
                      <w:spacing w:val="-2"/>
                      <w:sz w:val="21"/>
                      <w:szCs w:val="21"/>
                    </w:rPr>
                    <w:t>号、乐环审</w:t>
                  </w:r>
                </w:p>
                <w:p w14:paraId="6A7A805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color w:val="auto"/>
                      <w:spacing w:val="-2"/>
                      <w:sz w:val="21"/>
                      <w:szCs w:val="21"/>
                    </w:rPr>
                    <w:t>[</w:t>
                  </w:r>
                  <w:r>
                    <w:rPr>
                      <w:color w:val="auto"/>
                      <w:sz w:val="21"/>
                      <w:szCs w:val="21"/>
                    </w:rPr>
                    <w:fldChar w:fldCharType="begin"/>
                  </w:r>
                  <w:r>
                    <w:rPr>
                      <w:color w:val="auto"/>
                      <w:sz w:val="21"/>
                      <w:szCs w:val="21"/>
                    </w:rPr>
                    <w:instrText xml:space="preserve"> HYPERLINK \l "bookmark241" </w:instrText>
                  </w:r>
                  <w:r>
                    <w:rPr>
                      <w:color w:val="auto"/>
                      <w:sz w:val="21"/>
                      <w:szCs w:val="21"/>
                    </w:rPr>
                    <w:fldChar w:fldCharType="separate"/>
                  </w:r>
                  <w:r>
                    <w:rPr>
                      <w:color w:val="auto"/>
                      <w:spacing w:val="-2"/>
                      <w:sz w:val="21"/>
                      <w:szCs w:val="21"/>
                    </w:rPr>
                    <w:t>2018</w:t>
                  </w:r>
                  <w:r>
                    <w:rPr>
                      <w:color w:val="auto"/>
                      <w:spacing w:val="-2"/>
                      <w:sz w:val="21"/>
                      <w:szCs w:val="21"/>
                    </w:rPr>
                    <w:fldChar w:fldCharType="end"/>
                  </w:r>
                  <w:r>
                    <w:rPr>
                      <w:color w:val="auto"/>
                      <w:spacing w:val="-2"/>
                      <w:sz w:val="21"/>
                      <w:szCs w:val="21"/>
                    </w:rPr>
                    <w:t xml:space="preserve">]09 </w:t>
                  </w:r>
                  <w:r>
                    <w:rPr>
                      <w:rFonts w:ascii="宋体" w:hAnsi="宋体" w:eastAsia="宋体" w:cs="宋体"/>
                      <w:color w:val="auto"/>
                      <w:spacing w:val="-2"/>
                      <w:sz w:val="21"/>
                      <w:szCs w:val="21"/>
                    </w:rPr>
                    <w:t>号、乐环审</w:t>
                  </w:r>
                  <w:r>
                    <w:rPr>
                      <w:color w:val="auto"/>
                      <w:spacing w:val="-2"/>
                      <w:sz w:val="21"/>
                      <w:szCs w:val="21"/>
                    </w:rPr>
                    <w:t>[</w:t>
                  </w:r>
                  <w:r>
                    <w:rPr>
                      <w:color w:val="auto"/>
                      <w:sz w:val="21"/>
                      <w:szCs w:val="21"/>
                    </w:rPr>
                    <w:fldChar w:fldCharType="begin"/>
                  </w:r>
                  <w:r>
                    <w:rPr>
                      <w:color w:val="auto"/>
                      <w:sz w:val="21"/>
                      <w:szCs w:val="21"/>
                    </w:rPr>
                    <w:instrText xml:space="preserve"> HYPERLINK \l "bookmark241" </w:instrText>
                  </w:r>
                  <w:r>
                    <w:rPr>
                      <w:color w:val="auto"/>
                      <w:sz w:val="21"/>
                      <w:szCs w:val="21"/>
                    </w:rPr>
                    <w:fldChar w:fldCharType="separate"/>
                  </w:r>
                  <w:r>
                    <w:rPr>
                      <w:color w:val="auto"/>
                      <w:spacing w:val="-2"/>
                      <w:sz w:val="21"/>
                      <w:szCs w:val="21"/>
                    </w:rPr>
                    <w:t>2018</w:t>
                  </w:r>
                  <w:r>
                    <w:rPr>
                      <w:color w:val="auto"/>
                      <w:spacing w:val="-2"/>
                      <w:sz w:val="21"/>
                      <w:szCs w:val="21"/>
                    </w:rPr>
                    <w:fldChar w:fldCharType="end"/>
                  </w:r>
                  <w:r>
                    <w:rPr>
                      <w:color w:val="auto"/>
                      <w:spacing w:val="-2"/>
                      <w:sz w:val="21"/>
                      <w:szCs w:val="21"/>
                    </w:rPr>
                    <w:t>]52</w:t>
                  </w:r>
                  <w:r>
                    <w:rPr>
                      <w:color w:val="auto"/>
                      <w:spacing w:val="24"/>
                      <w:sz w:val="21"/>
                      <w:szCs w:val="21"/>
                    </w:rPr>
                    <w:t xml:space="preserve"> </w:t>
                  </w:r>
                  <w:r>
                    <w:rPr>
                      <w:rFonts w:ascii="宋体" w:hAnsi="宋体" w:eastAsia="宋体" w:cs="宋体"/>
                      <w:color w:val="auto"/>
                      <w:spacing w:val="-2"/>
                      <w:sz w:val="21"/>
                      <w:szCs w:val="21"/>
                    </w:rPr>
                    <w:t>号、</w:t>
                  </w:r>
                </w:p>
                <w:p w14:paraId="1BA732F7">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乐环审〔</w:t>
                  </w:r>
                  <w:r>
                    <w:rPr>
                      <w:color w:val="auto"/>
                      <w:spacing w:val="-1"/>
                      <w:sz w:val="21"/>
                      <w:szCs w:val="21"/>
                    </w:rPr>
                    <w:t>2020</w:t>
                  </w:r>
                  <w:r>
                    <w:rPr>
                      <w:rFonts w:ascii="宋体" w:hAnsi="宋体" w:eastAsia="宋体" w:cs="宋体"/>
                      <w:color w:val="auto"/>
                      <w:spacing w:val="-1"/>
                      <w:sz w:val="21"/>
                      <w:szCs w:val="21"/>
                    </w:rPr>
                    <w:t>〕</w:t>
                  </w:r>
                  <w:r>
                    <w:rPr>
                      <w:color w:val="auto"/>
                      <w:spacing w:val="-1"/>
                      <w:sz w:val="21"/>
                      <w:szCs w:val="21"/>
                    </w:rPr>
                    <w:t xml:space="preserve">05 </w:t>
                  </w:r>
                  <w:r>
                    <w:rPr>
                      <w:rFonts w:ascii="宋体" w:hAnsi="宋体" w:eastAsia="宋体" w:cs="宋体"/>
                      <w:color w:val="auto"/>
                      <w:spacing w:val="-1"/>
                      <w:sz w:val="21"/>
                      <w:szCs w:val="21"/>
                    </w:rPr>
                    <w:t>号</w:t>
                  </w:r>
                </w:p>
              </w:tc>
            </w:tr>
            <w:tr w14:paraId="1532C6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758E434A">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43</w:t>
                  </w:r>
                </w:p>
              </w:tc>
              <w:tc>
                <w:tcPr>
                  <w:tcW w:w="961" w:type="dxa"/>
                  <w:vAlign w:val="center"/>
                </w:tcPr>
                <w:p w14:paraId="2C93A11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6"/>
                      <w:sz w:val="21"/>
                      <w:szCs w:val="21"/>
                    </w:rPr>
                    <w:t>德尔安科技（广东）有限公司</w:t>
                  </w:r>
                </w:p>
              </w:tc>
              <w:tc>
                <w:tcPr>
                  <w:tcW w:w="600" w:type="dxa"/>
                  <w:vAlign w:val="center"/>
                </w:tcPr>
                <w:p w14:paraId="1ED7EC8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6211507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专用设备制造业</w:t>
                  </w:r>
                </w:p>
              </w:tc>
              <w:tc>
                <w:tcPr>
                  <w:tcW w:w="1140" w:type="dxa"/>
                  <w:vAlign w:val="center"/>
                </w:tcPr>
                <w:p w14:paraId="0C2ABD5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27672.2</w:t>
                  </w:r>
                </w:p>
              </w:tc>
              <w:tc>
                <w:tcPr>
                  <w:tcW w:w="2053" w:type="dxa"/>
                  <w:vAlign w:val="center"/>
                </w:tcPr>
                <w:p w14:paraId="068B4FF9">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111" w:hanging="79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年产过滤式消防自救呼吸器</w:t>
                  </w:r>
                  <w:r>
                    <w:rPr>
                      <w:rFonts w:ascii="宋体" w:hAnsi="宋体" w:eastAsia="宋体" w:cs="宋体"/>
                      <w:color w:val="auto"/>
                      <w:spacing w:val="-49"/>
                      <w:sz w:val="21"/>
                      <w:szCs w:val="21"/>
                    </w:rPr>
                    <w:t xml:space="preserve"> </w:t>
                  </w:r>
                  <w:r>
                    <w:rPr>
                      <w:color w:val="auto"/>
                      <w:spacing w:val="-1"/>
                      <w:sz w:val="21"/>
                      <w:szCs w:val="21"/>
                    </w:rPr>
                    <w:t xml:space="preserve">400 </w:t>
                  </w:r>
                  <w:r>
                    <w:rPr>
                      <w:rFonts w:ascii="宋体" w:hAnsi="宋体" w:eastAsia="宋体" w:cs="宋体"/>
                      <w:color w:val="auto"/>
                      <w:spacing w:val="-1"/>
                      <w:sz w:val="21"/>
                      <w:szCs w:val="21"/>
                    </w:rPr>
                    <w:t>万具，水基型灭火器</w:t>
                  </w:r>
                  <w:r>
                    <w:rPr>
                      <w:rFonts w:ascii="宋体" w:hAnsi="宋体" w:eastAsia="宋体" w:cs="宋体"/>
                      <w:color w:val="auto"/>
                      <w:spacing w:val="-27"/>
                      <w:sz w:val="21"/>
                      <w:szCs w:val="21"/>
                    </w:rPr>
                    <w:t xml:space="preserve"> </w:t>
                  </w:r>
                  <w:r>
                    <w:rPr>
                      <w:color w:val="auto"/>
                      <w:spacing w:val="-1"/>
                      <w:sz w:val="21"/>
                      <w:szCs w:val="21"/>
                    </w:rPr>
                    <w:t>1</w:t>
                  </w:r>
                  <w:r>
                    <w:rPr>
                      <w:color w:val="auto"/>
                      <w:spacing w:val="-2"/>
                      <w:sz w:val="21"/>
                      <w:szCs w:val="21"/>
                    </w:rPr>
                    <w:t xml:space="preserve">00 </w:t>
                  </w:r>
                  <w:r>
                    <w:rPr>
                      <w:rFonts w:ascii="宋体" w:hAnsi="宋体" w:eastAsia="宋体" w:cs="宋体"/>
                      <w:color w:val="auto"/>
                      <w:spacing w:val="-2"/>
                      <w:sz w:val="21"/>
                      <w:szCs w:val="21"/>
                    </w:rPr>
                    <w:t>万</w:t>
                  </w:r>
                  <w:r>
                    <w:rPr>
                      <w:rFonts w:ascii="宋体" w:hAnsi="宋体" w:eastAsia="宋体" w:cs="宋体"/>
                      <w:color w:val="auto"/>
                      <w:sz w:val="21"/>
                      <w:szCs w:val="21"/>
                    </w:rPr>
                    <w:t>具，催化剂</w:t>
                  </w:r>
                  <w:r>
                    <w:rPr>
                      <w:rFonts w:ascii="宋体" w:hAnsi="宋体" w:eastAsia="宋体" w:cs="宋体"/>
                      <w:color w:val="auto"/>
                      <w:spacing w:val="-36"/>
                      <w:sz w:val="21"/>
                      <w:szCs w:val="21"/>
                    </w:rPr>
                    <w:t xml:space="preserve"> </w:t>
                  </w:r>
                  <w:r>
                    <w:rPr>
                      <w:color w:val="auto"/>
                      <w:sz w:val="21"/>
                      <w:szCs w:val="21"/>
                    </w:rPr>
                    <w:t>600</w:t>
                  </w:r>
                  <w:r>
                    <w:rPr>
                      <w:color w:val="auto"/>
                      <w:spacing w:val="16"/>
                      <w:w w:val="101"/>
                      <w:sz w:val="21"/>
                      <w:szCs w:val="21"/>
                    </w:rPr>
                    <w:t xml:space="preserve"> </w:t>
                  </w:r>
                  <w:r>
                    <w:rPr>
                      <w:rFonts w:ascii="宋体" w:hAnsi="宋体" w:eastAsia="宋体" w:cs="宋体"/>
                      <w:color w:val="auto"/>
                      <w:sz w:val="21"/>
                      <w:szCs w:val="21"/>
                    </w:rPr>
                    <w:t>吨和水系灭火剂</w:t>
                  </w:r>
                  <w:r>
                    <w:rPr>
                      <w:color w:val="auto"/>
                      <w:sz w:val="21"/>
                      <w:szCs w:val="21"/>
                    </w:rPr>
                    <w:t>2400</w:t>
                  </w:r>
                  <w:r>
                    <w:rPr>
                      <w:color w:val="auto"/>
                      <w:spacing w:val="18"/>
                      <w:sz w:val="21"/>
                      <w:szCs w:val="21"/>
                    </w:rPr>
                    <w:t xml:space="preserve"> </w:t>
                  </w:r>
                  <w:r>
                    <w:rPr>
                      <w:rFonts w:ascii="宋体" w:hAnsi="宋体" w:eastAsia="宋体" w:cs="宋体"/>
                      <w:color w:val="auto"/>
                      <w:sz w:val="21"/>
                      <w:szCs w:val="21"/>
                    </w:rPr>
                    <w:t>吨等</w:t>
                  </w:r>
                </w:p>
              </w:tc>
              <w:tc>
                <w:tcPr>
                  <w:tcW w:w="1878" w:type="dxa"/>
                  <w:vAlign w:val="center"/>
                </w:tcPr>
                <w:p w14:paraId="316683FC">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2021</w:t>
                  </w:r>
                  <w:r>
                    <w:rPr>
                      <w:rFonts w:ascii="宋体" w:hAnsi="宋体" w:eastAsia="宋体" w:cs="宋体"/>
                      <w:color w:val="auto"/>
                      <w:spacing w:val="-1"/>
                      <w:sz w:val="21"/>
                      <w:szCs w:val="21"/>
                    </w:rPr>
                    <w:t>〕</w:t>
                  </w:r>
                  <w:r>
                    <w:rPr>
                      <w:color w:val="auto"/>
                      <w:spacing w:val="-1"/>
                      <w:sz w:val="21"/>
                      <w:szCs w:val="21"/>
                    </w:rPr>
                    <w:t>23</w:t>
                  </w:r>
                  <w:r>
                    <w:rPr>
                      <w:color w:val="auto"/>
                      <w:spacing w:val="18"/>
                      <w:sz w:val="21"/>
                      <w:szCs w:val="21"/>
                    </w:rPr>
                    <w:t xml:space="preserve"> </w:t>
                  </w:r>
                  <w:r>
                    <w:rPr>
                      <w:rFonts w:ascii="宋体" w:hAnsi="宋体" w:eastAsia="宋体" w:cs="宋体"/>
                      <w:color w:val="auto"/>
                      <w:spacing w:val="-1"/>
                      <w:sz w:val="21"/>
                      <w:szCs w:val="21"/>
                    </w:rPr>
                    <w:t>号</w:t>
                  </w:r>
                </w:p>
              </w:tc>
            </w:tr>
            <w:tr w14:paraId="41FF87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3B67EDB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44</w:t>
                  </w:r>
                </w:p>
              </w:tc>
              <w:tc>
                <w:tcPr>
                  <w:tcW w:w="961" w:type="dxa"/>
                  <w:vAlign w:val="center"/>
                </w:tcPr>
                <w:p w14:paraId="532BF16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广东东田实业有限公司</w:t>
                  </w:r>
                </w:p>
              </w:tc>
              <w:tc>
                <w:tcPr>
                  <w:tcW w:w="600" w:type="dxa"/>
                  <w:vAlign w:val="center"/>
                </w:tcPr>
                <w:p w14:paraId="280BE80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2D32624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电气机械和器材制</w:t>
                  </w:r>
                  <w:r>
                    <w:rPr>
                      <w:rFonts w:ascii="宋体" w:hAnsi="宋体" w:eastAsia="宋体" w:cs="宋体"/>
                      <w:color w:val="auto"/>
                      <w:spacing w:val="-2"/>
                      <w:sz w:val="21"/>
                      <w:szCs w:val="21"/>
                    </w:rPr>
                    <w:t>造业</w:t>
                  </w:r>
                </w:p>
              </w:tc>
              <w:tc>
                <w:tcPr>
                  <w:tcW w:w="1140" w:type="dxa"/>
                  <w:vAlign w:val="center"/>
                </w:tcPr>
                <w:p w14:paraId="6DED461B">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4"/>
                      <w:sz w:val="21"/>
                      <w:szCs w:val="21"/>
                    </w:rPr>
                    <w:t>1557.48</w:t>
                  </w:r>
                </w:p>
              </w:tc>
              <w:tc>
                <w:tcPr>
                  <w:tcW w:w="2053" w:type="dxa"/>
                  <w:vAlign w:val="center"/>
                </w:tcPr>
                <w:p w14:paraId="726CC872">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年产移动通信基站电源钣金件</w:t>
                  </w:r>
                  <w:r>
                    <w:rPr>
                      <w:rFonts w:ascii="宋体" w:hAnsi="宋体" w:eastAsia="宋体" w:cs="宋体"/>
                      <w:color w:val="auto"/>
                      <w:spacing w:val="-35"/>
                      <w:sz w:val="21"/>
                      <w:szCs w:val="21"/>
                    </w:rPr>
                    <w:t xml:space="preserve"> </w:t>
                  </w:r>
                  <w:r>
                    <w:rPr>
                      <w:color w:val="auto"/>
                      <w:spacing w:val="-1"/>
                      <w:sz w:val="21"/>
                      <w:szCs w:val="21"/>
                    </w:rPr>
                    <w:t xml:space="preserve">5 </w:t>
                  </w:r>
                  <w:r>
                    <w:rPr>
                      <w:rFonts w:ascii="宋体" w:hAnsi="宋体" w:eastAsia="宋体" w:cs="宋体"/>
                      <w:color w:val="auto"/>
                      <w:spacing w:val="-1"/>
                      <w:sz w:val="21"/>
                      <w:szCs w:val="21"/>
                    </w:rPr>
                    <w:t>万套</w:t>
                  </w:r>
                </w:p>
              </w:tc>
              <w:tc>
                <w:tcPr>
                  <w:tcW w:w="1878" w:type="dxa"/>
                  <w:vAlign w:val="center"/>
                </w:tcPr>
                <w:p w14:paraId="637A4BA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乐环审〔</w:t>
                  </w:r>
                  <w:r>
                    <w:rPr>
                      <w:color w:val="auto"/>
                      <w:spacing w:val="-1"/>
                      <w:sz w:val="21"/>
                      <w:szCs w:val="21"/>
                    </w:rPr>
                    <w:t>2020</w:t>
                  </w:r>
                  <w:r>
                    <w:rPr>
                      <w:rFonts w:ascii="宋体" w:hAnsi="宋体" w:eastAsia="宋体" w:cs="宋体"/>
                      <w:color w:val="auto"/>
                      <w:spacing w:val="-1"/>
                      <w:sz w:val="21"/>
                      <w:szCs w:val="21"/>
                    </w:rPr>
                    <w:t>〕</w:t>
                  </w:r>
                  <w:r>
                    <w:rPr>
                      <w:color w:val="auto"/>
                      <w:spacing w:val="-1"/>
                      <w:sz w:val="21"/>
                      <w:szCs w:val="21"/>
                    </w:rPr>
                    <w:t xml:space="preserve">27 </w:t>
                  </w:r>
                  <w:r>
                    <w:rPr>
                      <w:rFonts w:ascii="宋体" w:hAnsi="宋体" w:eastAsia="宋体" w:cs="宋体"/>
                      <w:color w:val="auto"/>
                      <w:spacing w:val="-1"/>
                      <w:sz w:val="21"/>
                      <w:szCs w:val="21"/>
                    </w:rPr>
                    <w:t>号</w:t>
                  </w:r>
                </w:p>
              </w:tc>
            </w:tr>
            <w:tr w14:paraId="582E3D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311" w:type="dxa"/>
                  <w:vAlign w:val="center"/>
                </w:tcPr>
                <w:p w14:paraId="0581C40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45</w:t>
                  </w:r>
                </w:p>
              </w:tc>
              <w:tc>
                <w:tcPr>
                  <w:tcW w:w="961" w:type="dxa"/>
                  <w:vAlign w:val="center"/>
                </w:tcPr>
                <w:p w14:paraId="0D2D7AA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广东弘德宝厨具有限公司</w:t>
                  </w:r>
                </w:p>
              </w:tc>
              <w:tc>
                <w:tcPr>
                  <w:tcW w:w="600" w:type="dxa"/>
                  <w:vAlign w:val="center"/>
                </w:tcPr>
                <w:p w14:paraId="1F4FEFF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70516EF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6F278CB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26640</w:t>
                  </w:r>
                </w:p>
              </w:tc>
              <w:tc>
                <w:tcPr>
                  <w:tcW w:w="2053" w:type="dxa"/>
                  <w:vAlign w:val="center"/>
                </w:tcPr>
                <w:p w14:paraId="1E1A13A9">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年产铸铁厨房用具</w:t>
                  </w:r>
                  <w:r>
                    <w:rPr>
                      <w:rFonts w:ascii="宋体" w:hAnsi="宋体" w:eastAsia="宋体" w:cs="宋体"/>
                      <w:color w:val="auto"/>
                      <w:spacing w:val="-41"/>
                      <w:sz w:val="21"/>
                      <w:szCs w:val="21"/>
                    </w:rPr>
                    <w:t xml:space="preserve"> </w:t>
                  </w:r>
                  <w:r>
                    <w:rPr>
                      <w:color w:val="auto"/>
                      <w:spacing w:val="-2"/>
                      <w:sz w:val="21"/>
                      <w:szCs w:val="21"/>
                    </w:rPr>
                    <w:t>2.5</w:t>
                  </w:r>
                  <w:r>
                    <w:rPr>
                      <w:color w:val="auto"/>
                      <w:spacing w:val="13"/>
                      <w:w w:val="101"/>
                      <w:sz w:val="21"/>
                      <w:szCs w:val="21"/>
                    </w:rPr>
                    <w:t xml:space="preserve"> </w:t>
                  </w:r>
                  <w:r>
                    <w:rPr>
                      <w:rFonts w:ascii="宋体" w:hAnsi="宋体" w:eastAsia="宋体" w:cs="宋体"/>
                      <w:color w:val="auto"/>
                      <w:spacing w:val="-2"/>
                      <w:sz w:val="21"/>
                      <w:szCs w:val="21"/>
                    </w:rPr>
                    <w:t>万吨</w:t>
                  </w:r>
                </w:p>
              </w:tc>
              <w:tc>
                <w:tcPr>
                  <w:tcW w:w="1878" w:type="dxa"/>
                  <w:vAlign w:val="center"/>
                </w:tcPr>
                <w:p w14:paraId="436962B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2022</w:t>
                  </w:r>
                  <w:r>
                    <w:rPr>
                      <w:rFonts w:ascii="宋体" w:hAnsi="宋体" w:eastAsia="宋体" w:cs="宋体"/>
                      <w:color w:val="auto"/>
                      <w:spacing w:val="-1"/>
                      <w:sz w:val="21"/>
                      <w:szCs w:val="21"/>
                    </w:rPr>
                    <w:t>〕</w:t>
                  </w:r>
                  <w:r>
                    <w:rPr>
                      <w:color w:val="auto"/>
                      <w:spacing w:val="-1"/>
                      <w:sz w:val="21"/>
                      <w:szCs w:val="21"/>
                    </w:rPr>
                    <w:t>18</w:t>
                  </w:r>
                  <w:r>
                    <w:rPr>
                      <w:color w:val="auto"/>
                      <w:spacing w:val="18"/>
                      <w:sz w:val="21"/>
                      <w:szCs w:val="21"/>
                    </w:rPr>
                    <w:t xml:space="preserve"> </w:t>
                  </w:r>
                  <w:r>
                    <w:rPr>
                      <w:rFonts w:ascii="宋体" w:hAnsi="宋体" w:eastAsia="宋体" w:cs="宋体"/>
                      <w:color w:val="auto"/>
                      <w:spacing w:val="-1"/>
                      <w:sz w:val="21"/>
                      <w:szCs w:val="21"/>
                    </w:rPr>
                    <w:t>号</w:t>
                  </w:r>
                </w:p>
              </w:tc>
            </w:tr>
            <w:tr w14:paraId="021D2D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jc w:val="center"/>
              </w:trPr>
              <w:tc>
                <w:tcPr>
                  <w:tcW w:w="311" w:type="dxa"/>
                  <w:vAlign w:val="center"/>
                </w:tcPr>
                <w:p w14:paraId="7093933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szCs w:val="21"/>
                    </w:rPr>
                  </w:pPr>
                </w:p>
                <w:p w14:paraId="7E4405B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46</w:t>
                  </w:r>
                </w:p>
              </w:tc>
              <w:tc>
                <w:tcPr>
                  <w:tcW w:w="961" w:type="dxa"/>
                  <w:vAlign w:val="center"/>
                </w:tcPr>
                <w:p w14:paraId="7F22AFB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szCs w:val="21"/>
                    </w:rPr>
                  </w:pPr>
                </w:p>
                <w:p w14:paraId="3158A82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冠荣科技（韶关）有限公司</w:t>
                  </w:r>
                </w:p>
              </w:tc>
              <w:tc>
                <w:tcPr>
                  <w:tcW w:w="600" w:type="dxa"/>
                  <w:vAlign w:val="center"/>
                </w:tcPr>
                <w:p w14:paraId="6AE8E7D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szCs w:val="21"/>
                    </w:rPr>
                  </w:pPr>
                </w:p>
                <w:p w14:paraId="1E02580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4598C4B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橡胶和塑料制品</w:t>
                  </w:r>
                </w:p>
                <w:p w14:paraId="766BA22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业、印刷和记录媒</w:t>
                  </w:r>
                </w:p>
                <w:p w14:paraId="061F3A8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介复制业</w:t>
                  </w:r>
                </w:p>
              </w:tc>
              <w:tc>
                <w:tcPr>
                  <w:tcW w:w="1140" w:type="dxa"/>
                  <w:vAlign w:val="center"/>
                </w:tcPr>
                <w:p w14:paraId="2A6345A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szCs w:val="21"/>
                    </w:rPr>
                  </w:pPr>
                </w:p>
                <w:p w14:paraId="3F24D91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23334.5</w:t>
                  </w:r>
                </w:p>
              </w:tc>
              <w:tc>
                <w:tcPr>
                  <w:tcW w:w="2053" w:type="dxa"/>
                  <w:vAlign w:val="center"/>
                </w:tcPr>
                <w:p w14:paraId="2678BCF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szCs w:val="21"/>
                    </w:rPr>
                  </w:pPr>
                </w:p>
                <w:p w14:paraId="1BE3705A">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年产商标</w:t>
                  </w:r>
                  <w:r>
                    <w:rPr>
                      <w:rFonts w:ascii="宋体" w:hAnsi="宋体" w:eastAsia="宋体" w:cs="宋体"/>
                      <w:color w:val="auto"/>
                      <w:spacing w:val="-27"/>
                      <w:sz w:val="21"/>
                      <w:szCs w:val="21"/>
                    </w:rPr>
                    <w:t xml:space="preserve"> </w:t>
                  </w:r>
                  <w:r>
                    <w:rPr>
                      <w:color w:val="auto"/>
                      <w:spacing w:val="-1"/>
                      <w:sz w:val="21"/>
                      <w:szCs w:val="21"/>
                    </w:rPr>
                    <w:t xml:space="preserve">18000 </w:t>
                  </w:r>
                  <w:r>
                    <w:rPr>
                      <w:rFonts w:ascii="宋体" w:hAnsi="宋体" w:eastAsia="宋体" w:cs="宋体"/>
                      <w:color w:val="auto"/>
                      <w:spacing w:val="-1"/>
                      <w:sz w:val="21"/>
                      <w:szCs w:val="21"/>
                    </w:rPr>
                    <w:t>万个、</w:t>
                  </w:r>
                  <w:r>
                    <w:rPr>
                      <w:color w:val="auto"/>
                      <w:spacing w:val="-1"/>
                      <w:sz w:val="21"/>
                      <w:szCs w:val="21"/>
                    </w:rPr>
                    <w:t xml:space="preserve">TPU </w:t>
                  </w:r>
                  <w:r>
                    <w:rPr>
                      <w:rFonts w:ascii="宋体" w:hAnsi="宋体" w:eastAsia="宋体" w:cs="宋体"/>
                      <w:color w:val="auto"/>
                      <w:spacing w:val="-1"/>
                      <w:sz w:val="21"/>
                      <w:szCs w:val="21"/>
                    </w:rPr>
                    <w:t>材料</w:t>
                  </w:r>
                  <w:r>
                    <w:rPr>
                      <w:rFonts w:ascii="宋体" w:hAnsi="宋体" w:eastAsia="宋体" w:cs="宋体"/>
                      <w:color w:val="auto"/>
                      <w:spacing w:val="-2"/>
                      <w:sz w:val="21"/>
                      <w:szCs w:val="21"/>
                    </w:rPr>
                    <w:t>和硅胶材料</w:t>
                  </w:r>
                  <w:r>
                    <w:rPr>
                      <w:rFonts w:ascii="宋体" w:hAnsi="宋体" w:eastAsia="宋体" w:cs="宋体"/>
                      <w:color w:val="auto"/>
                      <w:spacing w:val="-43"/>
                      <w:sz w:val="21"/>
                      <w:szCs w:val="21"/>
                    </w:rPr>
                    <w:t xml:space="preserve"> </w:t>
                  </w:r>
                  <w:r>
                    <w:rPr>
                      <w:color w:val="auto"/>
                      <w:spacing w:val="-2"/>
                      <w:sz w:val="21"/>
                      <w:szCs w:val="21"/>
                    </w:rPr>
                    <w:t xml:space="preserve">50 </w:t>
                  </w:r>
                  <w:r>
                    <w:rPr>
                      <w:rFonts w:ascii="宋体" w:hAnsi="宋体" w:eastAsia="宋体" w:cs="宋体"/>
                      <w:color w:val="auto"/>
                      <w:spacing w:val="-2"/>
                      <w:sz w:val="21"/>
                      <w:szCs w:val="21"/>
                    </w:rPr>
                    <w:t>万平方米</w:t>
                  </w:r>
                </w:p>
              </w:tc>
              <w:tc>
                <w:tcPr>
                  <w:tcW w:w="1878" w:type="dxa"/>
                  <w:vAlign w:val="center"/>
                </w:tcPr>
                <w:p w14:paraId="6D3893E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z w:val="21"/>
                      <w:szCs w:val="21"/>
                    </w:rPr>
                  </w:pPr>
                </w:p>
                <w:p w14:paraId="71B1DAD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2023</w:t>
                  </w:r>
                  <w:r>
                    <w:rPr>
                      <w:rFonts w:ascii="宋体" w:hAnsi="宋体" w:eastAsia="宋体" w:cs="宋体"/>
                      <w:color w:val="auto"/>
                      <w:spacing w:val="-1"/>
                      <w:sz w:val="21"/>
                      <w:szCs w:val="21"/>
                    </w:rPr>
                    <w:t>〕</w:t>
                  </w:r>
                  <w:r>
                    <w:rPr>
                      <w:color w:val="auto"/>
                      <w:spacing w:val="-1"/>
                      <w:sz w:val="21"/>
                      <w:szCs w:val="21"/>
                    </w:rPr>
                    <w:t>07</w:t>
                  </w:r>
                  <w:r>
                    <w:rPr>
                      <w:color w:val="auto"/>
                      <w:spacing w:val="18"/>
                      <w:sz w:val="21"/>
                      <w:szCs w:val="21"/>
                    </w:rPr>
                    <w:t xml:space="preserve"> </w:t>
                  </w:r>
                  <w:r>
                    <w:rPr>
                      <w:rFonts w:ascii="宋体" w:hAnsi="宋体" w:eastAsia="宋体" w:cs="宋体"/>
                      <w:color w:val="auto"/>
                      <w:spacing w:val="-1"/>
                      <w:sz w:val="21"/>
                      <w:szCs w:val="21"/>
                    </w:rPr>
                    <w:t>号</w:t>
                  </w:r>
                </w:p>
              </w:tc>
            </w:tr>
            <w:tr w14:paraId="000D6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311" w:type="dxa"/>
                  <w:vAlign w:val="center"/>
                </w:tcPr>
                <w:p w14:paraId="428D1E3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47</w:t>
                  </w:r>
                </w:p>
              </w:tc>
              <w:tc>
                <w:tcPr>
                  <w:tcW w:w="961" w:type="dxa"/>
                  <w:vAlign w:val="center"/>
                </w:tcPr>
                <w:p w14:paraId="5B9AEFB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添亿包装（广东）有限公司</w:t>
                  </w:r>
                </w:p>
              </w:tc>
              <w:tc>
                <w:tcPr>
                  <w:tcW w:w="600" w:type="dxa"/>
                  <w:vAlign w:val="center"/>
                </w:tcPr>
                <w:p w14:paraId="3A43BFA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023EDCA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纸制品制造</w:t>
                  </w:r>
                </w:p>
              </w:tc>
              <w:tc>
                <w:tcPr>
                  <w:tcW w:w="1140" w:type="dxa"/>
                  <w:vAlign w:val="center"/>
                </w:tcPr>
                <w:p w14:paraId="42AE1A5B">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3"/>
                      <w:sz w:val="21"/>
                      <w:szCs w:val="21"/>
                    </w:rPr>
                    <w:t>16564.72</w:t>
                  </w:r>
                </w:p>
              </w:tc>
              <w:tc>
                <w:tcPr>
                  <w:tcW w:w="2053" w:type="dxa"/>
                  <w:vAlign w:val="center"/>
                </w:tcPr>
                <w:p w14:paraId="0390040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年产彩盒</w:t>
                  </w:r>
                  <w:r>
                    <w:rPr>
                      <w:rFonts w:ascii="宋体" w:hAnsi="宋体" w:eastAsia="宋体" w:cs="宋体"/>
                      <w:color w:val="auto"/>
                      <w:spacing w:val="-20"/>
                      <w:sz w:val="21"/>
                      <w:szCs w:val="21"/>
                    </w:rPr>
                    <w:t xml:space="preserve"> </w:t>
                  </w:r>
                  <w:r>
                    <w:rPr>
                      <w:color w:val="auto"/>
                      <w:spacing w:val="-4"/>
                      <w:sz w:val="21"/>
                      <w:szCs w:val="21"/>
                    </w:rPr>
                    <w:t xml:space="preserve">10 </w:t>
                  </w:r>
                  <w:r>
                    <w:rPr>
                      <w:rFonts w:ascii="宋体" w:hAnsi="宋体" w:eastAsia="宋体" w:cs="宋体"/>
                      <w:color w:val="auto"/>
                      <w:spacing w:val="-4"/>
                      <w:sz w:val="21"/>
                      <w:szCs w:val="21"/>
                    </w:rPr>
                    <w:t>亿套</w:t>
                  </w:r>
                </w:p>
              </w:tc>
              <w:tc>
                <w:tcPr>
                  <w:tcW w:w="1878" w:type="dxa"/>
                  <w:vAlign w:val="center"/>
                </w:tcPr>
                <w:p w14:paraId="330F1D7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2021</w:t>
                  </w:r>
                  <w:r>
                    <w:rPr>
                      <w:rFonts w:ascii="宋体" w:hAnsi="宋体" w:eastAsia="宋体" w:cs="宋体"/>
                      <w:color w:val="auto"/>
                      <w:spacing w:val="-1"/>
                      <w:sz w:val="21"/>
                      <w:szCs w:val="21"/>
                    </w:rPr>
                    <w:t>〕</w:t>
                  </w:r>
                  <w:r>
                    <w:rPr>
                      <w:color w:val="auto"/>
                      <w:spacing w:val="-1"/>
                      <w:sz w:val="21"/>
                      <w:szCs w:val="21"/>
                    </w:rPr>
                    <w:t>24</w:t>
                  </w:r>
                  <w:r>
                    <w:rPr>
                      <w:color w:val="auto"/>
                      <w:spacing w:val="18"/>
                      <w:sz w:val="21"/>
                      <w:szCs w:val="21"/>
                    </w:rPr>
                    <w:t xml:space="preserve"> </w:t>
                  </w:r>
                  <w:r>
                    <w:rPr>
                      <w:rFonts w:ascii="宋体" w:hAnsi="宋体" w:eastAsia="宋体" w:cs="宋体"/>
                      <w:color w:val="auto"/>
                      <w:spacing w:val="-1"/>
                      <w:sz w:val="21"/>
                      <w:szCs w:val="21"/>
                    </w:rPr>
                    <w:t>号</w:t>
                  </w:r>
                </w:p>
              </w:tc>
            </w:tr>
            <w:tr w14:paraId="301C2A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311" w:type="dxa"/>
                  <w:vAlign w:val="center"/>
                </w:tcPr>
                <w:p w14:paraId="0DD2A3A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48</w:t>
                  </w:r>
                </w:p>
              </w:tc>
              <w:tc>
                <w:tcPr>
                  <w:tcW w:w="961" w:type="dxa"/>
                  <w:vAlign w:val="center"/>
                </w:tcPr>
                <w:p w14:paraId="7CBC865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广东光宝微电子有限公司</w:t>
                  </w:r>
                </w:p>
              </w:tc>
              <w:tc>
                <w:tcPr>
                  <w:tcW w:w="600" w:type="dxa"/>
                  <w:vAlign w:val="center"/>
                </w:tcPr>
                <w:p w14:paraId="4EAAA243">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56FEDB3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计算机、通信和其他电子设备制造业</w:t>
                  </w:r>
                </w:p>
              </w:tc>
              <w:tc>
                <w:tcPr>
                  <w:tcW w:w="1140" w:type="dxa"/>
                  <w:vAlign w:val="center"/>
                </w:tcPr>
                <w:p w14:paraId="2F0B95D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3600</w:t>
                  </w:r>
                </w:p>
              </w:tc>
              <w:tc>
                <w:tcPr>
                  <w:tcW w:w="2053" w:type="dxa"/>
                  <w:vAlign w:val="center"/>
                </w:tcPr>
                <w:p w14:paraId="52EC84F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年产发光二极管</w:t>
                  </w:r>
                  <w:r>
                    <w:rPr>
                      <w:rFonts w:ascii="宋体" w:hAnsi="宋体" w:eastAsia="宋体" w:cs="宋体"/>
                      <w:color w:val="auto"/>
                      <w:spacing w:val="-14"/>
                      <w:sz w:val="21"/>
                      <w:szCs w:val="21"/>
                    </w:rPr>
                    <w:t xml:space="preserve"> </w:t>
                  </w:r>
                  <w:r>
                    <w:rPr>
                      <w:color w:val="auto"/>
                      <w:spacing w:val="-3"/>
                      <w:sz w:val="21"/>
                      <w:szCs w:val="21"/>
                    </w:rPr>
                    <w:t xml:space="preserve">1.2 </w:t>
                  </w:r>
                  <w:r>
                    <w:rPr>
                      <w:rFonts w:ascii="宋体" w:hAnsi="宋体" w:eastAsia="宋体" w:cs="宋体"/>
                      <w:color w:val="auto"/>
                      <w:spacing w:val="-3"/>
                      <w:sz w:val="21"/>
                      <w:szCs w:val="21"/>
                    </w:rPr>
                    <w:t>亿个、光电耦合器件</w:t>
                  </w:r>
                  <w:r>
                    <w:rPr>
                      <w:rFonts w:ascii="宋体" w:hAnsi="宋体" w:eastAsia="宋体" w:cs="宋体"/>
                      <w:color w:val="auto"/>
                      <w:spacing w:val="-27"/>
                      <w:sz w:val="21"/>
                      <w:szCs w:val="21"/>
                    </w:rPr>
                    <w:t xml:space="preserve"> </w:t>
                  </w:r>
                  <w:r>
                    <w:rPr>
                      <w:color w:val="auto"/>
                      <w:spacing w:val="-3"/>
                      <w:sz w:val="21"/>
                      <w:szCs w:val="21"/>
                    </w:rPr>
                    <w:t>1500</w:t>
                  </w:r>
                  <w:r>
                    <w:rPr>
                      <w:color w:val="auto"/>
                      <w:spacing w:val="13"/>
                      <w:w w:val="101"/>
                      <w:sz w:val="21"/>
                      <w:szCs w:val="21"/>
                    </w:rPr>
                    <w:t xml:space="preserve"> </w:t>
                  </w:r>
                  <w:r>
                    <w:rPr>
                      <w:rFonts w:ascii="宋体" w:hAnsi="宋体" w:eastAsia="宋体" w:cs="宋体"/>
                      <w:color w:val="auto"/>
                      <w:spacing w:val="-3"/>
                      <w:sz w:val="21"/>
                      <w:szCs w:val="21"/>
                    </w:rPr>
                    <w:t>万个</w:t>
                  </w:r>
                </w:p>
              </w:tc>
              <w:tc>
                <w:tcPr>
                  <w:tcW w:w="1878" w:type="dxa"/>
                  <w:vAlign w:val="center"/>
                </w:tcPr>
                <w:p w14:paraId="4FFF025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2024</w:t>
                  </w:r>
                  <w:r>
                    <w:rPr>
                      <w:rFonts w:ascii="宋体" w:hAnsi="宋体" w:eastAsia="宋体" w:cs="宋体"/>
                      <w:color w:val="auto"/>
                      <w:spacing w:val="-1"/>
                      <w:sz w:val="21"/>
                      <w:szCs w:val="21"/>
                    </w:rPr>
                    <w:t>〕</w:t>
                  </w:r>
                  <w:r>
                    <w:rPr>
                      <w:color w:val="auto"/>
                      <w:spacing w:val="-1"/>
                      <w:sz w:val="21"/>
                      <w:szCs w:val="21"/>
                    </w:rPr>
                    <w:t>21</w:t>
                  </w:r>
                  <w:r>
                    <w:rPr>
                      <w:color w:val="auto"/>
                      <w:spacing w:val="18"/>
                      <w:sz w:val="21"/>
                      <w:szCs w:val="21"/>
                    </w:rPr>
                    <w:t xml:space="preserve"> </w:t>
                  </w:r>
                  <w:r>
                    <w:rPr>
                      <w:rFonts w:ascii="宋体" w:hAnsi="宋体" w:eastAsia="宋体" w:cs="宋体"/>
                      <w:color w:val="auto"/>
                      <w:spacing w:val="-1"/>
                      <w:sz w:val="21"/>
                      <w:szCs w:val="21"/>
                    </w:rPr>
                    <w:t>号</w:t>
                  </w:r>
                </w:p>
              </w:tc>
            </w:tr>
            <w:tr w14:paraId="62A53D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04F760E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49</w:t>
                  </w:r>
                </w:p>
              </w:tc>
              <w:tc>
                <w:tcPr>
                  <w:tcW w:w="961" w:type="dxa"/>
                  <w:vAlign w:val="center"/>
                </w:tcPr>
                <w:p w14:paraId="2D5282C3">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韶关博鑫工程服务有限公司</w:t>
                  </w:r>
                </w:p>
              </w:tc>
              <w:tc>
                <w:tcPr>
                  <w:tcW w:w="600" w:type="dxa"/>
                  <w:vAlign w:val="center"/>
                </w:tcPr>
                <w:p w14:paraId="6AF13AF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24FC963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0DD248AC">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51544.6</w:t>
                  </w:r>
                </w:p>
              </w:tc>
              <w:tc>
                <w:tcPr>
                  <w:tcW w:w="2053" w:type="dxa"/>
                  <w:vAlign w:val="center"/>
                </w:tcPr>
                <w:p w14:paraId="105E5C9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年产铝合金模板</w:t>
                  </w:r>
                  <w:r>
                    <w:rPr>
                      <w:rFonts w:ascii="宋体" w:hAnsi="宋体" w:eastAsia="宋体" w:cs="宋体"/>
                      <w:color w:val="auto"/>
                      <w:spacing w:val="-48"/>
                      <w:sz w:val="21"/>
                      <w:szCs w:val="21"/>
                    </w:rPr>
                    <w:t xml:space="preserve"> </w:t>
                  </w:r>
                  <w:r>
                    <w:rPr>
                      <w:color w:val="auto"/>
                      <w:spacing w:val="-3"/>
                      <w:sz w:val="21"/>
                      <w:szCs w:val="21"/>
                    </w:rPr>
                    <w:t xml:space="preserve">20 </w:t>
                  </w:r>
                  <w:r>
                    <w:rPr>
                      <w:rFonts w:ascii="宋体" w:hAnsi="宋体" w:eastAsia="宋体" w:cs="宋体"/>
                      <w:color w:val="auto"/>
                      <w:spacing w:val="-3"/>
                      <w:sz w:val="21"/>
                      <w:szCs w:val="21"/>
                    </w:rPr>
                    <w:t>万立方米、翻新铝合金模板</w:t>
                  </w:r>
                  <w:r>
                    <w:rPr>
                      <w:color w:val="auto"/>
                      <w:spacing w:val="-3"/>
                      <w:sz w:val="21"/>
                      <w:szCs w:val="21"/>
                    </w:rPr>
                    <w:t>20</w:t>
                  </w:r>
                  <w:r>
                    <w:rPr>
                      <w:color w:val="auto"/>
                      <w:spacing w:val="14"/>
                      <w:sz w:val="21"/>
                      <w:szCs w:val="21"/>
                    </w:rPr>
                    <w:t xml:space="preserve"> </w:t>
                  </w:r>
                  <w:r>
                    <w:rPr>
                      <w:rFonts w:ascii="宋体" w:hAnsi="宋体" w:eastAsia="宋体" w:cs="宋体"/>
                      <w:color w:val="auto"/>
                      <w:spacing w:val="-4"/>
                      <w:sz w:val="21"/>
                      <w:szCs w:val="21"/>
                    </w:rPr>
                    <w:t>万立方米、</w:t>
                  </w:r>
                </w:p>
                <w:p w14:paraId="63549CB8">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翻新背楞</w:t>
                  </w:r>
                  <w:r>
                    <w:rPr>
                      <w:rFonts w:ascii="宋体" w:hAnsi="宋体" w:eastAsia="宋体" w:cs="宋体"/>
                      <w:color w:val="auto"/>
                      <w:spacing w:val="-42"/>
                      <w:sz w:val="21"/>
                      <w:szCs w:val="21"/>
                    </w:rPr>
                    <w:t xml:space="preserve"> </w:t>
                  </w:r>
                  <w:r>
                    <w:rPr>
                      <w:color w:val="auto"/>
                      <w:spacing w:val="-2"/>
                      <w:sz w:val="21"/>
                      <w:szCs w:val="21"/>
                    </w:rPr>
                    <w:t>2000</w:t>
                  </w:r>
                  <w:r>
                    <w:rPr>
                      <w:color w:val="auto"/>
                      <w:spacing w:val="16"/>
                      <w:sz w:val="21"/>
                      <w:szCs w:val="21"/>
                    </w:rPr>
                    <w:t xml:space="preserve"> </w:t>
                  </w:r>
                  <w:r>
                    <w:rPr>
                      <w:rFonts w:ascii="宋体" w:hAnsi="宋体" w:eastAsia="宋体" w:cs="宋体"/>
                      <w:color w:val="auto"/>
                      <w:spacing w:val="-2"/>
                      <w:sz w:val="21"/>
                      <w:szCs w:val="21"/>
                    </w:rPr>
                    <w:t>吨、其他配套产品</w:t>
                  </w:r>
                  <w:r>
                    <w:rPr>
                      <w:rFonts w:ascii="宋体" w:hAnsi="宋体" w:eastAsia="宋体" w:cs="宋体"/>
                      <w:color w:val="auto"/>
                      <w:spacing w:val="-44"/>
                      <w:sz w:val="21"/>
                      <w:szCs w:val="21"/>
                    </w:rPr>
                    <w:t xml:space="preserve"> </w:t>
                  </w:r>
                  <w:r>
                    <w:rPr>
                      <w:color w:val="auto"/>
                      <w:spacing w:val="-2"/>
                      <w:sz w:val="21"/>
                      <w:szCs w:val="21"/>
                    </w:rPr>
                    <w:t>3000</w:t>
                  </w:r>
                  <w:r>
                    <w:rPr>
                      <w:color w:val="auto"/>
                      <w:spacing w:val="19"/>
                      <w:sz w:val="21"/>
                      <w:szCs w:val="21"/>
                    </w:rPr>
                    <w:t xml:space="preserve"> </w:t>
                  </w:r>
                  <w:r>
                    <w:rPr>
                      <w:rFonts w:ascii="宋体" w:hAnsi="宋体" w:eastAsia="宋体" w:cs="宋体"/>
                      <w:color w:val="auto"/>
                      <w:spacing w:val="-2"/>
                      <w:sz w:val="21"/>
                      <w:szCs w:val="21"/>
                    </w:rPr>
                    <w:t>吨</w:t>
                  </w:r>
                </w:p>
              </w:tc>
              <w:tc>
                <w:tcPr>
                  <w:tcW w:w="1878" w:type="dxa"/>
                  <w:vAlign w:val="center"/>
                </w:tcPr>
                <w:p w14:paraId="1EBCE7F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2024</w:t>
                  </w:r>
                  <w:r>
                    <w:rPr>
                      <w:rFonts w:ascii="宋体" w:hAnsi="宋体" w:eastAsia="宋体" w:cs="宋体"/>
                      <w:color w:val="auto"/>
                      <w:spacing w:val="-1"/>
                      <w:sz w:val="21"/>
                      <w:szCs w:val="21"/>
                    </w:rPr>
                    <w:t>〕</w:t>
                  </w:r>
                  <w:r>
                    <w:rPr>
                      <w:color w:val="auto"/>
                      <w:spacing w:val="-1"/>
                      <w:sz w:val="21"/>
                      <w:szCs w:val="21"/>
                    </w:rPr>
                    <w:t>34</w:t>
                  </w:r>
                  <w:r>
                    <w:rPr>
                      <w:color w:val="auto"/>
                      <w:spacing w:val="18"/>
                      <w:sz w:val="21"/>
                      <w:szCs w:val="21"/>
                    </w:rPr>
                    <w:t xml:space="preserve"> </w:t>
                  </w:r>
                  <w:r>
                    <w:rPr>
                      <w:rFonts w:ascii="宋体" w:hAnsi="宋体" w:eastAsia="宋体" w:cs="宋体"/>
                      <w:color w:val="auto"/>
                      <w:spacing w:val="-1"/>
                      <w:sz w:val="21"/>
                      <w:szCs w:val="21"/>
                    </w:rPr>
                    <w:t>号</w:t>
                  </w:r>
                </w:p>
              </w:tc>
            </w:tr>
            <w:tr w14:paraId="2B307B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7869AD9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3"/>
                      <w:sz w:val="21"/>
                      <w:szCs w:val="21"/>
                    </w:rPr>
                    <w:t>50</w:t>
                  </w:r>
                </w:p>
              </w:tc>
              <w:tc>
                <w:tcPr>
                  <w:tcW w:w="961" w:type="dxa"/>
                  <w:vAlign w:val="center"/>
                </w:tcPr>
                <w:p w14:paraId="5640012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乐昌市安顺达管道天然气有</w:t>
                  </w:r>
                </w:p>
                <w:p w14:paraId="0D8740F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5"/>
                      <w:sz w:val="21"/>
                      <w:szCs w:val="21"/>
                    </w:rPr>
                    <w:t>限公司</w:t>
                  </w:r>
                </w:p>
              </w:tc>
              <w:tc>
                <w:tcPr>
                  <w:tcW w:w="600" w:type="dxa"/>
                  <w:vAlign w:val="center"/>
                </w:tcPr>
                <w:p w14:paraId="789E4EB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2CD7476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燃气生产和供应业</w:t>
                  </w:r>
                </w:p>
              </w:tc>
              <w:tc>
                <w:tcPr>
                  <w:tcW w:w="1140" w:type="dxa"/>
                  <w:vAlign w:val="center"/>
                </w:tcPr>
                <w:p w14:paraId="0B36E5F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20080</w:t>
                  </w:r>
                </w:p>
              </w:tc>
              <w:tc>
                <w:tcPr>
                  <w:tcW w:w="2053" w:type="dxa"/>
                  <w:vAlign w:val="center"/>
                </w:tcPr>
                <w:p w14:paraId="0E8D7B27">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日供气量约</w:t>
                  </w:r>
                  <w:r>
                    <w:rPr>
                      <w:rFonts w:ascii="宋体" w:hAnsi="宋体" w:eastAsia="宋体" w:cs="宋体"/>
                      <w:color w:val="auto"/>
                      <w:spacing w:val="-26"/>
                      <w:sz w:val="21"/>
                      <w:szCs w:val="21"/>
                    </w:rPr>
                    <w:t xml:space="preserve"> </w:t>
                  </w:r>
                  <w:r>
                    <w:rPr>
                      <w:color w:val="auto"/>
                      <w:spacing w:val="-8"/>
                      <w:sz w:val="21"/>
                      <w:szCs w:val="21"/>
                    </w:rPr>
                    <w:t>15</w:t>
                  </w:r>
                  <w:r>
                    <w:rPr>
                      <w:color w:val="auto"/>
                      <w:spacing w:val="11"/>
                      <w:sz w:val="21"/>
                      <w:szCs w:val="21"/>
                    </w:rPr>
                    <w:t xml:space="preserve"> </w:t>
                  </w:r>
                  <w:r>
                    <w:rPr>
                      <w:rFonts w:ascii="宋体" w:hAnsi="宋体" w:eastAsia="宋体" w:cs="宋体"/>
                      <w:color w:val="auto"/>
                      <w:spacing w:val="-8"/>
                      <w:sz w:val="21"/>
                      <w:szCs w:val="21"/>
                    </w:rPr>
                    <w:t>万立方</w:t>
                  </w:r>
                </w:p>
              </w:tc>
              <w:tc>
                <w:tcPr>
                  <w:tcW w:w="1878" w:type="dxa"/>
                  <w:vAlign w:val="center"/>
                </w:tcPr>
                <w:p w14:paraId="2EE6275C">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乐环函</w:t>
                  </w:r>
                  <w:r>
                    <w:rPr>
                      <w:color w:val="auto"/>
                      <w:spacing w:val="-2"/>
                      <w:sz w:val="21"/>
                      <w:szCs w:val="21"/>
                    </w:rPr>
                    <w:t>[</w:t>
                  </w:r>
                  <w:r>
                    <w:rPr>
                      <w:color w:val="auto"/>
                      <w:sz w:val="21"/>
                      <w:szCs w:val="21"/>
                    </w:rPr>
                    <w:fldChar w:fldCharType="begin"/>
                  </w:r>
                  <w:r>
                    <w:rPr>
                      <w:color w:val="auto"/>
                      <w:sz w:val="21"/>
                      <w:szCs w:val="21"/>
                    </w:rPr>
                    <w:instrText xml:space="preserve"> HYPERLINK \l "bookmark242" </w:instrText>
                  </w:r>
                  <w:r>
                    <w:rPr>
                      <w:color w:val="auto"/>
                      <w:sz w:val="21"/>
                      <w:szCs w:val="21"/>
                    </w:rPr>
                    <w:fldChar w:fldCharType="separate"/>
                  </w:r>
                  <w:r>
                    <w:rPr>
                      <w:color w:val="auto"/>
                      <w:spacing w:val="-2"/>
                      <w:sz w:val="21"/>
                      <w:szCs w:val="21"/>
                    </w:rPr>
                    <w:t>2012</w:t>
                  </w:r>
                  <w:r>
                    <w:rPr>
                      <w:color w:val="auto"/>
                      <w:spacing w:val="-2"/>
                      <w:sz w:val="21"/>
                      <w:szCs w:val="21"/>
                    </w:rPr>
                    <w:fldChar w:fldCharType="end"/>
                  </w:r>
                  <w:r>
                    <w:rPr>
                      <w:color w:val="auto"/>
                      <w:spacing w:val="-2"/>
                      <w:sz w:val="21"/>
                      <w:szCs w:val="21"/>
                    </w:rPr>
                    <w:t>]53</w:t>
                  </w:r>
                  <w:r>
                    <w:rPr>
                      <w:color w:val="auto"/>
                      <w:spacing w:val="24"/>
                      <w:sz w:val="21"/>
                      <w:szCs w:val="21"/>
                    </w:rPr>
                    <w:t xml:space="preserve"> </w:t>
                  </w:r>
                  <w:r>
                    <w:rPr>
                      <w:rFonts w:ascii="宋体" w:hAnsi="宋体" w:eastAsia="宋体" w:cs="宋体"/>
                      <w:color w:val="auto"/>
                      <w:spacing w:val="-2"/>
                      <w:sz w:val="21"/>
                      <w:szCs w:val="21"/>
                    </w:rPr>
                    <w:t>号</w:t>
                  </w:r>
                </w:p>
              </w:tc>
            </w:tr>
            <w:tr w14:paraId="5D505B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233CE619">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3"/>
                      <w:sz w:val="21"/>
                      <w:szCs w:val="21"/>
                    </w:rPr>
                    <w:t>51</w:t>
                  </w:r>
                </w:p>
              </w:tc>
              <w:tc>
                <w:tcPr>
                  <w:tcW w:w="961" w:type="dxa"/>
                  <w:vAlign w:val="center"/>
                </w:tcPr>
                <w:p w14:paraId="3280E30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广东利生源生物饲料有限公</w:t>
                  </w:r>
                </w:p>
                <w:p w14:paraId="07AFCF4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司</w:t>
                  </w:r>
                </w:p>
              </w:tc>
              <w:tc>
                <w:tcPr>
                  <w:tcW w:w="600" w:type="dxa"/>
                  <w:vAlign w:val="center"/>
                </w:tcPr>
                <w:p w14:paraId="5242355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4023502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农副食品加工业</w:t>
                  </w:r>
                </w:p>
              </w:tc>
              <w:tc>
                <w:tcPr>
                  <w:tcW w:w="1140" w:type="dxa"/>
                  <w:vAlign w:val="center"/>
                </w:tcPr>
                <w:p w14:paraId="2E4D40DB">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4"/>
                      <w:sz w:val="21"/>
                      <w:szCs w:val="21"/>
                    </w:rPr>
                    <w:t>10770</w:t>
                  </w:r>
                </w:p>
              </w:tc>
              <w:tc>
                <w:tcPr>
                  <w:tcW w:w="2053" w:type="dxa"/>
                  <w:vAlign w:val="center"/>
                </w:tcPr>
                <w:p w14:paraId="394F9D8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年产优能乳</w:t>
                  </w:r>
                  <w:r>
                    <w:rPr>
                      <w:rFonts w:ascii="宋体" w:hAnsi="宋体" w:eastAsia="宋体" w:cs="宋体"/>
                      <w:color w:val="auto"/>
                      <w:spacing w:val="-26"/>
                      <w:sz w:val="21"/>
                      <w:szCs w:val="21"/>
                    </w:rPr>
                    <w:t xml:space="preserve"> </w:t>
                  </w:r>
                  <w:r>
                    <w:rPr>
                      <w:color w:val="auto"/>
                      <w:spacing w:val="-3"/>
                      <w:sz w:val="21"/>
                      <w:szCs w:val="21"/>
                    </w:rPr>
                    <w:t>10800</w:t>
                  </w:r>
                  <w:r>
                    <w:rPr>
                      <w:color w:val="auto"/>
                      <w:spacing w:val="18"/>
                      <w:w w:val="101"/>
                      <w:sz w:val="21"/>
                      <w:szCs w:val="21"/>
                    </w:rPr>
                    <w:t xml:space="preserve"> </w:t>
                  </w:r>
                  <w:r>
                    <w:rPr>
                      <w:rFonts w:ascii="宋体" w:hAnsi="宋体" w:eastAsia="宋体" w:cs="宋体"/>
                      <w:color w:val="auto"/>
                      <w:spacing w:val="-3"/>
                      <w:sz w:val="21"/>
                      <w:szCs w:val="21"/>
                    </w:rPr>
                    <w:t>吨、利生宝</w:t>
                  </w:r>
                  <w:r>
                    <w:rPr>
                      <w:rFonts w:ascii="宋体" w:hAnsi="宋体" w:eastAsia="宋体" w:cs="宋体"/>
                      <w:color w:val="auto"/>
                      <w:spacing w:val="-44"/>
                      <w:sz w:val="21"/>
                      <w:szCs w:val="21"/>
                    </w:rPr>
                    <w:t xml:space="preserve"> </w:t>
                  </w:r>
                  <w:r>
                    <w:rPr>
                      <w:color w:val="auto"/>
                      <w:spacing w:val="-3"/>
                      <w:sz w:val="21"/>
                      <w:szCs w:val="21"/>
                    </w:rPr>
                    <w:t>3000</w:t>
                  </w:r>
                  <w:r>
                    <w:rPr>
                      <w:color w:val="auto"/>
                      <w:spacing w:val="16"/>
                      <w:w w:val="101"/>
                      <w:sz w:val="21"/>
                      <w:szCs w:val="21"/>
                    </w:rPr>
                    <w:t xml:space="preserve"> </w:t>
                  </w:r>
                  <w:r>
                    <w:rPr>
                      <w:rFonts w:ascii="宋体" w:hAnsi="宋体" w:eastAsia="宋体" w:cs="宋体"/>
                      <w:color w:val="auto"/>
                      <w:spacing w:val="-3"/>
                      <w:sz w:val="21"/>
                      <w:szCs w:val="21"/>
                    </w:rPr>
                    <w:t>吨</w:t>
                  </w:r>
                </w:p>
              </w:tc>
              <w:tc>
                <w:tcPr>
                  <w:tcW w:w="1878" w:type="dxa"/>
                  <w:vAlign w:val="center"/>
                </w:tcPr>
                <w:p w14:paraId="050DDDA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乐环函</w:t>
                  </w:r>
                  <w:r>
                    <w:rPr>
                      <w:color w:val="auto"/>
                      <w:spacing w:val="-3"/>
                      <w:sz w:val="21"/>
                      <w:szCs w:val="21"/>
                    </w:rPr>
                    <w:t>[</w:t>
                  </w:r>
                  <w:r>
                    <w:rPr>
                      <w:color w:val="auto"/>
                      <w:sz w:val="21"/>
                      <w:szCs w:val="21"/>
                    </w:rPr>
                    <w:fldChar w:fldCharType="begin"/>
                  </w:r>
                  <w:r>
                    <w:rPr>
                      <w:color w:val="auto"/>
                      <w:sz w:val="21"/>
                      <w:szCs w:val="21"/>
                    </w:rPr>
                    <w:instrText xml:space="preserve"> HYPERLINK \l "bookmark243" </w:instrText>
                  </w:r>
                  <w:r>
                    <w:rPr>
                      <w:color w:val="auto"/>
                      <w:sz w:val="21"/>
                      <w:szCs w:val="21"/>
                    </w:rPr>
                    <w:fldChar w:fldCharType="separate"/>
                  </w:r>
                  <w:r>
                    <w:rPr>
                      <w:color w:val="auto"/>
                      <w:spacing w:val="-3"/>
                      <w:sz w:val="21"/>
                      <w:szCs w:val="21"/>
                    </w:rPr>
                    <w:t>2011</w:t>
                  </w:r>
                  <w:r>
                    <w:rPr>
                      <w:color w:val="auto"/>
                      <w:spacing w:val="-3"/>
                      <w:sz w:val="21"/>
                      <w:szCs w:val="21"/>
                    </w:rPr>
                    <w:fldChar w:fldCharType="end"/>
                  </w:r>
                  <w:r>
                    <w:rPr>
                      <w:color w:val="auto"/>
                      <w:spacing w:val="-3"/>
                      <w:sz w:val="21"/>
                      <w:szCs w:val="21"/>
                    </w:rPr>
                    <w:t>]</w:t>
                  </w:r>
                  <w:r>
                    <w:rPr>
                      <w:color w:val="auto"/>
                      <w:spacing w:val="-20"/>
                      <w:sz w:val="21"/>
                      <w:szCs w:val="21"/>
                    </w:rPr>
                    <w:t xml:space="preserve"> </w:t>
                  </w:r>
                  <w:r>
                    <w:rPr>
                      <w:color w:val="auto"/>
                      <w:spacing w:val="-3"/>
                      <w:sz w:val="21"/>
                      <w:szCs w:val="21"/>
                    </w:rPr>
                    <w:t xml:space="preserve">103 </w:t>
                  </w:r>
                  <w:r>
                    <w:rPr>
                      <w:rFonts w:ascii="宋体" w:hAnsi="宋体" w:eastAsia="宋体" w:cs="宋体"/>
                      <w:color w:val="auto"/>
                      <w:spacing w:val="-3"/>
                      <w:sz w:val="21"/>
                      <w:szCs w:val="21"/>
                    </w:rPr>
                    <w:t>号</w:t>
                  </w:r>
                </w:p>
              </w:tc>
            </w:tr>
            <w:tr w14:paraId="5C2F5D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311" w:type="dxa"/>
                  <w:vAlign w:val="center"/>
                </w:tcPr>
                <w:p w14:paraId="30BB2F3B">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3"/>
                      <w:sz w:val="21"/>
                      <w:szCs w:val="21"/>
                    </w:rPr>
                    <w:t>52</w:t>
                  </w:r>
                </w:p>
              </w:tc>
              <w:tc>
                <w:tcPr>
                  <w:tcW w:w="961" w:type="dxa"/>
                  <w:vAlign w:val="center"/>
                </w:tcPr>
                <w:p w14:paraId="2B913AC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乐昌市自来水有限公司</w:t>
                  </w:r>
                </w:p>
              </w:tc>
              <w:tc>
                <w:tcPr>
                  <w:tcW w:w="600" w:type="dxa"/>
                  <w:vAlign w:val="center"/>
                </w:tcPr>
                <w:p w14:paraId="07E778A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02DAE61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6"/>
                      <w:sz w:val="21"/>
                      <w:szCs w:val="21"/>
                    </w:rPr>
                    <w:t>自来水生产和供应</w:t>
                  </w:r>
                  <w:r>
                    <w:rPr>
                      <w:rFonts w:ascii="宋体" w:hAnsi="宋体" w:eastAsia="宋体" w:cs="宋体"/>
                      <w:color w:val="auto"/>
                      <w:sz w:val="21"/>
                      <w:szCs w:val="21"/>
                    </w:rPr>
                    <w:t>业</w:t>
                  </w:r>
                </w:p>
              </w:tc>
              <w:tc>
                <w:tcPr>
                  <w:tcW w:w="1140" w:type="dxa"/>
                  <w:vAlign w:val="center"/>
                </w:tcPr>
                <w:p w14:paraId="37EC43EB">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9303.8</w:t>
                  </w:r>
                </w:p>
              </w:tc>
              <w:tc>
                <w:tcPr>
                  <w:tcW w:w="2053" w:type="dxa"/>
                  <w:vAlign w:val="center"/>
                </w:tcPr>
                <w:p w14:paraId="2A5AFABB">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加压泵站建设，供应水量</w:t>
                  </w:r>
                  <w:r>
                    <w:rPr>
                      <w:rFonts w:ascii="宋体" w:hAnsi="宋体" w:eastAsia="宋体" w:cs="宋体"/>
                      <w:color w:val="auto"/>
                      <w:spacing w:val="-39"/>
                      <w:sz w:val="21"/>
                      <w:szCs w:val="21"/>
                    </w:rPr>
                    <w:t xml:space="preserve"> </w:t>
                  </w:r>
                  <w:r>
                    <w:rPr>
                      <w:color w:val="auto"/>
                      <w:spacing w:val="-1"/>
                      <w:sz w:val="21"/>
                      <w:szCs w:val="21"/>
                    </w:rPr>
                    <w:t xml:space="preserve">5000 </w:t>
                  </w:r>
                  <w:r>
                    <w:rPr>
                      <w:rFonts w:ascii="宋体" w:hAnsi="宋体" w:eastAsia="宋体" w:cs="宋体"/>
                      <w:color w:val="auto"/>
                      <w:spacing w:val="-1"/>
                      <w:sz w:val="21"/>
                      <w:szCs w:val="21"/>
                    </w:rPr>
                    <w:t>立方</w:t>
                  </w:r>
                </w:p>
              </w:tc>
              <w:tc>
                <w:tcPr>
                  <w:tcW w:w="1878" w:type="dxa"/>
                  <w:vAlign w:val="center"/>
                </w:tcPr>
                <w:p w14:paraId="6CAE15B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乐环函</w:t>
                  </w:r>
                  <w:r>
                    <w:rPr>
                      <w:color w:val="auto"/>
                      <w:spacing w:val="-2"/>
                      <w:sz w:val="21"/>
                      <w:szCs w:val="21"/>
                    </w:rPr>
                    <w:t>[</w:t>
                  </w:r>
                  <w:r>
                    <w:rPr>
                      <w:color w:val="auto"/>
                      <w:sz w:val="21"/>
                      <w:szCs w:val="21"/>
                    </w:rPr>
                    <w:fldChar w:fldCharType="begin"/>
                  </w:r>
                  <w:r>
                    <w:rPr>
                      <w:color w:val="auto"/>
                      <w:sz w:val="21"/>
                      <w:szCs w:val="21"/>
                    </w:rPr>
                    <w:instrText xml:space="preserve"> HYPERLINK \l "bookmark244" </w:instrText>
                  </w:r>
                  <w:r>
                    <w:rPr>
                      <w:color w:val="auto"/>
                      <w:sz w:val="21"/>
                      <w:szCs w:val="21"/>
                    </w:rPr>
                    <w:fldChar w:fldCharType="separate"/>
                  </w:r>
                  <w:r>
                    <w:rPr>
                      <w:color w:val="auto"/>
                      <w:spacing w:val="-2"/>
                      <w:sz w:val="21"/>
                      <w:szCs w:val="21"/>
                    </w:rPr>
                    <w:t>2012</w:t>
                  </w:r>
                  <w:r>
                    <w:rPr>
                      <w:color w:val="auto"/>
                      <w:spacing w:val="-2"/>
                      <w:sz w:val="21"/>
                      <w:szCs w:val="21"/>
                    </w:rPr>
                    <w:fldChar w:fldCharType="end"/>
                  </w:r>
                  <w:r>
                    <w:rPr>
                      <w:color w:val="auto"/>
                      <w:spacing w:val="-2"/>
                      <w:sz w:val="21"/>
                      <w:szCs w:val="21"/>
                    </w:rPr>
                    <w:t>]</w:t>
                  </w:r>
                  <w:r>
                    <w:rPr>
                      <w:color w:val="auto"/>
                      <w:spacing w:val="-27"/>
                      <w:sz w:val="21"/>
                      <w:szCs w:val="21"/>
                    </w:rPr>
                    <w:t xml:space="preserve"> </w:t>
                  </w:r>
                  <w:r>
                    <w:rPr>
                      <w:color w:val="auto"/>
                      <w:spacing w:val="-2"/>
                      <w:sz w:val="21"/>
                      <w:szCs w:val="21"/>
                    </w:rPr>
                    <w:t xml:space="preserve">103 </w:t>
                  </w:r>
                  <w:r>
                    <w:rPr>
                      <w:rFonts w:ascii="宋体" w:hAnsi="宋体" w:eastAsia="宋体" w:cs="宋体"/>
                      <w:color w:val="auto"/>
                      <w:spacing w:val="-2"/>
                      <w:sz w:val="21"/>
                      <w:szCs w:val="21"/>
                    </w:rPr>
                    <w:t>号</w:t>
                  </w:r>
                </w:p>
              </w:tc>
            </w:tr>
            <w:tr w14:paraId="1D7C28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3633E91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3"/>
                      <w:sz w:val="21"/>
                      <w:szCs w:val="21"/>
                    </w:rPr>
                    <w:t>53</w:t>
                  </w:r>
                </w:p>
              </w:tc>
              <w:tc>
                <w:tcPr>
                  <w:tcW w:w="961" w:type="dxa"/>
                  <w:vAlign w:val="center"/>
                </w:tcPr>
                <w:p w14:paraId="2734005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7"/>
                      <w:sz w:val="21"/>
                      <w:szCs w:val="21"/>
                    </w:rPr>
                    <w:t>东莞东坑（乐昌）产业转移园</w:t>
                  </w:r>
                </w:p>
                <w:p w14:paraId="65C432E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污水处理厂</w:t>
                  </w:r>
                </w:p>
              </w:tc>
              <w:tc>
                <w:tcPr>
                  <w:tcW w:w="600" w:type="dxa"/>
                  <w:vAlign w:val="center"/>
                </w:tcPr>
                <w:p w14:paraId="1097777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3F0A9A5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污水处理及其再生</w:t>
                  </w:r>
                  <w:r>
                    <w:rPr>
                      <w:rFonts w:ascii="宋体" w:hAnsi="宋体" w:eastAsia="宋体" w:cs="宋体"/>
                      <w:color w:val="auto"/>
                      <w:spacing w:val="-2"/>
                      <w:sz w:val="21"/>
                      <w:szCs w:val="21"/>
                    </w:rPr>
                    <w:t>利用业</w:t>
                  </w:r>
                </w:p>
              </w:tc>
              <w:tc>
                <w:tcPr>
                  <w:tcW w:w="1140" w:type="dxa"/>
                  <w:vAlign w:val="center"/>
                </w:tcPr>
                <w:p w14:paraId="02FA7A2C">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4"/>
                      <w:sz w:val="21"/>
                      <w:szCs w:val="21"/>
                    </w:rPr>
                    <w:t>15400</w:t>
                  </w:r>
                </w:p>
              </w:tc>
              <w:tc>
                <w:tcPr>
                  <w:tcW w:w="2053" w:type="dxa"/>
                  <w:vAlign w:val="center"/>
                </w:tcPr>
                <w:p w14:paraId="28D6C137">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rFonts w:ascii="宋体" w:hAnsi="宋体" w:eastAsia="宋体" w:cs="宋体"/>
                      <w:color w:val="auto"/>
                      <w:spacing w:val="-3"/>
                      <w:sz w:val="21"/>
                      <w:szCs w:val="21"/>
                    </w:rPr>
                    <w:t>处理水量</w:t>
                  </w:r>
                  <w:r>
                    <w:rPr>
                      <w:rFonts w:ascii="宋体" w:hAnsi="宋体" w:eastAsia="宋体" w:cs="宋体"/>
                      <w:color w:val="auto"/>
                      <w:spacing w:val="-18"/>
                      <w:sz w:val="21"/>
                      <w:szCs w:val="21"/>
                    </w:rPr>
                    <w:t xml:space="preserve"> </w:t>
                  </w:r>
                  <w:r>
                    <w:rPr>
                      <w:color w:val="auto"/>
                      <w:spacing w:val="-3"/>
                      <w:sz w:val="21"/>
                      <w:szCs w:val="21"/>
                    </w:rPr>
                    <w:t xml:space="preserve">10000 </w:t>
                  </w:r>
                  <w:r>
                    <w:rPr>
                      <w:rFonts w:ascii="宋体" w:hAnsi="宋体" w:eastAsia="宋体" w:cs="宋体"/>
                      <w:color w:val="auto"/>
                      <w:spacing w:val="-3"/>
                      <w:sz w:val="21"/>
                      <w:szCs w:val="21"/>
                    </w:rPr>
                    <w:t>立方米</w:t>
                  </w:r>
                  <w:r>
                    <w:rPr>
                      <w:color w:val="auto"/>
                      <w:spacing w:val="-3"/>
                      <w:sz w:val="21"/>
                      <w:szCs w:val="21"/>
                    </w:rPr>
                    <w:t>/d</w:t>
                  </w:r>
                </w:p>
              </w:tc>
              <w:tc>
                <w:tcPr>
                  <w:tcW w:w="1878" w:type="dxa"/>
                  <w:vAlign w:val="center"/>
                </w:tcPr>
                <w:p w14:paraId="5CA30A9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乐环函</w:t>
                  </w:r>
                  <w:r>
                    <w:rPr>
                      <w:color w:val="auto"/>
                      <w:spacing w:val="-2"/>
                      <w:sz w:val="21"/>
                      <w:szCs w:val="21"/>
                    </w:rPr>
                    <w:t>[</w:t>
                  </w:r>
                  <w:r>
                    <w:rPr>
                      <w:color w:val="auto"/>
                      <w:sz w:val="21"/>
                      <w:szCs w:val="21"/>
                    </w:rPr>
                    <w:fldChar w:fldCharType="begin"/>
                  </w:r>
                  <w:r>
                    <w:rPr>
                      <w:color w:val="auto"/>
                      <w:sz w:val="21"/>
                      <w:szCs w:val="21"/>
                    </w:rPr>
                    <w:instrText xml:space="preserve"> HYPERLINK \l "bookmark245" </w:instrText>
                  </w:r>
                  <w:r>
                    <w:rPr>
                      <w:color w:val="auto"/>
                      <w:sz w:val="21"/>
                      <w:szCs w:val="21"/>
                    </w:rPr>
                    <w:fldChar w:fldCharType="separate"/>
                  </w:r>
                  <w:r>
                    <w:rPr>
                      <w:color w:val="auto"/>
                      <w:spacing w:val="-2"/>
                      <w:sz w:val="21"/>
                      <w:szCs w:val="21"/>
                    </w:rPr>
                    <w:t>2010</w:t>
                  </w:r>
                  <w:r>
                    <w:rPr>
                      <w:color w:val="auto"/>
                      <w:spacing w:val="-2"/>
                      <w:sz w:val="21"/>
                      <w:szCs w:val="21"/>
                    </w:rPr>
                    <w:fldChar w:fldCharType="end"/>
                  </w:r>
                  <w:r>
                    <w:rPr>
                      <w:color w:val="auto"/>
                      <w:spacing w:val="-2"/>
                      <w:sz w:val="21"/>
                      <w:szCs w:val="21"/>
                    </w:rPr>
                    <w:t>]</w:t>
                  </w:r>
                  <w:r>
                    <w:rPr>
                      <w:color w:val="auto"/>
                      <w:spacing w:val="-27"/>
                      <w:sz w:val="21"/>
                      <w:szCs w:val="21"/>
                    </w:rPr>
                    <w:t xml:space="preserve"> </w:t>
                  </w:r>
                  <w:r>
                    <w:rPr>
                      <w:color w:val="auto"/>
                      <w:spacing w:val="-2"/>
                      <w:sz w:val="21"/>
                      <w:szCs w:val="21"/>
                    </w:rPr>
                    <w:t xml:space="preserve">107 </w:t>
                  </w:r>
                  <w:r>
                    <w:rPr>
                      <w:rFonts w:ascii="宋体" w:hAnsi="宋体" w:eastAsia="宋体" w:cs="宋体"/>
                      <w:color w:val="auto"/>
                      <w:spacing w:val="-2"/>
                      <w:sz w:val="21"/>
                      <w:szCs w:val="21"/>
                    </w:rPr>
                    <w:t>号</w:t>
                  </w:r>
                </w:p>
              </w:tc>
            </w:tr>
            <w:tr w14:paraId="7D47D8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311" w:type="dxa"/>
                  <w:vAlign w:val="center"/>
                </w:tcPr>
                <w:p w14:paraId="45683C29">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3"/>
                      <w:sz w:val="21"/>
                      <w:szCs w:val="21"/>
                    </w:rPr>
                    <w:t>54</w:t>
                  </w:r>
                </w:p>
              </w:tc>
              <w:tc>
                <w:tcPr>
                  <w:tcW w:w="961" w:type="dxa"/>
                  <w:vAlign w:val="center"/>
                </w:tcPr>
                <w:p w14:paraId="0D7159D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乐昌市玉煌科技有限公司</w:t>
                  </w:r>
                </w:p>
              </w:tc>
              <w:tc>
                <w:tcPr>
                  <w:tcW w:w="600" w:type="dxa"/>
                  <w:vAlign w:val="center"/>
                </w:tcPr>
                <w:p w14:paraId="22C4E90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396359F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4FC2984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4"/>
                      <w:sz w:val="21"/>
                      <w:szCs w:val="21"/>
                    </w:rPr>
                    <w:t>15291.1</w:t>
                  </w:r>
                </w:p>
              </w:tc>
              <w:tc>
                <w:tcPr>
                  <w:tcW w:w="2053" w:type="dxa"/>
                  <w:vAlign w:val="center"/>
                </w:tcPr>
                <w:p w14:paraId="64DE47A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年产螺丝紧固件</w:t>
                  </w:r>
                  <w:r>
                    <w:rPr>
                      <w:rFonts w:ascii="宋体" w:hAnsi="宋体" w:eastAsia="宋体" w:cs="宋体"/>
                      <w:color w:val="auto"/>
                      <w:spacing w:val="-37"/>
                      <w:sz w:val="21"/>
                      <w:szCs w:val="21"/>
                    </w:rPr>
                    <w:t xml:space="preserve"> </w:t>
                  </w:r>
                  <w:r>
                    <w:rPr>
                      <w:color w:val="auto"/>
                      <w:spacing w:val="-2"/>
                      <w:sz w:val="21"/>
                      <w:szCs w:val="21"/>
                    </w:rPr>
                    <w:t>2000</w:t>
                  </w:r>
                  <w:r>
                    <w:rPr>
                      <w:color w:val="auto"/>
                      <w:spacing w:val="18"/>
                      <w:w w:val="101"/>
                      <w:sz w:val="21"/>
                      <w:szCs w:val="21"/>
                    </w:rPr>
                    <w:t xml:space="preserve"> </w:t>
                  </w:r>
                  <w:r>
                    <w:rPr>
                      <w:rFonts w:ascii="宋体" w:hAnsi="宋体" w:eastAsia="宋体" w:cs="宋体"/>
                      <w:color w:val="auto"/>
                      <w:spacing w:val="-2"/>
                      <w:sz w:val="21"/>
                      <w:szCs w:val="21"/>
                    </w:rPr>
                    <w:t>吨</w:t>
                  </w:r>
                </w:p>
              </w:tc>
              <w:tc>
                <w:tcPr>
                  <w:tcW w:w="1878" w:type="dxa"/>
                  <w:vAlign w:val="center"/>
                </w:tcPr>
                <w:p w14:paraId="73514582">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乐环审</w:t>
                  </w:r>
                  <w:r>
                    <w:rPr>
                      <w:color w:val="auto"/>
                      <w:spacing w:val="-2"/>
                      <w:sz w:val="21"/>
                      <w:szCs w:val="21"/>
                    </w:rPr>
                    <w:t>[</w:t>
                  </w:r>
                  <w:r>
                    <w:rPr>
                      <w:color w:val="auto"/>
                      <w:sz w:val="21"/>
                      <w:szCs w:val="21"/>
                    </w:rPr>
                    <w:fldChar w:fldCharType="begin"/>
                  </w:r>
                  <w:r>
                    <w:rPr>
                      <w:color w:val="auto"/>
                      <w:sz w:val="21"/>
                      <w:szCs w:val="21"/>
                    </w:rPr>
                    <w:instrText xml:space="preserve"> HYPERLINK \l "bookmark246" </w:instrText>
                  </w:r>
                  <w:r>
                    <w:rPr>
                      <w:color w:val="auto"/>
                      <w:sz w:val="21"/>
                      <w:szCs w:val="21"/>
                    </w:rPr>
                    <w:fldChar w:fldCharType="separate"/>
                  </w:r>
                  <w:r>
                    <w:rPr>
                      <w:color w:val="auto"/>
                      <w:spacing w:val="-2"/>
                      <w:sz w:val="21"/>
                      <w:szCs w:val="21"/>
                    </w:rPr>
                    <w:t>2018</w:t>
                  </w:r>
                  <w:r>
                    <w:rPr>
                      <w:color w:val="auto"/>
                      <w:spacing w:val="-2"/>
                      <w:sz w:val="21"/>
                      <w:szCs w:val="21"/>
                    </w:rPr>
                    <w:fldChar w:fldCharType="end"/>
                  </w:r>
                  <w:r>
                    <w:rPr>
                      <w:color w:val="auto"/>
                      <w:spacing w:val="-2"/>
                      <w:sz w:val="21"/>
                      <w:szCs w:val="21"/>
                    </w:rPr>
                    <w:t>]54</w:t>
                  </w:r>
                  <w:r>
                    <w:rPr>
                      <w:color w:val="auto"/>
                      <w:spacing w:val="24"/>
                      <w:sz w:val="21"/>
                      <w:szCs w:val="21"/>
                    </w:rPr>
                    <w:t xml:space="preserve"> </w:t>
                  </w:r>
                  <w:r>
                    <w:rPr>
                      <w:rFonts w:ascii="宋体" w:hAnsi="宋体" w:eastAsia="宋体" w:cs="宋体"/>
                      <w:color w:val="auto"/>
                      <w:spacing w:val="-2"/>
                      <w:sz w:val="21"/>
                      <w:szCs w:val="21"/>
                    </w:rPr>
                    <w:t>号</w:t>
                  </w:r>
                </w:p>
              </w:tc>
            </w:tr>
            <w:tr w14:paraId="385D5D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jc w:val="center"/>
              </w:trPr>
              <w:tc>
                <w:tcPr>
                  <w:tcW w:w="311" w:type="dxa"/>
                  <w:vAlign w:val="center"/>
                </w:tcPr>
                <w:p w14:paraId="5932C80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szCs w:val="21"/>
                    </w:rPr>
                  </w:pPr>
                </w:p>
                <w:p w14:paraId="411B7608">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3"/>
                      <w:sz w:val="21"/>
                      <w:szCs w:val="21"/>
                    </w:rPr>
                    <w:t>55</w:t>
                  </w:r>
                </w:p>
              </w:tc>
              <w:tc>
                <w:tcPr>
                  <w:tcW w:w="961" w:type="dxa"/>
                  <w:vAlign w:val="center"/>
                </w:tcPr>
                <w:p w14:paraId="77A99FB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广东科优精密机械制造有限</w:t>
                  </w:r>
                </w:p>
                <w:p w14:paraId="4F228EE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公司</w:t>
                  </w:r>
                </w:p>
              </w:tc>
              <w:tc>
                <w:tcPr>
                  <w:tcW w:w="600" w:type="dxa"/>
                  <w:vAlign w:val="center"/>
                </w:tcPr>
                <w:p w14:paraId="7813ACB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714D6EF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通用设备制造业</w:t>
                  </w:r>
                </w:p>
              </w:tc>
              <w:tc>
                <w:tcPr>
                  <w:tcW w:w="1140" w:type="dxa"/>
                  <w:vAlign w:val="center"/>
                </w:tcPr>
                <w:p w14:paraId="19F33829">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4"/>
                      <w:sz w:val="21"/>
                      <w:szCs w:val="21"/>
                    </w:rPr>
                    <w:t>12528.8</w:t>
                  </w:r>
                </w:p>
              </w:tc>
              <w:tc>
                <w:tcPr>
                  <w:tcW w:w="2053" w:type="dxa"/>
                  <w:vAlign w:val="center"/>
                </w:tcPr>
                <w:p w14:paraId="4CAA3ED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5"/>
                      <w:sz w:val="21"/>
                      <w:szCs w:val="21"/>
                    </w:rPr>
                    <w:t>年产电磁阀用汇流板</w:t>
                  </w:r>
                  <w:r>
                    <w:rPr>
                      <w:rFonts w:ascii="宋体" w:hAnsi="宋体" w:eastAsia="宋体" w:cs="宋体"/>
                      <w:color w:val="auto"/>
                      <w:spacing w:val="-37"/>
                      <w:sz w:val="21"/>
                      <w:szCs w:val="21"/>
                    </w:rPr>
                    <w:t xml:space="preserve"> </w:t>
                  </w:r>
                  <w:r>
                    <w:rPr>
                      <w:color w:val="auto"/>
                      <w:spacing w:val="-5"/>
                      <w:sz w:val="21"/>
                      <w:szCs w:val="21"/>
                    </w:rPr>
                    <w:t>5000</w:t>
                  </w:r>
                  <w:r>
                    <w:rPr>
                      <w:color w:val="auto"/>
                      <w:spacing w:val="16"/>
                      <w:w w:val="101"/>
                      <w:sz w:val="21"/>
                      <w:szCs w:val="21"/>
                    </w:rPr>
                    <w:t xml:space="preserve"> </w:t>
                  </w:r>
                  <w:r>
                    <w:rPr>
                      <w:rFonts w:ascii="宋体" w:hAnsi="宋体" w:eastAsia="宋体" w:cs="宋体"/>
                      <w:color w:val="auto"/>
                      <w:spacing w:val="-5"/>
                      <w:sz w:val="21"/>
                      <w:szCs w:val="21"/>
                    </w:rPr>
                    <w:t>吨、精抽加工铝制品</w:t>
                  </w:r>
                  <w:r>
                    <w:rPr>
                      <w:rFonts w:ascii="宋体" w:hAnsi="宋体" w:eastAsia="宋体" w:cs="宋体"/>
                      <w:color w:val="auto"/>
                      <w:spacing w:val="-49"/>
                      <w:sz w:val="21"/>
                      <w:szCs w:val="21"/>
                    </w:rPr>
                    <w:t xml:space="preserve"> </w:t>
                  </w:r>
                  <w:r>
                    <w:rPr>
                      <w:color w:val="auto"/>
                      <w:spacing w:val="-5"/>
                      <w:sz w:val="21"/>
                      <w:szCs w:val="21"/>
                    </w:rPr>
                    <w:t>400</w:t>
                  </w:r>
                  <w:r>
                    <w:rPr>
                      <w:color w:val="auto"/>
                      <w:spacing w:val="16"/>
                      <w:sz w:val="21"/>
                      <w:szCs w:val="21"/>
                    </w:rPr>
                    <w:t xml:space="preserve"> </w:t>
                  </w:r>
                  <w:r>
                    <w:rPr>
                      <w:rFonts w:ascii="宋体" w:hAnsi="宋体" w:eastAsia="宋体" w:cs="宋体"/>
                      <w:color w:val="auto"/>
                      <w:spacing w:val="-5"/>
                      <w:sz w:val="21"/>
                      <w:szCs w:val="21"/>
                    </w:rPr>
                    <w:t>吨，表面</w:t>
                  </w:r>
                </w:p>
                <w:p w14:paraId="6FB8F3AB">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处理汇流板产品</w:t>
                  </w:r>
                  <w:r>
                    <w:rPr>
                      <w:rFonts w:ascii="宋体" w:hAnsi="宋体" w:eastAsia="宋体" w:cs="宋体"/>
                      <w:color w:val="auto"/>
                      <w:spacing w:val="-28"/>
                      <w:sz w:val="21"/>
                      <w:szCs w:val="21"/>
                    </w:rPr>
                    <w:t xml:space="preserve"> </w:t>
                  </w:r>
                  <w:r>
                    <w:rPr>
                      <w:color w:val="auto"/>
                      <w:spacing w:val="-3"/>
                      <w:sz w:val="21"/>
                      <w:szCs w:val="21"/>
                    </w:rPr>
                    <w:t>1800</w:t>
                  </w:r>
                  <w:r>
                    <w:rPr>
                      <w:color w:val="auto"/>
                      <w:spacing w:val="18"/>
                      <w:sz w:val="21"/>
                      <w:szCs w:val="21"/>
                    </w:rPr>
                    <w:t xml:space="preserve"> </w:t>
                  </w:r>
                  <w:r>
                    <w:rPr>
                      <w:rFonts w:ascii="宋体" w:hAnsi="宋体" w:eastAsia="宋体" w:cs="宋体"/>
                      <w:color w:val="auto"/>
                      <w:spacing w:val="-3"/>
                      <w:sz w:val="21"/>
                      <w:szCs w:val="21"/>
                    </w:rPr>
                    <w:t>吨</w:t>
                  </w:r>
                </w:p>
              </w:tc>
              <w:tc>
                <w:tcPr>
                  <w:tcW w:w="1878" w:type="dxa"/>
                  <w:vAlign w:val="center"/>
                </w:tcPr>
                <w:p w14:paraId="25C4892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乐环审</w:t>
                  </w:r>
                  <w:r>
                    <w:rPr>
                      <w:color w:val="auto"/>
                      <w:spacing w:val="-2"/>
                      <w:sz w:val="21"/>
                      <w:szCs w:val="21"/>
                    </w:rPr>
                    <w:t>[</w:t>
                  </w:r>
                  <w:r>
                    <w:rPr>
                      <w:color w:val="auto"/>
                      <w:sz w:val="21"/>
                      <w:szCs w:val="21"/>
                    </w:rPr>
                    <w:fldChar w:fldCharType="begin"/>
                  </w:r>
                  <w:r>
                    <w:rPr>
                      <w:color w:val="auto"/>
                      <w:sz w:val="21"/>
                      <w:szCs w:val="21"/>
                    </w:rPr>
                    <w:instrText xml:space="preserve"> HYPERLINK \l "bookmark247" </w:instrText>
                  </w:r>
                  <w:r>
                    <w:rPr>
                      <w:color w:val="auto"/>
                      <w:sz w:val="21"/>
                      <w:szCs w:val="21"/>
                    </w:rPr>
                    <w:fldChar w:fldCharType="separate"/>
                  </w:r>
                  <w:r>
                    <w:rPr>
                      <w:color w:val="auto"/>
                      <w:spacing w:val="-2"/>
                      <w:sz w:val="21"/>
                      <w:szCs w:val="21"/>
                    </w:rPr>
                    <w:t>2017</w:t>
                  </w:r>
                  <w:r>
                    <w:rPr>
                      <w:color w:val="auto"/>
                      <w:spacing w:val="-2"/>
                      <w:sz w:val="21"/>
                      <w:szCs w:val="21"/>
                    </w:rPr>
                    <w:fldChar w:fldCharType="end"/>
                  </w:r>
                  <w:r>
                    <w:rPr>
                      <w:color w:val="auto"/>
                      <w:spacing w:val="-2"/>
                      <w:sz w:val="21"/>
                      <w:szCs w:val="21"/>
                    </w:rPr>
                    <w:t>]03</w:t>
                  </w:r>
                  <w:r>
                    <w:rPr>
                      <w:color w:val="auto"/>
                      <w:spacing w:val="18"/>
                      <w:sz w:val="21"/>
                      <w:szCs w:val="21"/>
                    </w:rPr>
                    <w:t xml:space="preserve"> </w:t>
                  </w:r>
                  <w:r>
                    <w:rPr>
                      <w:rFonts w:ascii="宋体" w:hAnsi="宋体" w:eastAsia="宋体" w:cs="宋体"/>
                      <w:color w:val="auto"/>
                      <w:spacing w:val="-2"/>
                      <w:sz w:val="21"/>
                      <w:szCs w:val="21"/>
                    </w:rPr>
                    <w:t>号、乐环审</w:t>
                  </w:r>
                </w:p>
                <w:p w14:paraId="1517E44C">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z w:val="21"/>
                      <w:szCs w:val="21"/>
                    </w:rPr>
                  </w:pPr>
                  <w:r>
                    <w:rPr>
                      <w:color w:val="auto"/>
                      <w:spacing w:val="-6"/>
                      <w:sz w:val="21"/>
                      <w:szCs w:val="21"/>
                    </w:rPr>
                    <w:t>[</w:t>
                  </w:r>
                  <w:r>
                    <w:rPr>
                      <w:color w:val="auto"/>
                      <w:sz w:val="21"/>
                      <w:szCs w:val="21"/>
                    </w:rPr>
                    <w:fldChar w:fldCharType="begin"/>
                  </w:r>
                  <w:r>
                    <w:rPr>
                      <w:color w:val="auto"/>
                      <w:sz w:val="21"/>
                      <w:szCs w:val="21"/>
                    </w:rPr>
                    <w:instrText xml:space="preserve"> HYPERLINK \l "bookmark248" </w:instrText>
                  </w:r>
                  <w:r>
                    <w:rPr>
                      <w:color w:val="auto"/>
                      <w:sz w:val="21"/>
                      <w:szCs w:val="21"/>
                    </w:rPr>
                    <w:fldChar w:fldCharType="separate"/>
                  </w:r>
                  <w:r>
                    <w:rPr>
                      <w:color w:val="auto"/>
                      <w:spacing w:val="-6"/>
                      <w:sz w:val="21"/>
                      <w:szCs w:val="21"/>
                    </w:rPr>
                    <w:t>2018</w:t>
                  </w:r>
                  <w:r>
                    <w:rPr>
                      <w:color w:val="auto"/>
                      <w:spacing w:val="-6"/>
                      <w:sz w:val="21"/>
                      <w:szCs w:val="21"/>
                    </w:rPr>
                    <w:fldChar w:fldCharType="end"/>
                  </w:r>
                  <w:r>
                    <w:rPr>
                      <w:color w:val="auto"/>
                      <w:spacing w:val="-6"/>
                      <w:sz w:val="21"/>
                      <w:szCs w:val="21"/>
                    </w:rPr>
                    <w:t>]24</w:t>
                  </w:r>
                  <w:r>
                    <w:rPr>
                      <w:color w:val="auto"/>
                      <w:spacing w:val="16"/>
                      <w:sz w:val="21"/>
                      <w:szCs w:val="21"/>
                    </w:rPr>
                    <w:t xml:space="preserve"> </w:t>
                  </w:r>
                  <w:r>
                    <w:rPr>
                      <w:rFonts w:ascii="宋体" w:hAnsi="宋体" w:eastAsia="宋体" w:cs="宋体"/>
                      <w:color w:val="auto"/>
                      <w:spacing w:val="-6"/>
                      <w:sz w:val="21"/>
                      <w:szCs w:val="21"/>
                    </w:rPr>
                    <w:t>号、韶环乐审〔</w:t>
                  </w:r>
                  <w:r>
                    <w:rPr>
                      <w:color w:val="auto"/>
                      <w:spacing w:val="-6"/>
                      <w:sz w:val="21"/>
                      <w:szCs w:val="21"/>
                    </w:rPr>
                    <w:t>2024</w:t>
                  </w:r>
                  <w:r>
                    <w:rPr>
                      <w:rFonts w:ascii="宋体" w:hAnsi="宋体" w:eastAsia="宋体" w:cs="宋体"/>
                      <w:color w:val="auto"/>
                      <w:spacing w:val="-6"/>
                      <w:sz w:val="21"/>
                      <w:szCs w:val="21"/>
                    </w:rPr>
                    <w:t>〕</w:t>
                  </w:r>
                  <w:r>
                    <w:rPr>
                      <w:color w:val="auto"/>
                      <w:spacing w:val="-6"/>
                      <w:sz w:val="21"/>
                      <w:szCs w:val="21"/>
                    </w:rPr>
                    <w:t>04</w:t>
                  </w:r>
                </w:p>
                <w:p w14:paraId="12DA9EC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z w:val="21"/>
                      <w:szCs w:val="21"/>
                    </w:rPr>
                    <w:t>号</w:t>
                  </w:r>
                </w:p>
              </w:tc>
            </w:tr>
            <w:tr w14:paraId="616E8B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71DA119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3"/>
                      <w:sz w:val="21"/>
                      <w:szCs w:val="21"/>
                    </w:rPr>
                    <w:t>56</w:t>
                  </w:r>
                </w:p>
              </w:tc>
              <w:tc>
                <w:tcPr>
                  <w:tcW w:w="961" w:type="dxa"/>
                  <w:vAlign w:val="center"/>
                </w:tcPr>
                <w:p w14:paraId="48E4872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广东中博交通环保设备有限</w:t>
                  </w:r>
                </w:p>
                <w:p w14:paraId="19766D1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公司</w:t>
                  </w:r>
                </w:p>
              </w:tc>
              <w:tc>
                <w:tcPr>
                  <w:tcW w:w="600" w:type="dxa"/>
                  <w:vAlign w:val="center"/>
                </w:tcPr>
                <w:p w14:paraId="754C66A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0C45C48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专用设备制造业</w:t>
                  </w:r>
                </w:p>
              </w:tc>
              <w:tc>
                <w:tcPr>
                  <w:tcW w:w="1140" w:type="dxa"/>
                  <w:vAlign w:val="center"/>
                </w:tcPr>
                <w:p w14:paraId="2B4F2728">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20059.4</w:t>
                  </w:r>
                </w:p>
              </w:tc>
              <w:tc>
                <w:tcPr>
                  <w:tcW w:w="2053" w:type="dxa"/>
                  <w:vAlign w:val="center"/>
                </w:tcPr>
                <w:p w14:paraId="645EDFE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年加工生产交通环保材料</w:t>
                  </w:r>
                  <w:r>
                    <w:rPr>
                      <w:rFonts w:ascii="宋体" w:hAnsi="宋体" w:eastAsia="宋体" w:cs="宋体"/>
                      <w:color w:val="auto"/>
                      <w:spacing w:val="-39"/>
                      <w:sz w:val="21"/>
                      <w:szCs w:val="21"/>
                    </w:rPr>
                    <w:t xml:space="preserve"> </w:t>
                  </w:r>
                  <w:r>
                    <w:rPr>
                      <w:color w:val="auto"/>
                      <w:spacing w:val="-2"/>
                      <w:sz w:val="21"/>
                      <w:szCs w:val="21"/>
                    </w:rPr>
                    <w:t>50</w:t>
                  </w:r>
                  <w:r>
                    <w:rPr>
                      <w:color w:val="auto"/>
                      <w:spacing w:val="14"/>
                      <w:sz w:val="21"/>
                      <w:szCs w:val="21"/>
                    </w:rPr>
                    <w:t xml:space="preserve"> </w:t>
                  </w:r>
                  <w:r>
                    <w:rPr>
                      <w:rFonts w:ascii="宋体" w:hAnsi="宋体" w:eastAsia="宋体" w:cs="宋体"/>
                      <w:color w:val="auto"/>
                      <w:spacing w:val="-2"/>
                      <w:sz w:val="21"/>
                      <w:szCs w:val="21"/>
                    </w:rPr>
                    <w:t>万件</w:t>
                  </w:r>
                </w:p>
              </w:tc>
              <w:tc>
                <w:tcPr>
                  <w:tcW w:w="1878" w:type="dxa"/>
                  <w:vAlign w:val="center"/>
                </w:tcPr>
                <w:p w14:paraId="7ADD418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乐环审</w:t>
                  </w:r>
                  <w:r>
                    <w:rPr>
                      <w:color w:val="auto"/>
                      <w:spacing w:val="-2"/>
                      <w:sz w:val="21"/>
                      <w:szCs w:val="21"/>
                    </w:rPr>
                    <w:t>[</w:t>
                  </w:r>
                  <w:r>
                    <w:rPr>
                      <w:color w:val="auto"/>
                      <w:sz w:val="21"/>
                      <w:szCs w:val="21"/>
                    </w:rPr>
                    <w:fldChar w:fldCharType="begin"/>
                  </w:r>
                  <w:r>
                    <w:rPr>
                      <w:color w:val="auto"/>
                      <w:sz w:val="21"/>
                      <w:szCs w:val="21"/>
                    </w:rPr>
                    <w:instrText xml:space="preserve"> HYPERLINK \l "bookmark249" </w:instrText>
                  </w:r>
                  <w:r>
                    <w:rPr>
                      <w:color w:val="auto"/>
                      <w:sz w:val="21"/>
                      <w:szCs w:val="21"/>
                    </w:rPr>
                    <w:fldChar w:fldCharType="separate"/>
                  </w:r>
                  <w:r>
                    <w:rPr>
                      <w:color w:val="auto"/>
                      <w:spacing w:val="-2"/>
                      <w:sz w:val="21"/>
                      <w:szCs w:val="21"/>
                    </w:rPr>
                    <w:t>2017</w:t>
                  </w:r>
                  <w:r>
                    <w:rPr>
                      <w:color w:val="auto"/>
                      <w:spacing w:val="-2"/>
                      <w:sz w:val="21"/>
                      <w:szCs w:val="21"/>
                    </w:rPr>
                    <w:fldChar w:fldCharType="end"/>
                  </w:r>
                  <w:r>
                    <w:rPr>
                      <w:color w:val="auto"/>
                      <w:spacing w:val="-2"/>
                      <w:sz w:val="21"/>
                      <w:szCs w:val="21"/>
                    </w:rPr>
                    <w:t>]59</w:t>
                  </w:r>
                  <w:r>
                    <w:rPr>
                      <w:color w:val="auto"/>
                      <w:spacing w:val="24"/>
                      <w:sz w:val="21"/>
                      <w:szCs w:val="21"/>
                    </w:rPr>
                    <w:t xml:space="preserve"> </w:t>
                  </w:r>
                  <w:r>
                    <w:rPr>
                      <w:rFonts w:ascii="宋体" w:hAnsi="宋体" w:eastAsia="宋体" w:cs="宋体"/>
                      <w:color w:val="auto"/>
                      <w:spacing w:val="-2"/>
                      <w:sz w:val="21"/>
                      <w:szCs w:val="21"/>
                    </w:rPr>
                    <w:t>号</w:t>
                  </w:r>
                </w:p>
              </w:tc>
            </w:tr>
            <w:tr w14:paraId="0993E0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5BA3F839">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3"/>
                      <w:sz w:val="21"/>
                      <w:szCs w:val="21"/>
                    </w:rPr>
                    <w:t>57</w:t>
                  </w:r>
                </w:p>
              </w:tc>
              <w:tc>
                <w:tcPr>
                  <w:tcW w:w="961" w:type="dxa"/>
                  <w:vAlign w:val="center"/>
                </w:tcPr>
                <w:p w14:paraId="6914661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乐昌欧典高分子装饰材料有</w:t>
                  </w:r>
                </w:p>
                <w:p w14:paraId="602E5E3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5"/>
                      <w:sz w:val="21"/>
                      <w:szCs w:val="21"/>
                    </w:rPr>
                    <w:t>限公司</w:t>
                  </w:r>
                </w:p>
              </w:tc>
              <w:tc>
                <w:tcPr>
                  <w:tcW w:w="600" w:type="dxa"/>
                  <w:vAlign w:val="center"/>
                </w:tcPr>
                <w:p w14:paraId="0C8619D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61B510C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橡胶和塑料制品业</w:t>
                  </w:r>
                </w:p>
              </w:tc>
              <w:tc>
                <w:tcPr>
                  <w:tcW w:w="1140" w:type="dxa"/>
                  <w:vAlign w:val="center"/>
                </w:tcPr>
                <w:p w14:paraId="2E6ED5F2">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8631.1</w:t>
                  </w:r>
                </w:p>
              </w:tc>
              <w:tc>
                <w:tcPr>
                  <w:tcW w:w="2053" w:type="dxa"/>
                  <w:vAlign w:val="center"/>
                </w:tcPr>
                <w:p w14:paraId="6BBF2D7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年产</w:t>
                  </w:r>
                  <w:r>
                    <w:rPr>
                      <w:rFonts w:ascii="宋体" w:hAnsi="宋体" w:eastAsia="宋体" w:cs="宋体"/>
                      <w:color w:val="auto"/>
                      <w:spacing w:val="-51"/>
                      <w:sz w:val="21"/>
                      <w:szCs w:val="21"/>
                    </w:rPr>
                    <w:t xml:space="preserve"> </w:t>
                  </w:r>
                  <w:r>
                    <w:rPr>
                      <w:color w:val="auto"/>
                      <w:spacing w:val="-1"/>
                      <w:sz w:val="21"/>
                      <w:szCs w:val="21"/>
                    </w:rPr>
                    <w:t xml:space="preserve">PVC </w:t>
                  </w:r>
                  <w:r>
                    <w:rPr>
                      <w:rFonts w:ascii="宋体" w:hAnsi="宋体" w:eastAsia="宋体" w:cs="宋体"/>
                      <w:color w:val="auto"/>
                      <w:spacing w:val="-1"/>
                      <w:sz w:val="21"/>
                      <w:szCs w:val="21"/>
                    </w:rPr>
                    <w:t>墙板</w:t>
                  </w:r>
                  <w:r>
                    <w:rPr>
                      <w:rFonts w:ascii="宋体" w:hAnsi="宋体" w:eastAsia="宋体" w:cs="宋体"/>
                      <w:color w:val="auto"/>
                      <w:spacing w:val="-43"/>
                      <w:sz w:val="21"/>
                      <w:szCs w:val="21"/>
                    </w:rPr>
                    <w:t xml:space="preserve"> </w:t>
                  </w:r>
                  <w:r>
                    <w:rPr>
                      <w:color w:val="auto"/>
                      <w:spacing w:val="-1"/>
                      <w:sz w:val="21"/>
                      <w:szCs w:val="21"/>
                    </w:rPr>
                    <w:t>300</w:t>
                  </w:r>
                  <w:r>
                    <w:rPr>
                      <w:color w:val="auto"/>
                      <w:spacing w:val="13"/>
                      <w:w w:val="101"/>
                      <w:sz w:val="21"/>
                      <w:szCs w:val="21"/>
                    </w:rPr>
                    <w:t xml:space="preserve"> </w:t>
                  </w:r>
                  <w:r>
                    <w:rPr>
                      <w:rFonts w:ascii="宋体" w:hAnsi="宋体" w:eastAsia="宋体" w:cs="宋体"/>
                      <w:color w:val="auto"/>
                      <w:spacing w:val="-1"/>
                      <w:sz w:val="21"/>
                      <w:szCs w:val="21"/>
                    </w:rPr>
                    <w:t>万平方、</w:t>
                  </w:r>
                  <w:r>
                    <w:rPr>
                      <w:color w:val="auto"/>
                      <w:spacing w:val="-1"/>
                      <w:sz w:val="21"/>
                      <w:szCs w:val="21"/>
                    </w:rPr>
                    <w:t xml:space="preserve">PVC </w:t>
                  </w:r>
                  <w:r>
                    <w:rPr>
                      <w:rFonts w:ascii="宋体" w:hAnsi="宋体" w:eastAsia="宋体" w:cs="宋体"/>
                      <w:color w:val="auto"/>
                      <w:spacing w:val="-1"/>
                      <w:sz w:val="21"/>
                      <w:szCs w:val="21"/>
                    </w:rPr>
                    <w:t>墙板</w:t>
                  </w:r>
                  <w:r>
                    <w:rPr>
                      <w:rFonts w:ascii="宋体" w:hAnsi="宋体" w:eastAsia="宋体" w:cs="宋体"/>
                      <w:color w:val="auto"/>
                      <w:spacing w:val="-2"/>
                      <w:sz w:val="21"/>
                      <w:szCs w:val="21"/>
                    </w:rPr>
                    <w:t>配套线条约</w:t>
                  </w:r>
                  <w:r>
                    <w:rPr>
                      <w:rFonts w:ascii="宋体" w:hAnsi="宋体" w:eastAsia="宋体" w:cs="宋体"/>
                      <w:color w:val="auto"/>
                      <w:spacing w:val="-48"/>
                      <w:sz w:val="21"/>
                      <w:szCs w:val="21"/>
                    </w:rPr>
                    <w:t xml:space="preserve"> </w:t>
                  </w:r>
                  <w:r>
                    <w:rPr>
                      <w:color w:val="auto"/>
                      <w:spacing w:val="-2"/>
                      <w:sz w:val="21"/>
                      <w:szCs w:val="21"/>
                    </w:rPr>
                    <w:t>200</w:t>
                  </w:r>
                  <w:r>
                    <w:rPr>
                      <w:color w:val="auto"/>
                      <w:spacing w:val="13"/>
                      <w:w w:val="101"/>
                      <w:sz w:val="21"/>
                      <w:szCs w:val="21"/>
                    </w:rPr>
                    <w:t xml:space="preserve"> </w:t>
                  </w:r>
                  <w:r>
                    <w:rPr>
                      <w:rFonts w:ascii="宋体" w:hAnsi="宋体" w:eastAsia="宋体" w:cs="宋体"/>
                      <w:color w:val="auto"/>
                      <w:spacing w:val="-2"/>
                      <w:sz w:val="21"/>
                      <w:szCs w:val="21"/>
                    </w:rPr>
                    <w:t>万米</w:t>
                  </w:r>
                </w:p>
              </w:tc>
              <w:tc>
                <w:tcPr>
                  <w:tcW w:w="1878" w:type="dxa"/>
                  <w:vAlign w:val="center"/>
                </w:tcPr>
                <w:p w14:paraId="24DEE19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乐环审</w:t>
                  </w:r>
                  <w:r>
                    <w:rPr>
                      <w:color w:val="auto"/>
                      <w:spacing w:val="-2"/>
                      <w:sz w:val="21"/>
                      <w:szCs w:val="21"/>
                    </w:rPr>
                    <w:t>[</w:t>
                  </w:r>
                  <w:r>
                    <w:rPr>
                      <w:color w:val="auto"/>
                      <w:sz w:val="21"/>
                      <w:szCs w:val="21"/>
                    </w:rPr>
                    <w:fldChar w:fldCharType="begin"/>
                  </w:r>
                  <w:r>
                    <w:rPr>
                      <w:color w:val="auto"/>
                      <w:sz w:val="21"/>
                      <w:szCs w:val="21"/>
                    </w:rPr>
                    <w:instrText xml:space="preserve"> HYPERLINK \l "bookmark250" </w:instrText>
                  </w:r>
                  <w:r>
                    <w:rPr>
                      <w:color w:val="auto"/>
                      <w:sz w:val="21"/>
                      <w:szCs w:val="21"/>
                    </w:rPr>
                    <w:fldChar w:fldCharType="separate"/>
                  </w:r>
                  <w:r>
                    <w:rPr>
                      <w:color w:val="auto"/>
                      <w:spacing w:val="-2"/>
                      <w:sz w:val="21"/>
                      <w:szCs w:val="21"/>
                    </w:rPr>
                    <w:t>2019</w:t>
                  </w:r>
                  <w:r>
                    <w:rPr>
                      <w:color w:val="auto"/>
                      <w:spacing w:val="-2"/>
                      <w:sz w:val="21"/>
                      <w:szCs w:val="21"/>
                    </w:rPr>
                    <w:fldChar w:fldCharType="end"/>
                  </w:r>
                  <w:r>
                    <w:rPr>
                      <w:color w:val="auto"/>
                      <w:spacing w:val="-2"/>
                      <w:sz w:val="21"/>
                      <w:szCs w:val="21"/>
                    </w:rPr>
                    <w:t>]68</w:t>
                  </w:r>
                  <w:r>
                    <w:rPr>
                      <w:color w:val="auto"/>
                      <w:spacing w:val="24"/>
                      <w:sz w:val="21"/>
                      <w:szCs w:val="21"/>
                    </w:rPr>
                    <w:t xml:space="preserve"> </w:t>
                  </w:r>
                  <w:r>
                    <w:rPr>
                      <w:rFonts w:ascii="宋体" w:hAnsi="宋体" w:eastAsia="宋体" w:cs="宋体"/>
                      <w:color w:val="auto"/>
                      <w:spacing w:val="-2"/>
                      <w:sz w:val="21"/>
                      <w:szCs w:val="21"/>
                    </w:rPr>
                    <w:t>号</w:t>
                  </w:r>
                </w:p>
              </w:tc>
            </w:tr>
            <w:tr w14:paraId="0AE307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jc w:val="center"/>
              </w:trPr>
              <w:tc>
                <w:tcPr>
                  <w:tcW w:w="311" w:type="dxa"/>
                  <w:vAlign w:val="center"/>
                </w:tcPr>
                <w:p w14:paraId="59A8933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szCs w:val="21"/>
                    </w:rPr>
                  </w:pPr>
                </w:p>
                <w:p w14:paraId="08790E8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3"/>
                      <w:sz w:val="21"/>
                      <w:szCs w:val="21"/>
                    </w:rPr>
                    <w:t>58</w:t>
                  </w:r>
                </w:p>
              </w:tc>
              <w:tc>
                <w:tcPr>
                  <w:tcW w:w="961" w:type="dxa"/>
                  <w:vAlign w:val="center"/>
                </w:tcPr>
                <w:p w14:paraId="02E2208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韶关豪立再生资源利用有限</w:t>
                  </w:r>
                </w:p>
                <w:p w14:paraId="3AD6D97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公司</w:t>
                  </w:r>
                </w:p>
              </w:tc>
              <w:tc>
                <w:tcPr>
                  <w:tcW w:w="600" w:type="dxa"/>
                  <w:vAlign w:val="center"/>
                </w:tcPr>
                <w:p w14:paraId="37374A4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69A7E8A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非金属矿物制品业</w:t>
                  </w:r>
                </w:p>
              </w:tc>
              <w:tc>
                <w:tcPr>
                  <w:tcW w:w="1140" w:type="dxa"/>
                  <w:vAlign w:val="center"/>
                </w:tcPr>
                <w:p w14:paraId="5C236B37">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4"/>
                      <w:sz w:val="21"/>
                      <w:szCs w:val="21"/>
                    </w:rPr>
                    <w:t>17646</w:t>
                  </w:r>
                </w:p>
              </w:tc>
              <w:tc>
                <w:tcPr>
                  <w:tcW w:w="2053" w:type="dxa"/>
                  <w:vAlign w:val="center"/>
                </w:tcPr>
                <w:p w14:paraId="3DA4CDE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年处理废金属</w:t>
                  </w:r>
                  <w:r>
                    <w:rPr>
                      <w:rFonts w:ascii="宋体" w:hAnsi="宋体" w:eastAsia="宋体" w:cs="宋体"/>
                      <w:color w:val="auto"/>
                      <w:spacing w:val="-45"/>
                      <w:sz w:val="21"/>
                      <w:szCs w:val="21"/>
                    </w:rPr>
                    <w:t xml:space="preserve"> </w:t>
                  </w:r>
                  <w:r>
                    <w:rPr>
                      <w:color w:val="auto"/>
                      <w:spacing w:val="-3"/>
                      <w:sz w:val="21"/>
                      <w:szCs w:val="21"/>
                    </w:rPr>
                    <w:t>79760</w:t>
                  </w:r>
                  <w:r>
                    <w:rPr>
                      <w:color w:val="auto"/>
                      <w:spacing w:val="16"/>
                      <w:w w:val="101"/>
                      <w:sz w:val="21"/>
                      <w:szCs w:val="21"/>
                    </w:rPr>
                    <w:t xml:space="preserve"> </w:t>
                  </w:r>
                  <w:r>
                    <w:rPr>
                      <w:rFonts w:ascii="宋体" w:hAnsi="宋体" w:eastAsia="宋体" w:cs="宋体"/>
                      <w:color w:val="auto"/>
                      <w:spacing w:val="-3"/>
                      <w:sz w:val="21"/>
                      <w:szCs w:val="21"/>
                    </w:rPr>
                    <w:t>吨、废纸</w:t>
                  </w:r>
                  <w:r>
                    <w:rPr>
                      <w:rFonts w:ascii="宋体" w:hAnsi="宋体" w:eastAsia="宋体" w:cs="宋体"/>
                      <w:color w:val="auto"/>
                      <w:spacing w:val="-42"/>
                      <w:sz w:val="21"/>
                      <w:szCs w:val="21"/>
                    </w:rPr>
                    <w:t xml:space="preserve"> </w:t>
                  </w:r>
                  <w:r>
                    <w:rPr>
                      <w:color w:val="auto"/>
                      <w:spacing w:val="-3"/>
                      <w:sz w:val="21"/>
                      <w:szCs w:val="21"/>
                    </w:rPr>
                    <w:t>5982</w:t>
                  </w:r>
                  <w:r>
                    <w:rPr>
                      <w:color w:val="auto"/>
                      <w:spacing w:val="16"/>
                      <w:w w:val="101"/>
                      <w:sz w:val="21"/>
                      <w:szCs w:val="21"/>
                    </w:rPr>
                    <w:t xml:space="preserve"> </w:t>
                  </w:r>
                  <w:r>
                    <w:rPr>
                      <w:rFonts w:ascii="宋体" w:hAnsi="宋体" w:eastAsia="宋体" w:cs="宋体"/>
                      <w:color w:val="auto"/>
                      <w:spacing w:val="-3"/>
                      <w:sz w:val="21"/>
                      <w:szCs w:val="21"/>
                    </w:rPr>
                    <w:t>吨、拆解设备</w:t>
                  </w:r>
                  <w:r>
                    <w:rPr>
                      <w:rFonts w:ascii="宋体" w:hAnsi="宋体" w:eastAsia="宋体" w:cs="宋体"/>
                      <w:color w:val="auto"/>
                      <w:spacing w:val="-51"/>
                      <w:sz w:val="21"/>
                      <w:szCs w:val="21"/>
                    </w:rPr>
                    <w:t xml:space="preserve"> </w:t>
                  </w:r>
                  <w:r>
                    <w:rPr>
                      <w:color w:val="auto"/>
                      <w:spacing w:val="-3"/>
                      <w:sz w:val="21"/>
                      <w:szCs w:val="21"/>
                    </w:rPr>
                    <w:t>20</w:t>
                  </w:r>
                  <w:r>
                    <w:rPr>
                      <w:color w:val="auto"/>
                      <w:spacing w:val="-4"/>
                      <w:sz w:val="21"/>
                      <w:szCs w:val="21"/>
                    </w:rPr>
                    <w:t>00</w:t>
                  </w:r>
                  <w:r>
                    <w:rPr>
                      <w:color w:val="auto"/>
                      <w:spacing w:val="25"/>
                      <w:w w:val="101"/>
                      <w:sz w:val="21"/>
                      <w:szCs w:val="21"/>
                    </w:rPr>
                    <w:t xml:space="preserve"> </w:t>
                  </w:r>
                  <w:r>
                    <w:rPr>
                      <w:rFonts w:ascii="宋体" w:hAnsi="宋体" w:eastAsia="宋体" w:cs="宋体"/>
                      <w:color w:val="auto"/>
                      <w:spacing w:val="-4"/>
                      <w:sz w:val="21"/>
                      <w:szCs w:val="21"/>
                    </w:rPr>
                    <w:t>台，</w:t>
                  </w:r>
                </w:p>
                <w:p w14:paraId="201FCB2C">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年产再生玻璃</w:t>
                  </w:r>
                  <w:r>
                    <w:rPr>
                      <w:rFonts w:ascii="宋体" w:hAnsi="宋体" w:eastAsia="宋体" w:cs="宋体"/>
                      <w:color w:val="auto"/>
                      <w:spacing w:val="-14"/>
                      <w:sz w:val="21"/>
                      <w:szCs w:val="21"/>
                    </w:rPr>
                    <w:t xml:space="preserve"> </w:t>
                  </w:r>
                  <w:r>
                    <w:rPr>
                      <w:color w:val="auto"/>
                      <w:spacing w:val="-3"/>
                      <w:sz w:val="21"/>
                      <w:szCs w:val="21"/>
                    </w:rPr>
                    <w:t xml:space="preserve">11.4 </w:t>
                  </w:r>
                  <w:r>
                    <w:rPr>
                      <w:rFonts w:ascii="宋体" w:hAnsi="宋体" w:eastAsia="宋体" w:cs="宋体"/>
                      <w:color w:val="auto"/>
                      <w:spacing w:val="-3"/>
                      <w:sz w:val="21"/>
                      <w:szCs w:val="21"/>
                    </w:rPr>
                    <w:t>万吨、玻璃纤维</w:t>
                  </w:r>
                  <w:r>
                    <w:rPr>
                      <w:rFonts w:ascii="宋体" w:hAnsi="宋体" w:eastAsia="宋体" w:cs="宋体"/>
                      <w:color w:val="auto"/>
                      <w:spacing w:val="-43"/>
                      <w:sz w:val="21"/>
                      <w:szCs w:val="21"/>
                    </w:rPr>
                    <w:t xml:space="preserve"> </w:t>
                  </w:r>
                  <w:r>
                    <w:rPr>
                      <w:color w:val="auto"/>
                      <w:spacing w:val="-3"/>
                      <w:sz w:val="21"/>
                      <w:szCs w:val="21"/>
                    </w:rPr>
                    <w:t xml:space="preserve">3 </w:t>
                  </w:r>
                  <w:r>
                    <w:rPr>
                      <w:rFonts w:ascii="宋体" w:hAnsi="宋体" w:eastAsia="宋体" w:cs="宋体"/>
                      <w:color w:val="auto"/>
                      <w:spacing w:val="-3"/>
                      <w:sz w:val="21"/>
                      <w:szCs w:val="21"/>
                    </w:rPr>
                    <w:t>万吨、玻璃纤维增强塑</w:t>
                  </w:r>
                </w:p>
                <w:p w14:paraId="6FCA157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料制品</w:t>
                  </w:r>
                  <w:r>
                    <w:rPr>
                      <w:rFonts w:ascii="宋体" w:hAnsi="宋体" w:eastAsia="宋体" w:cs="宋体"/>
                      <w:color w:val="auto"/>
                      <w:spacing w:val="-44"/>
                      <w:sz w:val="21"/>
                      <w:szCs w:val="21"/>
                    </w:rPr>
                    <w:t xml:space="preserve"> </w:t>
                  </w:r>
                  <w:r>
                    <w:rPr>
                      <w:color w:val="auto"/>
                      <w:spacing w:val="-2"/>
                      <w:sz w:val="21"/>
                      <w:szCs w:val="21"/>
                    </w:rPr>
                    <w:t>7200</w:t>
                  </w:r>
                  <w:r>
                    <w:rPr>
                      <w:color w:val="auto"/>
                      <w:spacing w:val="18"/>
                      <w:w w:val="101"/>
                      <w:sz w:val="21"/>
                      <w:szCs w:val="21"/>
                    </w:rPr>
                    <w:t xml:space="preserve"> </w:t>
                  </w:r>
                  <w:r>
                    <w:rPr>
                      <w:rFonts w:ascii="宋体" w:hAnsi="宋体" w:eastAsia="宋体" w:cs="宋体"/>
                      <w:color w:val="auto"/>
                      <w:spacing w:val="-2"/>
                      <w:sz w:val="21"/>
                      <w:szCs w:val="21"/>
                    </w:rPr>
                    <w:t>吨</w:t>
                  </w:r>
                </w:p>
              </w:tc>
              <w:tc>
                <w:tcPr>
                  <w:tcW w:w="1878" w:type="dxa"/>
                  <w:vAlign w:val="center"/>
                </w:tcPr>
                <w:p w14:paraId="31D79C7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乐环审</w:t>
                  </w:r>
                  <w:r>
                    <w:rPr>
                      <w:color w:val="auto"/>
                      <w:spacing w:val="-2"/>
                      <w:sz w:val="21"/>
                      <w:szCs w:val="21"/>
                    </w:rPr>
                    <w:t>[</w:t>
                  </w:r>
                  <w:r>
                    <w:rPr>
                      <w:color w:val="auto"/>
                      <w:sz w:val="21"/>
                      <w:szCs w:val="21"/>
                    </w:rPr>
                    <w:fldChar w:fldCharType="begin"/>
                  </w:r>
                  <w:r>
                    <w:rPr>
                      <w:color w:val="auto"/>
                      <w:sz w:val="21"/>
                      <w:szCs w:val="21"/>
                    </w:rPr>
                    <w:instrText xml:space="preserve"> HYPERLINK \l "bookmark251" </w:instrText>
                  </w:r>
                  <w:r>
                    <w:rPr>
                      <w:color w:val="auto"/>
                      <w:sz w:val="21"/>
                      <w:szCs w:val="21"/>
                    </w:rPr>
                    <w:fldChar w:fldCharType="separate"/>
                  </w:r>
                  <w:r>
                    <w:rPr>
                      <w:color w:val="auto"/>
                      <w:spacing w:val="-2"/>
                      <w:sz w:val="21"/>
                      <w:szCs w:val="21"/>
                    </w:rPr>
                    <w:t>2017</w:t>
                  </w:r>
                  <w:r>
                    <w:rPr>
                      <w:color w:val="auto"/>
                      <w:spacing w:val="-2"/>
                      <w:sz w:val="21"/>
                      <w:szCs w:val="21"/>
                    </w:rPr>
                    <w:fldChar w:fldCharType="end"/>
                  </w:r>
                  <w:r>
                    <w:rPr>
                      <w:color w:val="auto"/>
                      <w:spacing w:val="-2"/>
                      <w:sz w:val="21"/>
                      <w:szCs w:val="21"/>
                    </w:rPr>
                    <w:t>]69</w:t>
                  </w:r>
                  <w:r>
                    <w:rPr>
                      <w:color w:val="auto"/>
                      <w:spacing w:val="20"/>
                      <w:sz w:val="21"/>
                      <w:szCs w:val="21"/>
                    </w:rPr>
                    <w:t xml:space="preserve"> </w:t>
                  </w:r>
                  <w:r>
                    <w:rPr>
                      <w:rFonts w:ascii="宋体" w:hAnsi="宋体" w:eastAsia="宋体" w:cs="宋体"/>
                      <w:color w:val="auto"/>
                      <w:spacing w:val="-2"/>
                      <w:sz w:val="21"/>
                      <w:szCs w:val="21"/>
                    </w:rPr>
                    <w:t>号、韶环乐审</w:t>
                  </w:r>
                </w:p>
                <w:p w14:paraId="2E9E8357">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w:t>
                  </w:r>
                  <w:r>
                    <w:rPr>
                      <w:color w:val="auto"/>
                      <w:spacing w:val="-8"/>
                      <w:sz w:val="21"/>
                      <w:szCs w:val="21"/>
                    </w:rPr>
                    <w:t>2021</w:t>
                  </w:r>
                  <w:r>
                    <w:rPr>
                      <w:rFonts w:ascii="宋体" w:hAnsi="宋体" w:eastAsia="宋体" w:cs="宋体"/>
                      <w:color w:val="auto"/>
                      <w:spacing w:val="-8"/>
                      <w:sz w:val="21"/>
                      <w:szCs w:val="21"/>
                    </w:rPr>
                    <w:t>〕</w:t>
                  </w:r>
                  <w:r>
                    <w:rPr>
                      <w:color w:val="auto"/>
                      <w:spacing w:val="-8"/>
                      <w:sz w:val="21"/>
                      <w:szCs w:val="21"/>
                    </w:rPr>
                    <w:t>06</w:t>
                  </w:r>
                  <w:r>
                    <w:rPr>
                      <w:color w:val="auto"/>
                      <w:spacing w:val="25"/>
                      <w:w w:val="101"/>
                      <w:sz w:val="21"/>
                      <w:szCs w:val="21"/>
                    </w:rPr>
                    <w:t xml:space="preserve"> </w:t>
                  </w:r>
                  <w:r>
                    <w:rPr>
                      <w:rFonts w:ascii="宋体" w:hAnsi="宋体" w:eastAsia="宋体" w:cs="宋体"/>
                      <w:color w:val="auto"/>
                      <w:spacing w:val="-8"/>
                      <w:sz w:val="21"/>
                      <w:szCs w:val="21"/>
                    </w:rPr>
                    <w:t>号、韶环乐审〔</w:t>
                  </w:r>
                  <w:r>
                    <w:rPr>
                      <w:color w:val="auto"/>
                      <w:spacing w:val="-8"/>
                      <w:sz w:val="21"/>
                      <w:szCs w:val="21"/>
                    </w:rPr>
                    <w:t>2023</w:t>
                  </w:r>
                  <w:r>
                    <w:rPr>
                      <w:rFonts w:ascii="宋体" w:hAnsi="宋体" w:eastAsia="宋体" w:cs="宋体"/>
                      <w:color w:val="auto"/>
                      <w:spacing w:val="-8"/>
                      <w:sz w:val="21"/>
                      <w:szCs w:val="21"/>
                    </w:rPr>
                    <w:t>〕</w:t>
                  </w:r>
                </w:p>
                <w:p w14:paraId="0B07744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color w:val="auto"/>
                      <w:spacing w:val="-2"/>
                      <w:sz w:val="21"/>
                      <w:szCs w:val="21"/>
                    </w:rPr>
                    <w:t>23</w:t>
                  </w:r>
                  <w:r>
                    <w:rPr>
                      <w:color w:val="auto"/>
                      <w:spacing w:val="15"/>
                      <w:sz w:val="21"/>
                      <w:szCs w:val="21"/>
                    </w:rPr>
                    <w:t xml:space="preserve"> </w:t>
                  </w:r>
                  <w:r>
                    <w:rPr>
                      <w:rFonts w:ascii="宋体" w:hAnsi="宋体" w:eastAsia="宋体" w:cs="宋体"/>
                      <w:color w:val="auto"/>
                      <w:spacing w:val="-2"/>
                      <w:sz w:val="21"/>
                      <w:szCs w:val="21"/>
                    </w:rPr>
                    <w:t>号</w:t>
                  </w:r>
                </w:p>
              </w:tc>
            </w:tr>
            <w:tr w14:paraId="3B8AA5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0CDC6ED7">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3"/>
                      <w:sz w:val="21"/>
                      <w:szCs w:val="21"/>
                    </w:rPr>
                    <w:t>59</w:t>
                  </w:r>
                </w:p>
              </w:tc>
              <w:tc>
                <w:tcPr>
                  <w:tcW w:w="961" w:type="dxa"/>
                  <w:vAlign w:val="center"/>
                </w:tcPr>
                <w:p w14:paraId="6AC4955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乐昌市优泰德电器有限公司</w:t>
                  </w:r>
                </w:p>
                <w:p w14:paraId="7629FCB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（创业就业基地）</w:t>
                  </w:r>
                </w:p>
              </w:tc>
              <w:tc>
                <w:tcPr>
                  <w:tcW w:w="600" w:type="dxa"/>
                  <w:vAlign w:val="center"/>
                </w:tcPr>
                <w:p w14:paraId="371091D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18895A4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橡胶和塑料制品业</w:t>
                  </w:r>
                </w:p>
              </w:tc>
              <w:tc>
                <w:tcPr>
                  <w:tcW w:w="1140" w:type="dxa"/>
                  <w:vAlign w:val="center"/>
                </w:tcPr>
                <w:p w14:paraId="56E1DB5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3504</w:t>
                  </w:r>
                </w:p>
              </w:tc>
              <w:tc>
                <w:tcPr>
                  <w:tcW w:w="2053" w:type="dxa"/>
                  <w:vAlign w:val="center"/>
                </w:tcPr>
                <w:p w14:paraId="71621528">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年产塑料及五金制品</w:t>
                  </w:r>
                  <w:r>
                    <w:rPr>
                      <w:rFonts w:ascii="宋体" w:hAnsi="宋体" w:eastAsia="宋体" w:cs="宋体"/>
                      <w:color w:val="auto"/>
                      <w:spacing w:val="-39"/>
                      <w:sz w:val="21"/>
                      <w:szCs w:val="21"/>
                    </w:rPr>
                    <w:t xml:space="preserve"> </w:t>
                  </w:r>
                  <w:r>
                    <w:rPr>
                      <w:color w:val="auto"/>
                      <w:spacing w:val="-1"/>
                      <w:sz w:val="21"/>
                      <w:szCs w:val="21"/>
                    </w:rPr>
                    <w:t xml:space="preserve">280 </w:t>
                  </w:r>
                  <w:r>
                    <w:rPr>
                      <w:rFonts w:ascii="宋体" w:hAnsi="宋体" w:eastAsia="宋体" w:cs="宋体"/>
                      <w:color w:val="auto"/>
                      <w:spacing w:val="-1"/>
                      <w:sz w:val="21"/>
                      <w:szCs w:val="21"/>
                    </w:rPr>
                    <w:t>万件</w:t>
                  </w:r>
                </w:p>
              </w:tc>
              <w:tc>
                <w:tcPr>
                  <w:tcW w:w="1878" w:type="dxa"/>
                  <w:vAlign w:val="center"/>
                </w:tcPr>
                <w:p w14:paraId="3DA1FE77">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乐环审〔</w:t>
                  </w:r>
                  <w:r>
                    <w:rPr>
                      <w:color w:val="auto"/>
                      <w:spacing w:val="-1"/>
                      <w:sz w:val="21"/>
                      <w:szCs w:val="21"/>
                    </w:rPr>
                    <w:t>2019</w:t>
                  </w:r>
                  <w:r>
                    <w:rPr>
                      <w:rFonts w:ascii="宋体" w:hAnsi="宋体" w:eastAsia="宋体" w:cs="宋体"/>
                      <w:color w:val="auto"/>
                      <w:spacing w:val="-1"/>
                      <w:sz w:val="21"/>
                      <w:szCs w:val="21"/>
                    </w:rPr>
                    <w:t>〕</w:t>
                  </w:r>
                  <w:r>
                    <w:rPr>
                      <w:color w:val="auto"/>
                      <w:spacing w:val="-1"/>
                      <w:sz w:val="21"/>
                      <w:szCs w:val="21"/>
                    </w:rPr>
                    <w:t xml:space="preserve">28 </w:t>
                  </w:r>
                  <w:r>
                    <w:rPr>
                      <w:rFonts w:ascii="宋体" w:hAnsi="宋体" w:eastAsia="宋体" w:cs="宋体"/>
                      <w:color w:val="auto"/>
                      <w:spacing w:val="-1"/>
                      <w:sz w:val="21"/>
                      <w:szCs w:val="21"/>
                    </w:rPr>
                    <w:t>号</w:t>
                  </w:r>
                </w:p>
              </w:tc>
            </w:tr>
            <w:tr w14:paraId="75EF36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08E5458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60</w:t>
                  </w:r>
                </w:p>
              </w:tc>
              <w:tc>
                <w:tcPr>
                  <w:tcW w:w="961" w:type="dxa"/>
                  <w:vAlign w:val="center"/>
                </w:tcPr>
                <w:p w14:paraId="0B74EB5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乐昌市优泰德电器有限公司</w:t>
                  </w:r>
                </w:p>
                <w:p w14:paraId="2E73D46B">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color w:val="auto"/>
                      <w:spacing w:val="-3"/>
                      <w:sz w:val="21"/>
                      <w:szCs w:val="21"/>
                    </w:rPr>
                    <w:t>(</w:t>
                  </w:r>
                  <w:r>
                    <w:rPr>
                      <w:rFonts w:ascii="宋体" w:hAnsi="宋体" w:eastAsia="宋体" w:cs="宋体"/>
                      <w:color w:val="auto"/>
                      <w:spacing w:val="-3"/>
                      <w:sz w:val="21"/>
                      <w:szCs w:val="21"/>
                    </w:rPr>
                    <w:t>金玲三路）</w:t>
                  </w:r>
                </w:p>
              </w:tc>
              <w:tc>
                <w:tcPr>
                  <w:tcW w:w="600" w:type="dxa"/>
                  <w:vAlign w:val="center"/>
                </w:tcPr>
                <w:p w14:paraId="4E9A6B7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6BBECF8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专用设备制造业</w:t>
                  </w:r>
                </w:p>
              </w:tc>
              <w:tc>
                <w:tcPr>
                  <w:tcW w:w="1140" w:type="dxa"/>
                  <w:vAlign w:val="center"/>
                </w:tcPr>
                <w:p w14:paraId="453F68F7">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4"/>
                      <w:sz w:val="21"/>
                      <w:szCs w:val="21"/>
                    </w:rPr>
                    <w:t>15173</w:t>
                  </w:r>
                </w:p>
              </w:tc>
              <w:tc>
                <w:tcPr>
                  <w:tcW w:w="2053" w:type="dxa"/>
                  <w:vAlign w:val="center"/>
                </w:tcPr>
                <w:p w14:paraId="75418D9B">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年产家用小电器（电吹风、直发器、卷发器等）</w:t>
                  </w:r>
                  <w:r>
                    <w:rPr>
                      <w:color w:val="auto"/>
                      <w:spacing w:val="-1"/>
                      <w:sz w:val="21"/>
                      <w:szCs w:val="21"/>
                    </w:rPr>
                    <w:t>250</w:t>
                  </w:r>
                  <w:r>
                    <w:rPr>
                      <w:color w:val="auto"/>
                      <w:spacing w:val="27"/>
                      <w:sz w:val="21"/>
                      <w:szCs w:val="21"/>
                    </w:rPr>
                    <w:t xml:space="preserve"> </w:t>
                  </w:r>
                  <w:r>
                    <w:rPr>
                      <w:rFonts w:ascii="宋体" w:hAnsi="宋体" w:eastAsia="宋体" w:cs="宋体"/>
                      <w:color w:val="auto"/>
                      <w:spacing w:val="-1"/>
                      <w:sz w:val="21"/>
                      <w:szCs w:val="21"/>
                    </w:rPr>
                    <w:t>万台</w:t>
                  </w:r>
                </w:p>
              </w:tc>
              <w:tc>
                <w:tcPr>
                  <w:tcW w:w="1878" w:type="dxa"/>
                  <w:vAlign w:val="center"/>
                </w:tcPr>
                <w:p w14:paraId="1ED0A4F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乐环审〔</w:t>
                  </w:r>
                  <w:r>
                    <w:rPr>
                      <w:color w:val="auto"/>
                      <w:spacing w:val="-1"/>
                      <w:sz w:val="21"/>
                      <w:szCs w:val="21"/>
                    </w:rPr>
                    <w:t>2019</w:t>
                  </w:r>
                  <w:r>
                    <w:rPr>
                      <w:rFonts w:ascii="宋体" w:hAnsi="宋体" w:eastAsia="宋体" w:cs="宋体"/>
                      <w:color w:val="auto"/>
                      <w:spacing w:val="-1"/>
                      <w:sz w:val="21"/>
                      <w:szCs w:val="21"/>
                    </w:rPr>
                    <w:t>〕</w:t>
                  </w:r>
                  <w:r>
                    <w:rPr>
                      <w:color w:val="auto"/>
                      <w:spacing w:val="-1"/>
                      <w:sz w:val="21"/>
                      <w:szCs w:val="21"/>
                    </w:rPr>
                    <w:t xml:space="preserve">40 </w:t>
                  </w:r>
                  <w:r>
                    <w:rPr>
                      <w:rFonts w:ascii="宋体" w:hAnsi="宋体" w:eastAsia="宋体" w:cs="宋体"/>
                      <w:color w:val="auto"/>
                      <w:spacing w:val="-1"/>
                      <w:sz w:val="21"/>
                      <w:szCs w:val="21"/>
                    </w:rPr>
                    <w:t>号</w:t>
                  </w:r>
                </w:p>
              </w:tc>
            </w:tr>
            <w:tr w14:paraId="6D2538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07B30EE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61</w:t>
                  </w:r>
                </w:p>
              </w:tc>
              <w:tc>
                <w:tcPr>
                  <w:tcW w:w="961" w:type="dxa"/>
                  <w:vAlign w:val="center"/>
                </w:tcPr>
                <w:p w14:paraId="0CD86A4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广东昊奕智能科技有限公司</w:t>
                  </w:r>
                </w:p>
              </w:tc>
              <w:tc>
                <w:tcPr>
                  <w:tcW w:w="600" w:type="dxa"/>
                  <w:vAlign w:val="center"/>
                </w:tcPr>
                <w:p w14:paraId="52BE1E2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5DA82FF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055480C2">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9533.38</w:t>
                  </w:r>
                </w:p>
              </w:tc>
              <w:tc>
                <w:tcPr>
                  <w:tcW w:w="2053" w:type="dxa"/>
                  <w:vAlign w:val="center"/>
                </w:tcPr>
                <w:p w14:paraId="7E28F072">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年产不锈钢线材</w:t>
                  </w:r>
                  <w:r>
                    <w:rPr>
                      <w:rFonts w:ascii="宋体" w:hAnsi="宋体" w:eastAsia="宋体" w:cs="宋体"/>
                      <w:color w:val="auto"/>
                      <w:spacing w:val="-37"/>
                      <w:sz w:val="21"/>
                      <w:szCs w:val="21"/>
                    </w:rPr>
                    <w:t xml:space="preserve"> </w:t>
                  </w:r>
                  <w:r>
                    <w:rPr>
                      <w:color w:val="auto"/>
                      <w:spacing w:val="-2"/>
                      <w:sz w:val="21"/>
                      <w:szCs w:val="21"/>
                    </w:rPr>
                    <w:t>5000</w:t>
                  </w:r>
                  <w:r>
                    <w:rPr>
                      <w:color w:val="auto"/>
                      <w:spacing w:val="18"/>
                      <w:w w:val="101"/>
                      <w:sz w:val="21"/>
                      <w:szCs w:val="21"/>
                    </w:rPr>
                    <w:t xml:space="preserve"> </w:t>
                  </w:r>
                  <w:r>
                    <w:rPr>
                      <w:rFonts w:ascii="宋体" w:hAnsi="宋体" w:eastAsia="宋体" w:cs="宋体"/>
                      <w:color w:val="auto"/>
                      <w:spacing w:val="-2"/>
                      <w:sz w:val="21"/>
                      <w:szCs w:val="21"/>
                    </w:rPr>
                    <w:t>吨</w:t>
                  </w:r>
                </w:p>
              </w:tc>
              <w:tc>
                <w:tcPr>
                  <w:tcW w:w="1878" w:type="dxa"/>
                  <w:vAlign w:val="center"/>
                </w:tcPr>
                <w:p w14:paraId="02C40302">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2023</w:t>
                  </w:r>
                  <w:r>
                    <w:rPr>
                      <w:rFonts w:ascii="宋体" w:hAnsi="宋体" w:eastAsia="宋体" w:cs="宋体"/>
                      <w:color w:val="auto"/>
                      <w:spacing w:val="-1"/>
                      <w:sz w:val="21"/>
                      <w:szCs w:val="21"/>
                    </w:rPr>
                    <w:t>〕</w:t>
                  </w:r>
                  <w:r>
                    <w:rPr>
                      <w:color w:val="auto"/>
                      <w:spacing w:val="-1"/>
                      <w:sz w:val="21"/>
                      <w:szCs w:val="21"/>
                    </w:rPr>
                    <w:t>01</w:t>
                  </w:r>
                  <w:r>
                    <w:rPr>
                      <w:color w:val="auto"/>
                      <w:spacing w:val="18"/>
                      <w:sz w:val="21"/>
                      <w:szCs w:val="21"/>
                    </w:rPr>
                    <w:t xml:space="preserve"> </w:t>
                  </w:r>
                  <w:r>
                    <w:rPr>
                      <w:rFonts w:ascii="宋体" w:hAnsi="宋体" w:eastAsia="宋体" w:cs="宋体"/>
                      <w:color w:val="auto"/>
                      <w:spacing w:val="-1"/>
                      <w:sz w:val="21"/>
                      <w:szCs w:val="21"/>
                    </w:rPr>
                    <w:t>号</w:t>
                  </w:r>
                </w:p>
              </w:tc>
            </w:tr>
            <w:tr w14:paraId="1A7AD6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708B0E32">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62</w:t>
                  </w:r>
                </w:p>
              </w:tc>
              <w:tc>
                <w:tcPr>
                  <w:tcW w:w="961" w:type="dxa"/>
                  <w:vAlign w:val="center"/>
                </w:tcPr>
                <w:p w14:paraId="690373E7">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三创复合材料</w:t>
                  </w:r>
                  <w:r>
                    <w:rPr>
                      <w:color w:val="auto"/>
                      <w:spacing w:val="-1"/>
                      <w:sz w:val="21"/>
                      <w:szCs w:val="21"/>
                    </w:rPr>
                    <w:t>(</w:t>
                  </w:r>
                  <w:r>
                    <w:rPr>
                      <w:rFonts w:ascii="宋体" w:hAnsi="宋体" w:eastAsia="宋体" w:cs="宋体"/>
                      <w:color w:val="auto"/>
                      <w:spacing w:val="-1"/>
                      <w:sz w:val="21"/>
                      <w:szCs w:val="21"/>
                    </w:rPr>
                    <w:t>乐昌</w:t>
                  </w:r>
                  <w:r>
                    <w:rPr>
                      <w:color w:val="auto"/>
                      <w:spacing w:val="-1"/>
                      <w:sz w:val="21"/>
                      <w:szCs w:val="21"/>
                    </w:rPr>
                    <w:t>)</w:t>
                  </w:r>
                  <w:r>
                    <w:rPr>
                      <w:rFonts w:ascii="宋体" w:hAnsi="宋体" w:eastAsia="宋体" w:cs="宋体"/>
                      <w:color w:val="auto"/>
                      <w:spacing w:val="-1"/>
                      <w:sz w:val="21"/>
                      <w:szCs w:val="21"/>
                    </w:rPr>
                    <w:t>有限公司</w:t>
                  </w:r>
                </w:p>
              </w:tc>
              <w:tc>
                <w:tcPr>
                  <w:tcW w:w="600" w:type="dxa"/>
                  <w:vAlign w:val="center"/>
                </w:tcPr>
                <w:p w14:paraId="56B3C9C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757C575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非金属矿物制品业</w:t>
                  </w:r>
                </w:p>
              </w:tc>
              <w:tc>
                <w:tcPr>
                  <w:tcW w:w="1140" w:type="dxa"/>
                  <w:vAlign w:val="center"/>
                </w:tcPr>
                <w:p w14:paraId="0DC8CC5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25577.13</w:t>
                  </w:r>
                </w:p>
              </w:tc>
              <w:tc>
                <w:tcPr>
                  <w:tcW w:w="2053" w:type="dxa"/>
                  <w:vAlign w:val="center"/>
                </w:tcPr>
                <w:p w14:paraId="2CEE6E37">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年产玻璃纤维和碳素纤维复合材料制品</w:t>
                  </w:r>
                  <w:r>
                    <w:rPr>
                      <w:rFonts w:ascii="宋体" w:hAnsi="宋体" w:eastAsia="宋体" w:cs="宋体"/>
                      <w:color w:val="auto"/>
                      <w:spacing w:val="-37"/>
                      <w:sz w:val="21"/>
                      <w:szCs w:val="21"/>
                    </w:rPr>
                    <w:t xml:space="preserve"> </w:t>
                  </w:r>
                  <w:r>
                    <w:rPr>
                      <w:color w:val="auto"/>
                      <w:spacing w:val="-1"/>
                      <w:sz w:val="21"/>
                      <w:szCs w:val="21"/>
                    </w:rPr>
                    <w:t>6365</w:t>
                  </w:r>
                  <w:r>
                    <w:rPr>
                      <w:color w:val="auto"/>
                      <w:spacing w:val="16"/>
                      <w:w w:val="101"/>
                      <w:sz w:val="21"/>
                      <w:szCs w:val="21"/>
                    </w:rPr>
                    <w:t xml:space="preserve"> </w:t>
                  </w:r>
                  <w:r>
                    <w:rPr>
                      <w:rFonts w:ascii="宋体" w:hAnsi="宋体" w:eastAsia="宋体" w:cs="宋体"/>
                      <w:color w:val="auto"/>
                      <w:spacing w:val="-1"/>
                      <w:sz w:val="21"/>
                      <w:szCs w:val="21"/>
                    </w:rPr>
                    <w:t>吨</w:t>
                  </w:r>
                </w:p>
              </w:tc>
              <w:tc>
                <w:tcPr>
                  <w:tcW w:w="1878" w:type="dxa"/>
                  <w:vAlign w:val="center"/>
                </w:tcPr>
                <w:p w14:paraId="04EF011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2021</w:t>
                  </w:r>
                  <w:r>
                    <w:rPr>
                      <w:rFonts w:ascii="宋体" w:hAnsi="宋体" w:eastAsia="宋体" w:cs="宋体"/>
                      <w:color w:val="auto"/>
                      <w:spacing w:val="-1"/>
                      <w:sz w:val="21"/>
                      <w:szCs w:val="21"/>
                    </w:rPr>
                    <w:t>〕</w:t>
                  </w:r>
                  <w:r>
                    <w:rPr>
                      <w:color w:val="auto"/>
                      <w:spacing w:val="-1"/>
                      <w:sz w:val="21"/>
                      <w:szCs w:val="21"/>
                    </w:rPr>
                    <w:t>09</w:t>
                  </w:r>
                  <w:r>
                    <w:rPr>
                      <w:color w:val="auto"/>
                      <w:spacing w:val="18"/>
                      <w:sz w:val="21"/>
                      <w:szCs w:val="21"/>
                    </w:rPr>
                    <w:t xml:space="preserve"> </w:t>
                  </w:r>
                  <w:r>
                    <w:rPr>
                      <w:rFonts w:ascii="宋体" w:hAnsi="宋体" w:eastAsia="宋体" w:cs="宋体"/>
                      <w:color w:val="auto"/>
                      <w:spacing w:val="-1"/>
                      <w:sz w:val="21"/>
                      <w:szCs w:val="21"/>
                    </w:rPr>
                    <w:t>号</w:t>
                  </w:r>
                </w:p>
              </w:tc>
            </w:tr>
            <w:tr w14:paraId="0F1C57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311" w:type="dxa"/>
                  <w:vAlign w:val="center"/>
                </w:tcPr>
                <w:p w14:paraId="704A7199">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63</w:t>
                  </w:r>
                </w:p>
              </w:tc>
              <w:tc>
                <w:tcPr>
                  <w:tcW w:w="961" w:type="dxa"/>
                  <w:vAlign w:val="center"/>
                </w:tcPr>
                <w:p w14:paraId="4422273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广东联丰科技有限公司</w:t>
                  </w:r>
                </w:p>
              </w:tc>
              <w:tc>
                <w:tcPr>
                  <w:tcW w:w="600" w:type="dxa"/>
                  <w:vAlign w:val="center"/>
                </w:tcPr>
                <w:p w14:paraId="2FFE0FA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73C172D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橡胶和塑料制品业</w:t>
                  </w:r>
                </w:p>
              </w:tc>
              <w:tc>
                <w:tcPr>
                  <w:tcW w:w="1140" w:type="dxa"/>
                  <w:vAlign w:val="center"/>
                </w:tcPr>
                <w:p w14:paraId="7BDCD15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4"/>
                      <w:sz w:val="21"/>
                      <w:szCs w:val="21"/>
                    </w:rPr>
                    <w:t>11862.25</w:t>
                  </w:r>
                </w:p>
              </w:tc>
              <w:tc>
                <w:tcPr>
                  <w:tcW w:w="2053" w:type="dxa"/>
                  <w:vAlign w:val="center"/>
                </w:tcPr>
                <w:p w14:paraId="5F63E65A">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rFonts w:ascii="宋体" w:hAnsi="宋体" w:eastAsia="宋体" w:cs="宋体"/>
                      <w:color w:val="auto"/>
                      <w:spacing w:val="-7"/>
                      <w:sz w:val="21"/>
                      <w:szCs w:val="21"/>
                    </w:rPr>
                    <w:t>年产</w:t>
                  </w:r>
                  <w:r>
                    <w:rPr>
                      <w:color w:val="auto"/>
                      <w:spacing w:val="-7"/>
                      <w:sz w:val="21"/>
                      <w:szCs w:val="21"/>
                    </w:rPr>
                    <w:t xml:space="preserve">HDPE </w:t>
                  </w:r>
                  <w:r>
                    <w:rPr>
                      <w:rFonts w:ascii="宋体" w:hAnsi="宋体" w:eastAsia="宋体" w:cs="宋体"/>
                      <w:color w:val="auto"/>
                      <w:spacing w:val="-7"/>
                      <w:sz w:val="21"/>
                      <w:szCs w:val="21"/>
                    </w:rPr>
                    <w:t>双壁波纹管</w:t>
                  </w:r>
                  <w:r>
                    <w:rPr>
                      <w:rFonts w:ascii="宋体" w:hAnsi="宋体" w:eastAsia="宋体" w:cs="宋体"/>
                      <w:color w:val="auto"/>
                      <w:spacing w:val="-49"/>
                      <w:sz w:val="21"/>
                      <w:szCs w:val="21"/>
                    </w:rPr>
                    <w:t xml:space="preserve"> </w:t>
                  </w:r>
                  <w:r>
                    <w:rPr>
                      <w:color w:val="auto"/>
                      <w:spacing w:val="-7"/>
                      <w:sz w:val="21"/>
                      <w:szCs w:val="21"/>
                    </w:rPr>
                    <w:t xml:space="preserve">2800 </w:t>
                  </w:r>
                  <w:r>
                    <w:rPr>
                      <w:rFonts w:ascii="宋体" w:hAnsi="宋体" w:eastAsia="宋体" w:cs="宋体"/>
                      <w:color w:val="auto"/>
                      <w:spacing w:val="-7"/>
                      <w:sz w:val="21"/>
                      <w:szCs w:val="21"/>
                    </w:rPr>
                    <w:t>吨、</w:t>
                  </w:r>
                  <w:r>
                    <w:rPr>
                      <w:color w:val="auto"/>
                      <w:spacing w:val="-7"/>
                      <w:sz w:val="21"/>
                      <w:szCs w:val="21"/>
                    </w:rPr>
                    <w:t xml:space="preserve">HDPE </w:t>
                  </w:r>
                  <w:r>
                    <w:rPr>
                      <w:rFonts w:ascii="宋体" w:hAnsi="宋体" w:eastAsia="宋体" w:cs="宋体"/>
                      <w:color w:val="auto"/>
                      <w:spacing w:val="-7"/>
                      <w:sz w:val="21"/>
                      <w:szCs w:val="21"/>
                    </w:rPr>
                    <w:t>缠绕管</w:t>
                  </w:r>
                  <w:r>
                    <w:rPr>
                      <w:rFonts w:ascii="宋体" w:hAnsi="宋体" w:eastAsia="宋体" w:cs="宋体"/>
                      <w:color w:val="auto"/>
                      <w:spacing w:val="-62"/>
                      <w:sz w:val="21"/>
                      <w:szCs w:val="21"/>
                    </w:rPr>
                    <w:t xml:space="preserve"> </w:t>
                  </w:r>
                  <w:r>
                    <w:rPr>
                      <w:color w:val="auto"/>
                      <w:spacing w:val="-7"/>
                      <w:sz w:val="21"/>
                      <w:szCs w:val="21"/>
                    </w:rPr>
                    <w:t xml:space="preserve">2350 </w:t>
                  </w:r>
                  <w:r>
                    <w:rPr>
                      <w:rFonts w:ascii="宋体" w:hAnsi="宋体" w:eastAsia="宋体" w:cs="宋体"/>
                      <w:color w:val="auto"/>
                      <w:spacing w:val="-7"/>
                      <w:sz w:val="21"/>
                      <w:szCs w:val="21"/>
                    </w:rPr>
                    <w:t>吨、</w:t>
                  </w:r>
                  <w:r>
                    <w:rPr>
                      <w:color w:val="auto"/>
                      <w:spacing w:val="-7"/>
                      <w:sz w:val="21"/>
                      <w:szCs w:val="21"/>
                    </w:rPr>
                    <w:t>HDPE</w:t>
                  </w:r>
                </w:p>
                <w:p w14:paraId="7F39EACB">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供水管</w:t>
                  </w:r>
                  <w:r>
                    <w:rPr>
                      <w:rFonts w:ascii="宋体" w:hAnsi="宋体" w:eastAsia="宋体" w:cs="宋体"/>
                      <w:color w:val="auto"/>
                      <w:spacing w:val="-42"/>
                      <w:sz w:val="21"/>
                      <w:szCs w:val="21"/>
                    </w:rPr>
                    <w:t xml:space="preserve"> </w:t>
                  </w:r>
                  <w:r>
                    <w:rPr>
                      <w:color w:val="auto"/>
                      <w:spacing w:val="-3"/>
                      <w:sz w:val="21"/>
                      <w:szCs w:val="21"/>
                    </w:rPr>
                    <w:t>2580</w:t>
                  </w:r>
                  <w:r>
                    <w:rPr>
                      <w:color w:val="auto"/>
                      <w:spacing w:val="18"/>
                      <w:w w:val="101"/>
                      <w:sz w:val="21"/>
                      <w:szCs w:val="21"/>
                    </w:rPr>
                    <w:t xml:space="preserve"> </w:t>
                  </w:r>
                  <w:r>
                    <w:rPr>
                      <w:rFonts w:ascii="宋体" w:hAnsi="宋体" w:eastAsia="宋体" w:cs="宋体"/>
                      <w:color w:val="auto"/>
                      <w:spacing w:val="-3"/>
                      <w:sz w:val="21"/>
                      <w:szCs w:val="21"/>
                    </w:rPr>
                    <w:t>吨、</w:t>
                  </w:r>
                  <w:r>
                    <w:rPr>
                      <w:color w:val="auto"/>
                      <w:spacing w:val="-3"/>
                      <w:sz w:val="21"/>
                      <w:szCs w:val="21"/>
                    </w:rPr>
                    <w:t>PVC</w:t>
                  </w:r>
                  <w:r>
                    <w:rPr>
                      <w:color w:val="auto"/>
                      <w:spacing w:val="14"/>
                      <w:w w:val="101"/>
                      <w:sz w:val="21"/>
                      <w:szCs w:val="21"/>
                    </w:rPr>
                    <w:t xml:space="preserve"> </w:t>
                  </w:r>
                  <w:r>
                    <w:rPr>
                      <w:rFonts w:ascii="宋体" w:hAnsi="宋体" w:eastAsia="宋体" w:cs="宋体"/>
                      <w:color w:val="auto"/>
                      <w:spacing w:val="-3"/>
                      <w:sz w:val="21"/>
                      <w:szCs w:val="21"/>
                    </w:rPr>
                    <w:t>管</w:t>
                  </w:r>
                  <w:r>
                    <w:rPr>
                      <w:rFonts w:ascii="宋体" w:hAnsi="宋体" w:eastAsia="宋体" w:cs="宋体"/>
                      <w:color w:val="auto"/>
                      <w:spacing w:val="-48"/>
                      <w:sz w:val="21"/>
                      <w:szCs w:val="21"/>
                    </w:rPr>
                    <w:t xml:space="preserve"> </w:t>
                  </w:r>
                  <w:r>
                    <w:rPr>
                      <w:color w:val="auto"/>
                      <w:spacing w:val="-3"/>
                      <w:sz w:val="21"/>
                      <w:szCs w:val="21"/>
                    </w:rPr>
                    <w:t>2270</w:t>
                  </w:r>
                  <w:r>
                    <w:rPr>
                      <w:color w:val="auto"/>
                      <w:spacing w:val="18"/>
                      <w:w w:val="101"/>
                      <w:sz w:val="21"/>
                      <w:szCs w:val="21"/>
                    </w:rPr>
                    <w:t xml:space="preserve"> </w:t>
                  </w:r>
                  <w:r>
                    <w:rPr>
                      <w:rFonts w:ascii="宋体" w:hAnsi="宋体" w:eastAsia="宋体" w:cs="宋体"/>
                      <w:color w:val="auto"/>
                      <w:spacing w:val="-3"/>
                      <w:sz w:val="21"/>
                      <w:szCs w:val="21"/>
                    </w:rPr>
                    <w:t>吨</w:t>
                  </w:r>
                </w:p>
              </w:tc>
              <w:tc>
                <w:tcPr>
                  <w:tcW w:w="1878" w:type="dxa"/>
                  <w:vAlign w:val="center"/>
                </w:tcPr>
                <w:p w14:paraId="762A085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2025</w:t>
                  </w:r>
                  <w:r>
                    <w:rPr>
                      <w:rFonts w:ascii="宋体" w:hAnsi="宋体" w:eastAsia="宋体" w:cs="宋体"/>
                      <w:color w:val="auto"/>
                      <w:spacing w:val="-1"/>
                      <w:sz w:val="21"/>
                      <w:szCs w:val="21"/>
                    </w:rPr>
                    <w:t>〕</w:t>
                  </w:r>
                  <w:r>
                    <w:rPr>
                      <w:color w:val="auto"/>
                      <w:spacing w:val="-1"/>
                      <w:sz w:val="21"/>
                      <w:szCs w:val="21"/>
                    </w:rPr>
                    <w:t>03</w:t>
                  </w:r>
                  <w:r>
                    <w:rPr>
                      <w:color w:val="auto"/>
                      <w:spacing w:val="18"/>
                      <w:sz w:val="21"/>
                      <w:szCs w:val="21"/>
                    </w:rPr>
                    <w:t xml:space="preserve"> </w:t>
                  </w:r>
                  <w:r>
                    <w:rPr>
                      <w:rFonts w:ascii="宋体" w:hAnsi="宋体" w:eastAsia="宋体" w:cs="宋体"/>
                      <w:color w:val="auto"/>
                      <w:spacing w:val="-1"/>
                      <w:sz w:val="21"/>
                      <w:szCs w:val="21"/>
                    </w:rPr>
                    <w:t>号</w:t>
                  </w:r>
                </w:p>
              </w:tc>
            </w:tr>
            <w:tr w14:paraId="5CA137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311" w:type="dxa"/>
                  <w:vAlign w:val="center"/>
                </w:tcPr>
                <w:p w14:paraId="29864EB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64</w:t>
                  </w:r>
                </w:p>
              </w:tc>
              <w:tc>
                <w:tcPr>
                  <w:tcW w:w="961" w:type="dxa"/>
                  <w:vAlign w:val="center"/>
                </w:tcPr>
                <w:p w14:paraId="526FD97C">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材通</w:t>
                  </w:r>
                  <w:r>
                    <w:rPr>
                      <w:color w:val="auto"/>
                      <w:spacing w:val="-1"/>
                      <w:sz w:val="21"/>
                      <w:szCs w:val="21"/>
                    </w:rPr>
                    <w:t>(</w:t>
                  </w:r>
                  <w:r>
                    <w:rPr>
                      <w:rFonts w:ascii="宋体" w:hAnsi="宋体" w:eastAsia="宋体" w:cs="宋体"/>
                      <w:color w:val="auto"/>
                      <w:spacing w:val="-1"/>
                      <w:sz w:val="21"/>
                      <w:szCs w:val="21"/>
                    </w:rPr>
                    <w:t>乐昌</w:t>
                  </w:r>
                  <w:r>
                    <w:rPr>
                      <w:color w:val="auto"/>
                      <w:spacing w:val="-1"/>
                      <w:sz w:val="21"/>
                      <w:szCs w:val="21"/>
                    </w:rPr>
                    <w:t>)</w:t>
                  </w:r>
                  <w:r>
                    <w:rPr>
                      <w:rFonts w:ascii="宋体" w:hAnsi="宋体" w:eastAsia="宋体" w:cs="宋体"/>
                      <w:color w:val="auto"/>
                      <w:spacing w:val="-1"/>
                      <w:sz w:val="21"/>
                      <w:szCs w:val="21"/>
                    </w:rPr>
                    <w:t>管业科技有限公司</w:t>
                  </w:r>
                </w:p>
              </w:tc>
              <w:tc>
                <w:tcPr>
                  <w:tcW w:w="600" w:type="dxa"/>
                  <w:vAlign w:val="center"/>
                </w:tcPr>
                <w:p w14:paraId="6853C9A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6C91CE8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橡胶和塑料制品业</w:t>
                  </w:r>
                </w:p>
              </w:tc>
              <w:tc>
                <w:tcPr>
                  <w:tcW w:w="1140" w:type="dxa"/>
                  <w:vAlign w:val="center"/>
                </w:tcPr>
                <w:p w14:paraId="33B112E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47574.68</w:t>
                  </w:r>
                </w:p>
              </w:tc>
              <w:tc>
                <w:tcPr>
                  <w:tcW w:w="2053" w:type="dxa"/>
                  <w:vAlign w:val="center"/>
                </w:tcPr>
                <w:p w14:paraId="6C15FAF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年产</w:t>
                  </w:r>
                  <w:r>
                    <w:rPr>
                      <w:rFonts w:ascii="宋体" w:hAnsi="宋体" w:eastAsia="宋体" w:cs="宋体"/>
                      <w:color w:val="auto"/>
                      <w:spacing w:val="-47"/>
                      <w:sz w:val="21"/>
                      <w:szCs w:val="21"/>
                    </w:rPr>
                    <w:t xml:space="preserve"> </w:t>
                  </w:r>
                  <w:r>
                    <w:rPr>
                      <w:color w:val="auto"/>
                      <w:spacing w:val="-4"/>
                      <w:sz w:val="21"/>
                      <w:szCs w:val="21"/>
                    </w:rPr>
                    <w:t>PVC</w:t>
                  </w:r>
                  <w:r>
                    <w:rPr>
                      <w:color w:val="auto"/>
                      <w:spacing w:val="15"/>
                      <w:sz w:val="21"/>
                      <w:szCs w:val="21"/>
                    </w:rPr>
                    <w:t xml:space="preserve"> </w:t>
                  </w:r>
                  <w:r>
                    <w:rPr>
                      <w:rFonts w:ascii="宋体" w:hAnsi="宋体" w:eastAsia="宋体" w:cs="宋体"/>
                      <w:color w:val="auto"/>
                      <w:spacing w:val="-4"/>
                      <w:sz w:val="21"/>
                      <w:szCs w:val="21"/>
                    </w:rPr>
                    <w:t>管材</w:t>
                  </w:r>
                  <w:r>
                    <w:rPr>
                      <w:rFonts w:ascii="宋体" w:hAnsi="宋体" w:eastAsia="宋体" w:cs="宋体"/>
                      <w:color w:val="auto"/>
                      <w:spacing w:val="-28"/>
                      <w:sz w:val="21"/>
                      <w:szCs w:val="21"/>
                    </w:rPr>
                    <w:t xml:space="preserve"> </w:t>
                  </w:r>
                  <w:r>
                    <w:rPr>
                      <w:color w:val="auto"/>
                      <w:spacing w:val="-4"/>
                      <w:sz w:val="21"/>
                      <w:szCs w:val="21"/>
                    </w:rPr>
                    <w:t>16820</w:t>
                  </w:r>
                  <w:r>
                    <w:rPr>
                      <w:color w:val="auto"/>
                      <w:spacing w:val="16"/>
                      <w:w w:val="101"/>
                      <w:sz w:val="21"/>
                      <w:szCs w:val="21"/>
                    </w:rPr>
                    <w:t xml:space="preserve"> </w:t>
                  </w:r>
                  <w:r>
                    <w:rPr>
                      <w:rFonts w:ascii="宋体" w:hAnsi="宋体" w:eastAsia="宋体" w:cs="宋体"/>
                      <w:color w:val="auto"/>
                      <w:spacing w:val="-4"/>
                      <w:sz w:val="21"/>
                      <w:szCs w:val="21"/>
                    </w:rPr>
                    <w:t>吨</w:t>
                  </w:r>
                </w:p>
              </w:tc>
              <w:tc>
                <w:tcPr>
                  <w:tcW w:w="1878" w:type="dxa"/>
                  <w:vAlign w:val="center"/>
                </w:tcPr>
                <w:p w14:paraId="0E3CF65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乐环审〔</w:t>
                  </w:r>
                  <w:r>
                    <w:rPr>
                      <w:color w:val="auto"/>
                      <w:spacing w:val="-1"/>
                      <w:sz w:val="21"/>
                      <w:szCs w:val="21"/>
                    </w:rPr>
                    <w:t>2020</w:t>
                  </w:r>
                  <w:r>
                    <w:rPr>
                      <w:rFonts w:ascii="宋体" w:hAnsi="宋体" w:eastAsia="宋体" w:cs="宋体"/>
                      <w:color w:val="auto"/>
                      <w:spacing w:val="-1"/>
                      <w:sz w:val="21"/>
                      <w:szCs w:val="21"/>
                    </w:rPr>
                    <w:t>〕</w:t>
                  </w:r>
                  <w:r>
                    <w:rPr>
                      <w:color w:val="auto"/>
                      <w:spacing w:val="-1"/>
                      <w:sz w:val="21"/>
                      <w:szCs w:val="21"/>
                    </w:rPr>
                    <w:t xml:space="preserve">08 </w:t>
                  </w:r>
                  <w:r>
                    <w:rPr>
                      <w:rFonts w:ascii="宋体" w:hAnsi="宋体" w:eastAsia="宋体" w:cs="宋体"/>
                      <w:color w:val="auto"/>
                      <w:spacing w:val="-1"/>
                      <w:sz w:val="21"/>
                      <w:szCs w:val="21"/>
                    </w:rPr>
                    <w:t>号</w:t>
                  </w:r>
                </w:p>
              </w:tc>
            </w:tr>
            <w:tr w14:paraId="5E0FE2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311" w:type="dxa"/>
                  <w:vAlign w:val="center"/>
                </w:tcPr>
                <w:p w14:paraId="5BA28E12">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65</w:t>
                  </w:r>
                </w:p>
              </w:tc>
              <w:tc>
                <w:tcPr>
                  <w:tcW w:w="961" w:type="dxa"/>
                  <w:vAlign w:val="center"/>
                </w:tcPr>
                <w:p w14:paraId="1BB40F5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乐昌市鑫东穗汽车用品有限</w:t>
                  </w:r>
                </w:p>
                <w:p w14:paraId="35B059A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公司</w:t>
                  </w:r>
                </w:p>
              </w:tc>
              <w:tc>
                <w:tcPr>
                  <w:tcW w:w="600" w:type="dxa"/>
                  <w:vAlign w:val="center"/>
                </w:tcPr>
                <w:p w14:paraId="563DA77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76261C7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汽车零部件及配件</w:t>
                  </w:r>
                  <w:r>
                    <w:rPr>
                      <w:rFonts w:ascii="宋体" w:hAnsi="宋体" w:eastAsia="宋体" w:cs="宋体"/>
                      <w:color w:val="auto"/>
                      <w:spacing w:val="-2"/>
                      <w:sz w:val="21"/>
                      <w:szCs w:val="21"/>
                    </w:rPr>
                    <w:t>制造</w:t>
                  </w:r>
                </w:p>
              </w:tc>
              <w:tc>
                <w:tcPr>
                  <w:tcW w:w="1140" w:type="dxa"/>
                  <w:vAlign w:val="center"/>
                </w:tcPr>
                <w:p w14:paraId="7E453B97">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4"/>
                      <w:sz w:val="21"/>
                      <w:szCs w:val="21"/>
                    </w:rPr>
                    <w:t>17932.7</w:t>
                  </w:r>
                </w:p>
              </w:tc>
              <w:tc>
                <w:tcPr>
                  <w:tcW w:w="2053" w:type="dxa"/>
                  <w:vAlign w:val="center"/>
                </w:tcPr>
                <w:p w14:paraId="0AED15B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年产汽车零配件</w:t>
                  </w:r>
                  <w:r>
                    <w:rPr>
                      <w:rFonts w:ascii="宋体" w:hAnsi="宋体" w:eastAsia="宋体" w:cs="宋体"/>
                      <w:color w:val="auto"/>
                      <w:spacing w:val="-42"/>
                      <w:sz w:val="21"/>
                      <w:szCs w:val="21"/>
                    </w:rPr>
                    <w:t xml:space="preserve"> </w:t>
                  </w:r>
                  <w:r>
                    <w:rPr>
                      <w:color w:val="auto"/>
                      <w:spacing w:val="-1"/>
                      <w:sz w:val="21"/>
                      <w:szCs w:val="21"/>
                    </w:rPr>
                    <w:t xml:space="preserve">30 </w:t>
                  </w:r>
                  <w:r>
                    <w:rPr>
                      <w:rFonts w:ascii="宋体" w:hAnsi="宋体" w:eastAsia="宋体" w:cs="宋体"/>
                      <w:color w:val="auto"/>
                      <w:spacing w:val="-1"/>
                      <w:sz w:val="21"/>
                      <w:szCs w:val="21"/>
                    </w:rPr>
                    <w:t>万套</w:t>
                  </w:r>
                </w:p>
              </w:tc>
              <w:tc>
                <w:tcPr>
                  <w:tcW w:w="1878" w:type="dxa"/>
                  <w:vAlign w:val="center"/>
                </w:tcPr>
                <w:p w14:paraId="0FF5F72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乐环审〔</w:t>
                  </w:r>
                  <w:r>
                    <w:rPr>
                      <w:color w:val="auto"/>
                      <w:spacing w:val="-1"/>
                      <w:sz w:val="21"/>
                      <w:szCs w:val="21"/>
                    </w:rPr>
                    <w:t>2021</w:t>
                  </w:r>
                  <w:r>
                    <w:rPr>
                      <w:rFonts w:ascii="宋体" w:hAnsi="宋体" w:eastAsia="宋体" w:cs="宋体"/>
                      <w:color w:val="auto"/>
                      <w:spacing w:val="-1"/>
                      <w:sz w:val="21"/>
                      <w:szCs w:val="21"/>
                    </w:rPr>
                    <w:t>〕</w:t>
                  </w:r>
                  <w:r>
                    <w:rPr>
                      <w:color w:val="auto"/>
                      <w:spacing w:val="-1"/>
                      <w:sz w:val="21"/>
                      <w:szCs w:val="21"/>
                    </w:rPr>
                    <w:t xml:space="preserve">02 </w:t>
                  </w:r>
                  <w:r>
                    <w:rPr>
                      <w:rFonts w:ascii="宋体" w:hAnsi="宋体" w:eastAsia="宋体" w:cs="宋体"/>
                      <w:color w:val="auto"/>
                      <w:spacing w:val="-1"/>
                      <w:sz w:val="21"/>
                      <w:szCs w:val="21"/>
                    </w:rPr>
                    <w:t>号、韶环乐审</w:t>
                  </w:r>
                </w:p>
                <w:p w14:paraId="0BF5FEC8">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w:t>
                  </w:r>
                  <w:r>
                    <w:rPr>
                      <w:color w:val="auto"/>
                      <w:spacing w:val="-4"/>
                      <w:sz w:val="21"/>
                      <w:szCs w:val="21"/>
                    </w:rPr>
                    <w:t>2024</w:t>
                  </w:r>
                  <w:r>
                    <w:rPr>
                      <w:rFonts w:ascii="宋体" w:hAnsi="宋体" w:eastAsia="宋体" w:cs="宋体"/>
                      <w:color w:val="auto"/>
                      <w:spacing w:val="-4"/>
                      <w:sz w:val="21"/>
                      <w:szCs w:val="21"/>
                    </w:rPr>
                    <w:t>〕</w:t>
                  </w:r>
                  <w:r>
                    <w:rPr>
                      <w:color w:val="auto"/>
                      <w:spacing w:val="-4"/>
                      <w:sz w:val="21"/>
                      <w:szCs w:val="21"/>
                    </w:rPr>
                    <w:t>23</w:t>
                  </w:r>
                  <w:r>
                    <w:rPr>
                      <w:color w:val="auto"/>
                      <w:spacing w:val="17"/>
                      <w:sz w:val="21"/>
                      <w:szCs w:val="21"/>
                    </w:rPr>
                    <w:t xml:space="preserve"> </w:t>
                  </w:r>
                  <w:r>
                    <w:rPr>
                      <w:rFonts w:ascii="宋体" w:hAnsi="宋体" w:eastAsia="宋体" w:cs="宋体"/>
                      <w:color w:val="auto"/>
                      <w:spacing w:val="-4"/>
                      <w:sz w:val="21"/>
                      <w:szCs w:val="21"/>
                    </w:rPr>
                    <w:t>号</w:t>
                  </w:r>
                </w:p>
              </w:tc>
            </w:tr>
            <w:tr w14:paraId="3A8F7C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311" w:type="dxa"/>
                  <w:vAlign w:val="center"/>
                </w:tcPr>
                <w:p w14:paraId="378A410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66</w:t>
                  </w:r>
                </w:p>
              </w:tc>
              <w:tc>
                <w:tcPr>
                  <w:tcW w:w="961" w:type="dxa"/>
                  <w:vAlign w:val="center"/>
                </w:tcPr>
                <w:p w14:paraId="3E113F32">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杨氏婴童用品</w:t>
                  </w:r>
                  <w:r>
                    <w:rPr>
                      <w:color w:val="auto"/>
                      <w:spacing w:val="-1"/>
                      <w:sz w:val="21"/>
                      <w:szCs w:val="21"/>
                    </w:rPr>
                    <w:t>(</w:t>
                  </w:r>
                  <w:r>
                    <w:rPr>
                      <w:rFonts w:ascii="宋体" w:hAnsi="宋体" w:eastAsia="宋体" w:cs="宋体"/>
                      <w:color w:val="auto"/>
                      <w:spacing w:val="-1"/>
                      <w:sz w:val="21"/>
                      <w:szCs w:val="21"/>
                    </w:rPr>
                    <w:t>广东</w:t>
                  </w:r>
                  <w:r>
                    <w:rPr>
                      <w:color w:val="auto"/>
                      <w:spacing w:val="-1"/>
                      <w:sz w:val="21"/>
                      <w:szCs w:val="21"/>
                    </w:rPr>
                    <w:t>)</w:t>
                  </w:r>
                  <w:r>
                    <w:rPr>
                      <w:rFonts w:ascii="宋体" w:hAnsi="宋体" w:eastAsia="宋体" w:cs="宋体"/>
                      <w:color w:val="auto"/>
                      <w:spacing w:val="-1"/>
                      <w:sz w:val="21"/>
                      <w:szCs w:val="21"/>
                    </w:rPr>
                    <w:t>有限公司</w:t>
                  </w:r>
                </w:p>
              </w:tc>
              <w:tc>
                <w:tcPr>
                  <w:tcW w:w="600" w:type="dxa"/>
                  <w:vAlign w:val="center"/>
                </w:tcPr>
                <w:p w14:paraId="1A03E61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3D35740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橡胶和塑料制品业</w:t>
                  </w:r>
                </w:p>
              </w:tc>
              <w:tc>
                <w:tcPr>
                  <w:tcW w:w="1140" w:type="dxa"/>
                  <w:vAlign w:val="center"/>
                </w:tcPr>
                <w:p w14:paraId="5E04008B">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20215.42</w:t>
                  </w:r>
                </w:p>
              </w:tc>
              <w:tc>
                <w:tcPr>
                  <w:tcW w:w="2053" w:type="dxa"/>
                  <w:vAlign w:val="center"/>
                </w:tcPr>
                <w:p w14:paraId="4A77F7D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年产奶瓶、水杯</w:t>
                  </w:r>
                  <w:r>
                    <w:rPr>
                      <w:rFonts w:ascii="宋体" w:hAnsi="宋体" w:eastAsia="宋体" w:cs="宋体"/>
                      <w:color w:val="auto"/>
                      <w:spacing w:val="-41"/>
                      <w:sz w:val="21"/>
                      <w:szCs w:val="21"/>
                    </w:rPr>
                    <w:t xml:space="preserve"> </w:t>
                  </w:r>
                  <w:r>
                    <w:rPr>
                      <w:color w:val="auto"/>
                      <w:spacing w:val="-1"/>
                      <w:sz w:val="21"/>
                      <w:szCs w:val="21"/>
                    </w:rPr>
                    <w:t xml:space="preserve">600 </w:t>
                  </w:r>
                  <w:r>
                    <w:rPr>
                      <w:rFonts w:ascii="宋体" w:hAnsi="宋体" w:eastAsia="宋体" w:cs="宋体"/>
                      <w:color w:val="auto"/>
                      <w:spacing w:val="-1"/>
                      <w:sz w:val="21"/>
                      <w:szCs w:val="21"/>
                    </w:rPr>
                    <w:t>万件</w:t>
                  </w:r>
                </w:p>
              </w:tc>
              <w:tc>
                <w:tcPr>
                  <w:tcW w:w="1878" w:type="dxa"/>
                  <w:vAlign w:val="center"/>
                </w:tcPr>
                <w:p w14:paraId="3286511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2023</w:t>
                  </w:r>
                  <w:r>
                    <w:rPr>
                      <w:rFonts w:ascii="宋体" w:hAnsi="宋体" w:eastAsia="宋体" w:cs="宋体"/>
                      <w:color w:val="auto"/>
                      <w:spacing w:val="-1"/>
                      <w:sz w:val="21"/>
                      <w:szCs w:val="21"/>
                    </w:rPr>
                    <w:t>〕</w:t>
                  </w:r>
                  <w:r>
                    <w:rPr>
                      <w:color w:val="auto"/>
                      <w:spacing w:val="-1"/>
                      <w:sz w:val="21"/>
                      <w:szCs w:val="21"/>
                    </w:rPr>
                    <w:t>06</w:t>
                  </w:r>
                  <w:r>
                    <w:rPr>
                      <w:color w:val="auto"/>
                      <w:spacing w:val="18"/>
                      <w:sz w:val="21"/>
                      <w:szCs w:val="21"/>
                    </w:rPr>
                    <w:t xml:space="preserve"> </w:t>
                  </w:r>
                  <w:r>
                    <w:rPr>
                      <w:rFonts w:ascii="宋体" w:hAnsi="宋体" w:eastAsia="宋体" w:cs="宋体"/>
                      <w:color w:val="auto"/>
                      <w:spacing w:val="-1"/>
                      <w:sz w:val="21"/>
                      <w:szCs w:val="21"/>
                    </w:rPr>
                    <w:t>号</w:t>
                  </w:r>
                </w:p>
              </w:tc>
            </w:tr>
            <w:tr w14:paraId="6C4BE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6765ED57">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67</w:t>
                  </w:r>
                </w:p>
              </w:tc>
              <w:tc>
                <w:tcPr>
                  <w:tcW w:w="961" w:type="dxa"/>
                  <w:vAlign w:val="center"/>
                </w:tcPr>
                <w:p w14:paraId="25307B3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广东邦嘉硅胶科技有限公司</w:t>
                  </w:r>
                </w:p>
              </w:tc>
              <w:tc>
                <w:tcPr>
                  <w:tcW w:w="600" w:type="dxa"/>
                  <w:vAlign w:val="center"/>
                </w:tcPr>
                <w:p w14:paraId="67CA879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591C6DC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橡胶和塑料制品业</w:t>
                  </w:r>
                </w:p>
              </w:tc>
              <w:tc>
                <w:tcPr>
                  <w:tcW w:w="1140" w:type="dxa"/>
                  <w:vAlign w:val="center"/>
                </w:tcPr>
                <w:p w14:paraId="0AB17DF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36000</w:t>
                  </w:r>
                </w:p>
              </w:tc>
              <w:tc>
                <w:tcPr>
                  <w:tcW w:w="2053" w:type="dxa"/>
                  <w:vAlign w:val="center"/>
                </w:tcPr>
                <w:p w14:paraId="7289521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103" w:hanging="431"/>
                    <w:jc w:val="center"/>
                    <w:textAlignment w:val="baseline"/>
                    <w:rPr>
                      <w:rFonts w:ascii="宋体" w:hAnsi="宋体" w:eastAsia="宋体" w:cs="宋体"/>
                      <w:color w:val="auto"/>
                      <w:sz w:val="21"/>
                      <w:szCs w:val="21"/>
                    </w:rPr>
                  </w:pPr>
                  <w:r>
                    <w:rPr>
                      <w:rFonts w:ascii="宋体" w:hAnsi="宋体" w:eastAsia="宋体" w:cs="宋体"/>
                      <w:color w:val="auto"/>
                      <w:spacing w:val="-5"/>
                      <w:sz w:val="21"/>
                      <w:szCs w:val="21"/>
                    </w:rPr>
                    <w:t>年产固体硅胶</w:t>
                  </w:r>
                  <w:r>
                    <w:rPr>
                      <w:rFonts w:ascii="宋体" w:hAnsi="宋体" w:eastAsia="宋体" w:cs="宋体"/>
                      <w:color w:val="auto"/>
                      <w:spacing w:val="-40"/>
                      <w:sz w:val="21"/>
                      <w:szCs w:val="21"/>
                    </w:rPr>
                    <w:t xml:space="preserve"> </w:t>
                  </w:r>
                  <w:r>
                    <w:rPr>
                      <w:color w:val="auto"/>
                      <w:spacing w:val="-5"/>
                      <w:sz w:val="21"/>
                      <w:szCs w:val="21"/>
                    </w:rPr>
                    <w:t>300</w:t>
                  </w:r>
                  <w:r>
                    <w:rPr>
                      <w:color w:val="auto"/>
                      <w:spacing w:val="19"/>
                      <w:sz w:val="21"/>
                      <w:szCs w:val="21"/>
                    </w:rPr>
                    <w:t xml:space="preserve"> </w:t>
                  </w:r>
                  <w:r>
                    <w:rPr>
                      <w:rFonts w:ascii="宋体" w:hAnsi="宋体" w:eastAsia="宋体" w:cs="宋体"/>
                      <w:color w:val="auto"/>
                      <w:spacing w:val="-5"/>
                      <w:sz w:val="21"/>
                      <w:szCs w:val="21"/>
                    </w:rPr>
                    <w:t>吨、注塑件</w:t>
                  </w:r>
                  <w:r>
                    <w:rPr>
                      <w:rFonts w:ascii="宋体" w:hAnsi="宋体" w:eastAsia="宋体" w:cs="宋体"/>
                      <w:color w:val="auto"/>
                      <w:spacing w:val="-44"/>
                      <w:sz w:val="21"/>
                      <w:szCs w:val="21"/>
                    </w:rPr>
                    <w:t xml:space="preserve"> </w:t>
                  </w:r>
                  <w:r>
                    <w:rPr>
                      <w:color w:val="auto"/>
                      <w:spacing w:val="-5"/>
                      <w:sz w:val="21"/>
                      <w:szCs w:val="21"/>
                    </w:rPr>
                    <w:t>300</w:t>
                  </w:r>
                  <w:r>
                    <w:rPr>
                      <w:color w:val="auto"/>
                      <w:spacing w:val="14"/>
                      <w:sz w:val="21"/>
                      <w:szCs w:val="21"/>
                    </w:rPr>
                    <w:t xml:space="preserve"> </w:t>
                  </w:r>
                  <w:r>
                    <w:rPr>
                      <w:rFonts w:ascii="宋体" w:hAnsi="宋体" w:eastAsia="宋体" w:cs="宋体"/>
                      <w:color w:val="auto"/>
                      <w:spacing w:val="-5"/>
                      <w:sz w:val="21"/>
                      <w:szCs w:val="21"/>
                    </w:rPr>
                    <w:t>万件、硅胶件（奶嘴）</w:t>
                  </w:r>
                  <w:r>
                    <w:rPr>
                      <w:color w:val="auto"/>
                      <w:spacing w:val="-5"/>
                      <w:sz w:val="21"/>
                      <w:szCs w:val="21"/>
                    </w:rPr>
                    <w:t>100</w:t>
                  </w:r>
                  <w:r>
                    <w:rPr>
                      <w:rFonts w:ascii="宋体" w:hAnsi="宋体" w:eastAsia="宋体" w:cs="宋体"/>
                      <w:color w:val="auto"/>
                      <w:spacing w:val="-2"/>
                      <w:sz w:val="21"/>
                      <w:szCs w:val="21"/>
                    </w:rPr>
                    <w:t>万个、玻璃奶瓶</w:t>
                  </w:r>
                  <w:r>
                    <w:rPr>
                      <w:rFonts w:ascii="宋体" w:hAnsi="宋体" w:eastAsia="宋体" w:cs="宋体"/>
                      <w:color w:val="auto"/>
                      <w:spacing w:val="-28"/>
                      <w:sz w:val="21"/>
                      <w:szCs w:val="21"/>
                    </w:rPr>
                    <w:t xml:space="preserve"> </w:t>
                  </w:r>
                  <w:r>
                    <w:rPr>
                      <w:color w:val="auto"/>
                      <w:spacing w:val="-2"/>
                      <w:sz w:val="21"/>
                      <w:szCs w:val="21"/>
                    </w:rPr>
                    <w:t xml:space="preserve">100 </w:t>
                  </w:r>
                  <w:r>
                    <w:rPr>
                      <w:rFonts w:ascii="宋体" w:hAnsi="宋体" w:eastAsia="宋体" w:cs="宋体"/>
                      <w:color w:val="auto"/>
                      <w:spacing w:val="-2"/>
                      <w:sz w:val="21"/>
                      <w:szCs w:val="21"/>
                    </w:rPr>
                    <w:t>万个、硅胶护层产品</w:t>
                  </w:r>
                  <w:r>
                    <w:rPr>
                      <w:rFonts w:ascii="宋体" w:hAnsi="宋体" w:eastAsia="宋体" w:cs="宋体"/>
                      <w:color w:val="auto"/>
                      <w:spacing w:val="-27"/>
                      <w:sz w:val="21"/>
                      <w:szCs w:val="21"/>
                    </w:rPr>
                    <w:t xml:space="preserve"> </w:t>
                  </w:r>
                  <w:r>
                    <w:rPr>
                      <w:color w:val="auto"/>
                      <w:spacing w:val="-2"/>
                      <w:sz w:val="21"/>
                      <w:szCs w:val="21"/>
                    </w:rPr>
                    <w:t xml:space="preserve">100 </w:t>
                  </w:r>
                  <w:r>
                    <w:rPr>
                      <w:rFonts w:ascii="宋体" w:hAnsi="宋体" w:eastAsia="宋体" w:cs="宋体"/>
                      <w:color w:val="auto"/>
                      <w:spacing w:val="-3"/>
                      <w:sz w:val="21"/>
                      <w:szCs w:val="21"/>
                    </w:rPr>
                    <w:t>万件</w:t>
                  </w:r>
                </w:p>
              </w:tc>
              <w:tc>
                <w:tcPr>
                  <w:tcW w:w="1878" w:type="dxa"/>
                  <w:vAlign w:val="center"/>
                </w:tcPr>
                <w:p w14:paraId="351121A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韶关乐审〔</w:t>
                  </w:r>
                  <w:r>
                    <w:rPr>
                      <w:color w:val="auto"/>
                      <w:spacing w:val="-1"/>
                      <w:sz w:val="21"/>
                      <w:szCs w:val="21"/>
                    </w:rPr>
                    <w:t>2023</w:t>
                  </w:r>
                  <w:r>
                    <w:rPr>
                      <w:rFonts w:ascii="宋体" w:hAnsi="宋体" w:eastAsia="宋体" w:cs="宋体"/>
                      <w:color w:val="auto"/>
                      <w:spacing w:val="-1"/>
                      <w:sz w:val="21"/>
                      <w:szCs w:val="21"/>
                    </w:rPr>
                    <w:t>〕</w:t>
                  </w:r>
                  <w:r>
                    <w:rPr>
                      <w:color w:val="auto"/>
                      <w:spacing w:val="-1"/>
                      <w:sz w:val="21"/>
                      <w:szCs w:val="21"/>
                    </w:rPr>
                    <w:t>03</w:t>
                  </w:r>
                  <w:r>
                    <w:rPr>
                      <w:color w:val="auto"/>
                      <w:spacing w:val="18"/>
                      <w:sz w:val="21"/>
                      <w:szCs w:val="21"/>
                    </w:rPr>
                    <w:t xml:space="preserve"> </w:t>
                  </w:r>
                  <w:r>
                    <w:rPr>
                      <w:rFonts w:ascii="宋体" w:hAnsi="宋体" w:eastAsia="宋体" w:cs="宋体"/>
                      <w:color w:val="auto"/>
                      <w:spacing w:val="-1"/>
                      <w:sz w:val="21"/>
                      <w:szCs w:val="21"/>
                    </w:rPr>
                    <w:t>号</w:t>
                  </w:r>
                </w:p>
              </w:tc>
            </w:tr>
            <w:tr w14:paraId="03A53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6EB9A0F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68</w:t>
                  </w:r>
                </w:p>
              </w:tc>
              <w:tc>
                <w:tcPr>
                  <w:tcW w:w="961" w:type="dxa"/>
                  <w:vAlign w:val="center"/>
                </w:tcPr>
                <w:p w14:paraId="302206C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广东奕宸汽车科技有限公司</w:t>
                  </w:r>
                </w:p>
              </w:tc>
              <w:tc>
                <w:tcPr>
                  <w:tcW w:w="600" w:type="dxa"/>
                  <w:vAlign w:val="center"/>
                </w:tcPr>
                <w:p w14:paraId="4B2075A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0A4CE35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汽车零部件及配件</w:t>
                  </w:r>
                  <w:r>
                    <w:rPr>
                      <w:rFonts w:ascii="宋体" w:hAnsi="宋体" w:eastAsia="宋体" w:cs="宋体"/>
                      <w:color w:val="auto"/>
                      <w:spacing w:val="-2"/>
                      <w:sz w:val="21"/>
                      <w:szCs w:val="21"/>
                    </w:rPr>
                    <w:t>制造</w:t>
                  </w:r>
                </w:p>
              </w:tc>
              <w:tc>
                <w:tcPr>
                  <w:tcW w:w="1140" w:type="dxa"/>
                  <w:vAlign w:val="center"/>
                </w:tcPr>
                <w:p w14:paraId="7F26E6F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33915.52</w:t>
                  </w:r>
                </w:p>
              </w:tc>
              <w:tc>
                <w:tcPr>
                  <w:tcW w:w="2053" w:type="dxa"/>
                  <w:vAlign w:val="center"/>
                </w:tcPr>
                <w:p w14:paraId="31711DAA">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年产汽车散热器</w:t>
                  </w:r>
                  <w:r>
                    <w:rPr>
                      <w:rFonts w:ascii="宋体" w:hAnsi="宋体" w:eastAsia="宋体" w:cs="宋体"/>
                      <w:color w:val="auto"/>
                      <w:spacing w:val="-42"/>
                      <w:sz w:val="21"/>
                      <w:szCs w:val="21"/>
                    </w:rPr>
                    <w:t xml:space="preserve"> </w:t>
                  </w:r>
                  <w:r>
                    <w:rPr>
                      <w:color w:val="auto"/>
                      <w:spacing w:val="-1"/>
                      <w:sz w:val="21"/>
                      <w:szCs w:val="21"/>
                    </w:rPr>
                    <w:t xml:space="preserve">50 </w:t>
                  </w:r>
                  <w:r>
                    <w:rPr>
                      <w:rFonts w:ascii="宋体" w:hAnsi="宋体" w:eastAsia="宋体" w:cs="宋体"/>
                      <w:color w:val="auto"/>
                      <w:spacing w:val="-1"/>
                      <w:sz w:val="21"/>
                      <w:szCs w:val="21"/>
                    </w:rPr>
                    <w:t>万件</w:t>
                  </w:r>
                </w:p>
              </w:tc>
              <w:tc>
                <w:tcPr>
                  <w:tcW w:w="1878" w:type="dxa"/>
                  <w:vAlign w:val="center"/>
                </w:tcPr>
                <w:p w14:paraId="0727241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2022</w:t>
                  </w:r>
                  <w:r>
                    <w:rPr>
                      <w:rFonts w:ascii="宋体" w:hAnsi="宋体" w:eastAsia="宋体" w:cs="宋体"/>
                      <w:color w:val="auto"/>
                      <w:spacing w:val="-1"/>
                      <w:sz w:val="21"/>
                      <w:szCs w:val="21"/>
                    </w:rPr>
                    <w:t>〕</w:t>
                  </w:r>
                  <w:r>
                    <w:rPr>
                      <w:color w:val="auto"/>
                      <w:spacing w:val="-1"/>
                      <w:sz w:val="21"/>
                      <w:szCs w:val="21"/>
                    </w:rPr>
                    <w:t>28</w:t>
                  </w:r>
                  <w:r>
                    <w:rPr>
                      <w:color w:val="auto"/>
                      <w:spacing w:val="18"/>
                      <w:sz w:val="21"/>
                      <w:szCs w:val="21"/>
                    </w:rPr>
                    <w:t xml:space="preserve"> </w:t>
                  </w:r>
                  <w:r>
                    <w:rPr>
                      <w:rFonts w:ascii="宋体" w:hAnsi="宋体" w:eastAsia="宋体" w:cs="宋体"/>
                      <w:color w:val="auto"/>
                      <w:spacing w:val="-1"/>
                      <w:sz w:val="21"/>
                      <w:szCs w:val="21"/>
                    </w:rPr>
                    <w:t>号</w:t>
                  </w:r>
                </w:p>
              </w:tc>
            </w:tr>
            <w:tr w14:paraId="07E49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6011FAF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69</w:t>
                  </w:r>
                </w:p>
              </w:tc>
              <w:tc>
                <w:tcPr>
                  <w:tcW w:w="961" w:type="dxa"/>
                  <w:vAlign w:val="center"/>
                </w:tcPr>
                <w:p w14:paraId="1D91A03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广东熙诚环保科技有限公司</w:t>
                  </w:r>
                </w:p>
              </w:tc>
              <w:tc>
                <w:tcPr>
                  <w:tcW w:w="600" w:type="dxa"/>
                  <w:vAlign w:val="center"/>
                </w:tcPr>
                <w:p w14:paraId="37A5874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01CB658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专用设备制造业</w:t>
                  </w:r>
                </w:p>
              </w:tc>
              <w:tc>
                <w:tcPr>
                  <w:tcW w:w="1140" w:type="dxa"/>
                  <w:vAlign w:val="center"/>
                </w:tcPr>
                <w:p w14:paraId="250A007A">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4"/>
                      <w:sz w:val="21"/>
                      <w:szCs w:val="21"/>
                    </w:rPr>
                    <w:t>13335</w:t>
                  </w:r>
                </w:p>
              </w:tc>
              <w:tc>
                <w:tcPr>
                  <w:tcW w:w="2053" w:type="dxa"/>
                  <w:vAlign w:val="center"/>
                </w:tcPr>
                <w:p w14:paraId="383EE49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年产</w:t>
                  </w:r>
                  <w:r>
                    <w:rPr>
                      <w:rFonts w:ascii="宋体" w:hAnsi="宋体" w:eastAsia="宋体" w:cs="宋体"/>
                      <w:color w:val="auto"/>
                      <w:spacing w:val="-36"/>
                      <w:sz w:val="21"/>
                      <w:szCs w:val="21"/>
                    </w:rPr>
                    <w:t xml:space="preserve"> </w:t>
                  </w:r>
                  <w:r>
                    <w:rPr>
                      <w:color w:val="auto"/>
                      <w:spacing w:val="-4"/>
                      <w:sz w:val="21"/>
                      <w:szCs w:val="21"/>
                    </w:rPr>
                    <w:t>PP</w:t>
                  </w:r>
                  <w:r>
                    <w:rPr>
                      <w:color w:val="auto"/>
                      <w:spacing w:val="17"/>
                      <w:sz w:val="21"/>
                      <w:szCs w:val="21"/>
                    </w:rPr>
                    <w:t xml:space="preserve"> </w:t>
                  </w:r>
                  <w:r>
                    <w:rPr>
                      <w:rFonts w:ascii="宋体" w:hAnsi="宋体" w:eastAsia="宋体" w:cs="宋体"/>
                      <w:color w:val="auto"/>
                      <w:spacing w:val="-4"/>
                      <w:sz w:val="21"/>
                      <w:szCs w:val="21"/>
                    </w:rPr>
                    <w:t>喷淋塔</w:t>
                  </w:r>
                  <w:r>
                    <w:rPr>
                      <w:rFonts w:ascii="宋体" w:hAnsi="宋体" w:eastAsia="宋体" w:cs="宋体"/>
                      <w:color w:val="auto"/>
                      <w:spacing w:val="-42"/>
                      <w:sz w:val="21"/>
                      <w:szCs w:val="21"/>
                    </w:rPr>
                    <w:t xml:space="preserve"> </w:t>
                  </w:r>
                  <w:r>
                    <w:rPr>
                      <w:color w:val="auto"/>
                      <w:spacing w:val="-4"/>
                      <w:sz w:val="21"/>
                      <w:szCs w:val="21"/>
                    </w:rPr>
                    <w:t>500</w:t>
                  </w:r>
                  <w:r>
                    <w:rPr>
                      <w:color w:val="auto"/>
                      <w:spacing w:val="22"/>
                      <w:w w:val="101"/>
                      <w:sz w:val="21"/>
                      <w:szCs w:val="21"/>
                    </w:rPr>
                    <w:t xml:space="preserve"> </w:t>
                  </w:r>
                  <w:r>
                    <w:rPr>
                      <w:rFonts w:ascii="宋体" w:hAnsi="宋体" w:eastAsia="宋体" w:cs="宋体"/>
                      <w:color w:val="auto"/>
                      <w:spacing w:val="-4"/>
                      <w:sz w:val="21"/>
                      <w:szCs w:val="21"/>
                    </w:rPr>
                    <w:t>台、</w:t>
                  </w:r>
                  <w:r>
                    <w:rPr>
                      <w:color w:val="auto"/>
                      <w:spacing w:val="-4"/>
                      <w:sz w:val="21"/>
                      <w:szCs w:val="21"/>
                    </w:rPr>
                    <w:t>PP</w:t>
                  </w:r>
                  <w:r>
                    <w:rPr>
                      <w:color w:val="auto"/>
                      <w:spacing w:val="12"/>
                      <w:sz w:val="21"/>
                      <w:szCs w:val="21"/>
                    </w:rPr>
                    <w:t xml:space="preserve"> </w:t>
                  </w:r>
                  <w:r>
                    <w:rPr>
                      <w:rFonts w:ascii="宋体" w:hAnsi="宋体" w:eastAsia="宋体" w:cs="宋体"/>
                      <w:color w:val="auto"/>
                      <w:spacing w:val="-4"/>
                      <w:sz w:val="21"/>
                      <w:szCs w:val="21"/>
                    </w:rPr>
                    <w:t>活性炭吸附箱</w:t>
                  </w:r>
                  <w:r>
                    <w:rPr>
                      <w:rFonts w:ascii="宋体" w:hAnsi="宋体" w:eastAsia="宋体" w:cs="宋体"/>
                      <w:color w:val="auto"/>
                      <w:spacing w:val="-43"/>
                      <w:sz w:val="21"/>
                      <w:szCs w:val="21"/>
                    </w:rPr>
                    <w:t xml:space="preserve"> </w:t>
                  </w:r>
                  <w:r>
                    <w:rPr>
                      <w:color w:val="auto"/>
                      <w:spacing w:val="-4"/>
                      <w:sz w:val="21"/>
                      <w:szCs w:val="21"/>
                    </w:rPr>
                    <w:t>500</w:t>
                  </w:r>
                  <w:r>
                    <w:rPr>
                      <w:color w:val="auto"/>
                      <w:spacing w:val="23"/>
                      <w:w w:val="101"/>
                      <w:sz w:val="21"/>
                      <w:szCs w:val="21"/>
                    </w:rPr>
                    <w:t xml:space="preserve"> </w:t>
                  </w:r>
                  <w:r>
                    <w:rPr>
                      <w:rFonts w:ascii="宋体" w:hAnsi="宋体" w:eastAsia="宋体" w:cs="宋体"/>
                      <w:color w:val="auto"/>
                      <w:spacing w:val="-4"/>
                      <w:sz w:val="21"/>
                      <w:szCs w:val="21"/>
                    </w:rPr>
                    <w:t>台</w:t>
                  </w:r>
                </w:p>
              </w:tc>
              <w:tc>
                <w:tcPr>
                  <w:tcW w:w="1878" w:type="dxa"/>
                  <w:vAlign w:val="center"/>
                </w:tcPr>
                <w:p w14:paraId="4CD184C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2021</w:t>
                  </w:r>
                  <w:r>
                    <w:rPr>
                      <w:rFonts w:ascii="宋体" w:hAnsi="宋体" w:eastAsia="宋体" w:cs="宋体"/>
                      <w:color w:val="auto"/>
                      <w:spacing w:val="-1"/>
                      <w:sz w:val="21"/>
                      <w:szCs w:val="21"/>
                    </w:rPr>
                    <w:t>〕</w:t>
                  </w:r>
                  <w:r>
                    <w:rPr>
                      <w:color w:val="auto"/>
                      <w:spacing w:val="-1"/>
                      <w:sz w:val="21"/>
                      <w:szCs w:val="21"/>
                    </w:rPr>
                    <w:t>09</w:t>
                  </w:r>
                  <w:r>
                    <w:rPr>
                      <w:color w:val="auto"/>
                      <w:spacing w:val="18"/>
                      <w:sz w:val="21"/>
                      <w:szCs w:val="21"/>
                    </w:rPr>
                    <w:t xml:space="preserve"> </w:t>
                  </w:r>
                  <w:r>
                    <w:rPr>
                      <w:rFonts w:ascii="宋体" w:hAnsi="宋体" w:eastAsia="宋体" w:cs="宋体"/>
                      <w:color w:val="auto"/>
                      <w:spacing w:val="-1"/>
                      <w:sz w:val="21"/>
                      <w:szCs w:val="21"/>
                    </w:rPr>
                    <w:t>号</w:t>
                  </w:r>
                </w:p>
              </w:tc>
            </w:tr>
            <w:tr w14:paraId="4E223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311" w:type="dxa"/>
                  <w:vAlign w:val="center"/>
                </w:tcPr>
                <w:p w14:paraId="16D175D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70</w:t>
                  </w:r>
                </w:p>
              </w:tc>
              <w:tc>
                <w:tcPr>
                  <w:tcW w:w="961" w:type="dxa"/>
                  <w:vAlign w:val="center"/>
                </w:tcPr>
                <w:p w14:paraId="35DB84C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韶关市盛源优贝橡塑制品有</w:t>
                  </w:r>
                </w:p>
                <w:p w14:paraId="18E5A8A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5"/>
                      <w:sz w:val="21"/>
                      <w:szCs w:val="21"/>
                    </w:rPr>
                    <w:t>限公司</w:t>
                  </w:r>
                </w:p>
              </w:tc>
              <w:tc>
                <w:tcPr>
                  <w:tcW w:w="600" w:type="dxa"/>
                  <w:vAlign w:val="center"/>
                </w:tcPr>
                <w:p w14:paraId="35BEB6F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3210947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橡胶和塑料制品业</w:t>
                  </w:r>
                </w:p>
              </w:tc>
              <w:tc>
                <w:tcPr>
                  <w:tcW w:w="1140" w:type="dxa"/>
                  <w:vAlign w:val="center"/>
                </w:tcPr>
                <w:p w14:paraId="3616C27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6664</w:t>
                  </w:r>
                </w:p>
              </w:tc>
              <w:tc>
                <w:tcPr>
                  <w:tcW w:w="2053" w:type="dxa"/>
                  <w:vAlign w:val="center"/>
                </w:tcPr>
                <w:p w14:paraId="3649481B">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年产硅胶件</w:t>
                  </w:r>
                  <w:r>
                    <w:rPr>
                      <w:rFonts w:ascii="宋体" w:hAnsi="宋体" w:eastAsia="宋体" w:cs="宋体"/>
                      <w:color w:val="auto"/>
                      <w:spacing w:val="-37"/>
                      <w:sz w:val="21"/>
                      <w:szCs w:val="21"/>
                    </w:rPr>
                    <w:t xml:space="preserve"> </w:t>
                  </w:r>
                  <w:r>
                    <w:rPr>
                      <w:color w:val="auto"/>
                      <w:spacing w:val="-2"/>
                      <w:sz w:val="21"/>
                      <w:szCs w:val="21"/>
                    </w:rPr>
                    <w:t xml:space="preserve">330 </w:t>
                  </w:r>
                  <w:r>
                    <w:rPr>
                      <w:rFonts w:ascii="宋体" w:hAnsi="宋体" w:eastAsia="宋体" w:cs="宋体"/>
                      <w:color w:val="auto"/>
                      <w:spacing w:val="-2"/>
                      <w:sz w:val="21"/>
                      <w:szCs w:val="21"/>
                    </w:rPr>
                    <w:t>万个、注塑件</w:t>
                  </w:r>
                  <w:r>
                    <w:rPr>
                      <w:rFonts w:ascii="宋体" w:hAnsi="宋体" w:eastAsia="宋体" w:cs="宋体"/>
                      <w:color w:val="auto"/>
                      <w:spacing w:val="-47"/>
                      <w:sz w:val="21"/>
                      <w:szCs w:val="21"/>
                    </w:rPr>
                    <w:t xml:space="preserve"> </w:t>
                  </w:r>
                  <w:r>
                    <w:rPr>
                      <w:color w:val="auto"/>
                      <w:spacing w:val="-2"/>
                      <w:sz w:val="21"/>
                      <w:szCs w:val="21"/>
                    </w:rPr>
                    <w:t>200</w:t>
                  </w:r>
                  <w:r>
                    <w:rPr>
                      <w:color w:val="auto"/>
                      <w:spacing w:val="13"/>
                      <w:w w:val="101"/>
                      <w:sz w:val="21"/>
                      <w:szCs w:val="21"/>
                    </w:rPr>
                    <w:t xml:space="preserve"> </w:t>
                  </w:r>
                  <w:r>
                    <w:rPr>
                      <w:rFonts w:ascii="宋体" w:hAnsi="宋体" w:eastAsia="宋体" w:cs="宋体"/>
                      <w:color w:val="auto"/>
                      <w:spacing w:val="-2"/>
                      <w:sz w:val="21"/>
                      <w:szCs w:val="21"/>
                    </w:rPr>
                    <w:t>万个、吹瓶件</w:t>
                  </w:r>
                  <w:r>
                    <w:rPr>
                      <w:rFonts w:ascii="宋体" w:hAnsi="宋体" w:eastAsia="宋体" w:cs="宋体"/>
                      <w:color w:val="auto"/>
                      <w:spacing w:val="-44"/>
                      <w:sz w:val="21"/>
                      <w:szCs w:val="21"/>
                    </w:rPr>
                    <w:t xml:space="preserve"> </w:t>
                  </w:r>
                  <w:r>
                    <w:rPr>
                      <w:color w:val="auto"/>
                      <w:spacing w:val="-2"/>
                      <w:sz w:val="21"/>
                      <w:szCs w:val="21"/>
                    </w:rPr>
                    <w:t>602</w:t>
                  </w:r>
                  <w:r>
                    <w:rPr>
                      <w:color w:val="auto"/>
                      <w:spacing w:val="14"/>
                      <w:sz w:val="21"/>
                      <w:szCs w:val="21"/>
                    </w:rPr>
                    <w:t xml:space="preserve"> </w:t>
                  </w:r>
                  <w:r>
                    <w:rPr>
                      <w:rFonts w:ascii="宋体" w:hAnsi="宋体" w:eastAsia="宋体" w:cs="宋体"/>
                      <w:color w:val="auto"/>
                      <w:spacing w:val="-2"/>
                      <w:sz w:val="21"/>
                      <w:szCs w:val="21"/>
                    </w:rPr>
                    <w:t>万个</w:t>
                  </w:r>
                </w:p>
              </w:tc>
              <w:tc>
                <w:tcPr>
                  <w:tcW w:w="1878" w:type="dxa"/>
                  <w:vAlign w:val="center"/>
                </w:tcPr>
                <w:p w14:paraId="0DF212E9">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韶关乐审〔</w:t>
                  </w:r>
                  <w:r>
                    <w:rPr>
                      <w:color w:val="auto"/>
                      <w:spacing w:val="-1"/>
                      <w:sz w:val="21"/>
                      <w:szCs w:val="21"/>
                    </w:rPr>
                    <w:t>2022</w:t>
                  </w:r>
                  <w:r>
                    <w:rPr>
                      <w:rFonts w:ascii="宋体" w:hAnsi="宋体" w:eastAsia="宋体" w:cs="宋体"/>
                      <w:color w:val="auto"/>
                      <w:spacing w:val="-1"/>
                      <w:sz w:val="21"/>
                      <w:szCs w:val="21"/>
                    </w:rPr>
                    <w:t>〕</w:t>
                  </w:r>
                  <w:r>
                    <w:rPr>
                      <w:color w:val="auto"/>
                      <w:spacing w:val="-1"/>
                      <w:sz w:val="21"/>
                      <w:szCs w:val="21"/>
                    </w:rPr>
                    <w:t>33</w:t>
                  </w:r>
                  <w:r>
                    <w:rPr>
                      <w:color w:val="auto"/>
                      <w:spacing w:val="18"/>
                      <w:sz w:val="21"/>
                      <w:szCs w:val="21"/>
                    </w:rPr>
                    <w:t xml:space="preserve"> </w:t>
                  </w:r>
                  <w:r>
                    <w:rPr>
                      <w:rFonts w:ascii="宋体" w:hAnsi="宋体" w:eastAsia="宋体" w:cs="宋体"/>
                      <w:color w:val="auto"/>
                      <w:spacing w:val="-1"/>
                      <w:sz w:val="21"/>
                      <w:szCs w:val="21"/>
                    </w:rPr>
                    <w:t>号</w:t>
                  </w:r>
                </w:p>
              </w:tc>
            </w:tr>
            <w:tr w14:paraId="36F750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311" w:type="dxa"/>
                  <w:vAlign w:val="center"/>
                </w:tcPr>
                <w:p w14:paraId="623BBC0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71</w:t>
                  </w:r>
                </w:p>
              </w:tc>
              <w:tc>
                <w:tcPr>
                  <w:tcW w:w="961" w:type="dxa"/>
                  <w:vAlign w:val="center"/>
                </w:tcPr>
                <w:p w14:paraId="51F49A5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韶关市南源铜材有限公司</w:t>
                  </w:r>
                </w:p>
              </w:tc>
              <w:tc>
                <w:tcPr>
                  <w:tcW w:w="600" w:type="dxa"/>
                  <w:vAlign w:val="center"/>
                </w:tcPr>
                <w:p w14:paraId="7DC2849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07B5B29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4816B88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44981.3</w:t>
                  </w:r>
                </w:p>
              </w:tc>
              <w:tc>
                <w:tcPr>
                  <w:tcW w:w="2053" w:type="dxa"/>
                  <w:vAlign w:val="center"/>
                </w:tcPr>
                <w:p w14:paraId="19D1736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年产含铅黄铜棒</w:t>
                  </w:r>
                  <w:r>
                    <w:rPr>
                      <w:rFonts w:ascii="宋体" w:hAnsi="宋体" w:eastAsia="宋体" w:cs="宋体"/>
                      <w:color w:val="auto"/>
                      <w:spacing w:val="-27"/>
                      <w:sz w:val="21"/>
                      <w:szCs w:val="21"/>
                    </w:rPr>
                    <w:t xml:space="preserve"> </w:t>
                  </w:r>
                  <w:r>
                    <w:rPr>
                      <w:color w:val="auto"/>
                      <w:spacing w:val="-3"/>
                      <w:sz w:val="21"/>
                      <w:szCs w:val="21"/>
                    </w:rPr>
                    <w:t>18000</w:t>
                  </w:r>
                  <w:r>
                    <w:rPr>
                      <w:color w:val="auto"/>
                      <w:spacing w:val="19"/>
                      <w:w w:val="101"/>
                      <w:sz w:val="21"/>
                      <w:szCs w:val="21"/>
                    </w:rPr>
                    <w:t xml:space="preserve"> </w:t>
                  </w:r>
                  <w:r>
                    <w:rPr>
                      <w:rFonts w:ascii="宋体" w:hAnsi="宋体" w:eastAsia="宋体" w:cs="宋体"/>
                      <w:color w:val="auto"/>
                      <w:spacing w:val="-3"/>
                      <w:sz w:val="21"/>
                      <w:szCs w:val="21"/>
                    </w:rPr>
                    <w:t>吨、无铅黄铜棒</w:t>
                  </w:r>
                  <w:r>
                    <w:rPr>
                      <w:rFonts w:ascii="宋体" w:hAnsi="宋体" w:eastAsia="宋体" w:cs="宋体"/>
                      <w:color w:val="auto"/>
                      <w:spacing w:val="-28"/>
                      <w:sz w:val="21"/>
                      <w:szCs w:val="21"/>
                    </w:rPr>
                    <w:t xml:space="preserve"> </w:t>
                  </w:r>
                  <w:r>
                    <w:rPr>
                      <w:color w:val="auto"/>
                      <w:spacing w:val="-3"/>
                      <w:sz w:val="21"/>
                      <w:szCs w:val="21"/>
                    </w:rPr>
                    <w:t>12000</w:t>
                  </w:r>
                  <w:r>
                    <w:rPr>
                      <w:color w:val="auto"/>
                      <w:spacing w:val="16"/>
                      <w:sz w:val="21"/>
                      <w:szCs w:val="21"/>
                    </w:rPr>
                    <w:t xml:space="preserve"> </w:t>
                  </w:r>
                  <w:r>
                    <w:rPr>
                      <w:rFonts w:ascii="宋体" w:hAnsi="宋体" w:eastAsia="宋体" w:cs="宋体"/>
                      <w:color w:val="auto"/>
                      <w:spacing w:val="-3"/>
                      <w:sz w:val="21"/>
                      <w:szCs w:val="21"/>
                    </w:rPr>
                    <w:t>吨</w:t>
                  </w:r>
                </w:p>
              </w:tc>
              <w:tc>
                <w:tcPr>
                  <w:tcW w:w="1878" w:type="dxa"/>
                  <w:vAlign w:val="center"/>
                </w:tcPr>
                <w:p w14:paraId="6FC8B3A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2021</w:t>
                  </w:r>
                  <w:r>
                    <w:rPr>
                      <w:rFonts w:ascii="宋体" w:hAnsi="宋体" w:eastAsia="宋体" w:cs="宋体"/>
                      <w:color w:val="auto"/>
                      <w:spacing w:val="-1"/>
                      <w:sz w:val="21"/>
                      <w:szCs w:val="21"/>
                    </w:rPr>
                    <w:t>〕</w:t>
                  </w:r>
                  <w:r>
                    <w:rPr>
                      <w:color w:val="auto"/>
                      <w:spacing w:val="-1"/>
                      <w:sz w:val="21"/>
                      <w:szCs w:val="21"/>
                    </w:rPr>
                    <w:t>21</w:t>
                  </w:r>
                  <w:r>
                    <w:rPr>
                      <w:color w:val="auto"/>
                      <w:spacing w:val="18"/>
                      <w:sz w:val="21"/>
                      <w:szCs w:val="21"/>
                    </w:rPr>
                    <w:t xml:space="preserve"> </w:t>
                  </w:r>
                  <w:r>
                    <w:rPr>
                      <w:rFonts w:ascii="宋体" w:hAnsi="宋体" w:eastAsia="宋体" w:cs="宋体"/>
                      <w:color w:val="auto"/>
                      <w:spacing w:val="-1"/>
                      <w:sz w:val="21"/>
                      <w:szCs w:val="21"/>
                    </w:rPr>
                    <w:t>号</w:t>
                  </w:r>
                </w:p>
              </w:tc>
            </w:tr>
            <w:tr w14:paraId="541BE9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01284877">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72</w:t>
                  </w:r>
                </w:p>
              </w:tc>
              <w:tc>
                <w:tcPr>
                  <w:tcW w:w="961" w:type="dxa"/>
                  <w:vAlign w:val="center"/>
                </w:tcPr>
                <w:p w14:paraId="16C3F7C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6"/>
                      <w:sz w:val="21"/>
                      <w:szCs w:val="21"/>
                    </w:rPr>
                    <w:t>碧宏自动化（广东）有限责任</w:t>
                  </w:r>
                </w:p>
                <w:p w14:paraId="5E91415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公司</w:t>
                  </w:r>
                </w:p>
              </w:tc>
              <w:tc>
                <w:tcPr>
                  <w:tcW w:w="600" w:type="dxa"/>
                  <w:vAlign w:val="center"/>
                </w:tcPr>
                <w:p w14:paraId="0E44B36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1AB8B20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5"/>
                      <w:sz w:val="21"/>
                      <w:szCs w:val="21"/>
                    </w:rPr>
                    <w:t>通用设备制造业、</w:t>
                  </w:r>
                  <w:r>
                    <w:rPr>
                      <w:rFonts w:ascii="宋体" w:hAnsi="宋体" w:eastAsia="宋体" w:cs="宋体"/>
                      <w:color w:val="auto"/>
                      <w:spacing w:val="-1"/>
                      <w:sz w:val="21"/>
                      <w:szCs w:val="21"/>
                    </w:rPr>
                    <w:t>专用设备制造业</w:t>
                  </w:r>
                </w:p>
              </w:tc>
              <w:tc>
                <w:tcPr>
                  <w:tcW w:w="1140" w:type="dxa"/>
                  <w:vAlign w:val="center"/>
                </w:tcPr>
                <w:p w14:paraId="311CC08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31172.2</w:t>
                  </w:r>
                </w:p>
              </w:tc>
              <w:tc>
                <w:tcPr>
                  <w:tcW w:w="2053" w:type="dxa"/>
                  <w:vAlign w:val="center"/>
                </w:tcPr>
                <w:p w14:paraId="052E9E2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2"/>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年产椭圆印花机</w:t>
                  </w:r>
                  <w:r>
                    <w:rPr>
                      <w:rFonts w:ascii="宋体" w:hAnsi="宋体" w:eastAsia="宋体" w:cs="宋体"/>
                      <w:color w:val="auto"/>
                      <w:spacing w:val="-30"/>
                      <w:sz w:val="21"/>
                      <w:szCs w:val="21"/>
                    </w:rPr>
                    <w:t xml:space="preserve"> </w:t>
                  </w:r>
                  <w:r>
                    <w:rPr>
                      <w:color w:val="auto"/>
                      <w:spacing w:val="-8"/>
                      <w:sz w:val="21"/>
                      <w:szCs w:val="21"/>
                    </w:rPr>
                    <w:t>500</w:t>
                  </w:r>
                  <w:r>
                    <w:rPr>
                      <w:color w:val="auto"/>
                      <w:spacing w:val="22"/>
                      <w:w w:val="101"/>
                      <w:sz w:val="21"/>
                      <w:szCs w:val="21"/>
                    </w:rPr>
                    <w:t xml:space="preserve"> </w:t>
                  </w:r>
                  <w:r>
                    <w:rPr>
                      <w:rFonts w:ascii="宋体" w:hAnsi="宋体" w:eastAsia="宋体" w:cs="宋体"/>
                      <w:color w:val="auto"/>
                      <w:spacing w:val="-8"/>
                      <w:sz w:val="21"/>
                      <w:szCs w:val="21"/>
                    </w:rPr>
                    <w:t>台、数码印花机</w:t>
                  </w:r>
                  <w:r>
                    <w:rPr>
                      <w:rFonts w:ascii="宋体" w:hAnsi="宋体" w:eastAsia="宋体" w:cs="宋体"/>
                      <w:color w:val="auto"/>
                      <w:spacing w:val="-27"/>
                      <w:sz w:val="21"/>
                      <w:szCs w:val="21"/>
                    </w:rPr>
                    <w:t xml:space="preserve"> </w:t>
                  </w:r>
                  <w:r>
                    <w:rPr>
                      <w:color w:val="auto"/>
                      <w:spacing w:val="-8"/>
                      <w:sz w:val="21"/>
                      <w:szCs w:val="21"/>
                    </w:rPr>
                    <w:t>100</w:t>
                  </w:r>
                  <w:r>
                    <w:rPr>
                      <w:color w:val="auto"/>
                      <w:spacing w:val="22"/>
                      <w:w w:val="101"/>
                      <w:sz w:val="21"/>
                      <w:szCs w:val="21"/>
                    </w:rPr>
                    <w:t xml:space="preserve"> </w:t>
                  </w:r>
                  <w:r>
                    <w:rPr>
                      <w:rFonts w:ascii="宋体" w:hAnsi="宋体" w:eastAsia="宋体" w:cs="宋体"/>
                      <w:color w:val="auto"/>
                      <w:spacing w:val="-8"/>
                      <w:sz w:val="21"/>
                      <w:szCs w:val="21"/>
                    </w:rPr>
                    <w:t>台、拉网机</w:t>
                  </w:r>
                  <w:r>
                    <w:rPr>
                      <w:rFonts w:ascii="宋体" w:hAnsi="宋体" w:eastAsia="宋体" w:cs="宋体"/>
                      <w:color w:val="auto"/>
                      <w:spacing w:val="-28"/>
                      <w:sz w:val="21"/>
                      <w:szCs w:val="21"/>
                    </w:rPr>
                    <w:t xml:space="preserve"> </w:t>
                  </w:r>
                  <w:r>
                    <w:rPr>
                      <w:color w:val="auto"/>
                      <w:spacing w:val="-8"/>
                      <w:sz w:val="21"/>
                      <w:szCs w:val="21"/>
                    </w:rPr>
                    <w:t>100</w:t>
                  </w:r>
                  <w:r>
                    <w:rPr>
                      <w:color w:val="auto"/>
                      <w:spacing w:val="23"/>
                      <w:sz w:val="21"/>
                      <w:szCs w:val="21"/>
                    </w:rPr>
                    <w:t xml:space="preserve"> </w:t>
                  </w:r>
                  <w:r>
                    <w:rPr>
                      <w:rFonts w:ascii="宋体" w:hAnsi="宋体" w:eastAsia="宋体" w:cs="宋体"/>
                      <w:color w:val="auto"/>
                      <w:spacing w:val="-8"/>
                      <w:sz w:val="21"/>
                      <w:szCs w:val="21"/>
                    </w:rPr>
                    <w:t>台、</w:t>
                  </w:r>
                </w:p>
                <w:p w14:paraId="1E5CAC2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激光切割机</w:t>
                  </w:r>
                  <w:r>
                    <w:rPr>
                      <w:rFonts w:ascii="宋体" w:hAnsi="宋体" w:eastAsia="宋体" w:cs="宋体"/>
                      <w:color w:val="auto"/>
                      <w:spacing w:val="-40"/>
                      <w:sz w:val="21"/>
                      <w:szCs w:val="21"/>
                    </w:rPr>
                    <w:t xml:space="preserve"> </w:t>
                  </w:r>
                  <w:r>
                    <w:rPr>
                      <w:color w:val="auto"/>
                      <w:spacing w:val="-2"/>
                      <w:sz w:val="21"/>
                      <w:szCs w:val="21"/>
                    </w:rPr>
                    <w:t>300</w:t>
                  </w:r>
                  <w:r>
                    <w:rPr>
                      <w:color w:val="auto"/>
                      <w:spacing w:val="23"/>
                      <w:sz w:val="21"/>
                      <w:szCs w:val="21"/>
                    </w:rPr>
                    <w:t xml:space="preserve"> </w:t>
                  </w:r>
                  <w:r>
                    <w:rPr>
                      <w:rFonts w:ascii="宋体" w:hAnsi="宋体" w:eastAsia="宋体" w:cs="宋体"/>
                      <w:color w:val="auto"/>
                      <w:spacing w:val="-2"/>
                      <w:sz w:val="21"/>
                      <w:szCs w:val="21"/>
                    </w:rPr>
                    <w:t>台</w:t>
                  </w:r>
                </w:p>
              </w:tc>
              <w:tc>
                <w:tcPr>
                  <w:tcW w:w="1878" w:type="dxa"/>
                  <w:vAlign w:val="center"/>
                </w:tcPr>
                <w:p w14:paraId="2831126B">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2023</w:t>
                  </w:r>
                  <w:r>
                    <w:rPr>
                      <w:rFonts w:ascii="宋体" w:hAnsi="宋体" w:eastAsia="宋体" w:cs="宋体"/>
                      <w:color w:val="auto"/>
                      <w:spacing w:val="-1"/>
                      <w:sz w:val="21"/>
                      <w:szCs w:val="21"/>
                    </w:rPr>
                    <w:t>〕</w:t>
                  </w:r>
                  <w:r>
                    <w:rPr>
                      <w:color w:val="auto"/>
                      <w:spacing w:val="-1"/>
                      <w:sz w:val="21"/>
                      <w:szCs w:val="21"/>
                    </w:rPr>
                    <w:t>10</w:t>
                  </w:r>
                  <w:r>
                    <w:rPr>
                      <w:color w:val="auto"/>
                      <w:spacing w:val="18"/>
                      <w:sz w:val="21"/>
                      <w:szCs w:val="21"/>
                    </w:rPr>
                    <w:t xml:space="preserve"> </w:t>
                  </w:r>
                  <w:r>
                    <w:rPr>
                      <w:rFonts w:ascii="宋体" w:hAnsi="宋体" w:eastAsia="宋体" w:cs="宋体"/>
                      <w:color w:val="auto"/>
                      <w:spacing w:val="-1"/>
                      <w:sz w:val="21"/>
                      <w:szCs w:val="21"/>
                    </w:rPr>
                    <w:t>号</w:t>
                  </w:r>
                </w:p>
              </w:tc>
            </w:tr>
            <w:tr w14:paraId="15F96A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311" w:type="dxa"/>
                  <w:vAlign w:val="center"/>
                </w:tcPr>
                <w:p w14:paraId="6820BFB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73</w:t>
                  </w:r>
                </w:p>
              </w:tc>
              <w:tc>
                <w:tcPr>
                  <w:tcW w:w="961" w:type="dxa"/>
                  <w:vAlign w:val="center"/>
                </w:tcPr>
                <w:p w14:paraId="5C77029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广东冠益灯饰有限公司</w:t>
                  </w:r>
                </w:p>
              </w:tc>
              <w:tc>
                <w:tcPr>
                  <w:tcW w:w="600" w:type="dxa"/>
                  <w:vAlign w:val="center"/>
                </w:tcPr>
                <w:p w14:paraId="02F8590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4396362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电气机械和器材制</w:t>
                  </w:r>
                  <w:r>
                    <w:rPr>
                      <w:rFonts w:ascii="宋体" w:hAnsi="宋体" w:eastAsia="宋体" w:cs="宋体"/>
                      <w:color w:val="auto"/>
                      <w:spacing w:val="-2"/>
                      <w:sz w:val="21"/>
                      <w:szCs w:val="21"/>
                    </w:rPr>
                    <w:t>造业</w:t>
                  </w:r>
                </w:p>
              </w:tc>
              <w:tc>
                <w:tcPr>
                  <w:tcW w:w="1140" w:type="dxa"/>
                  <w:vAlign w:val="center"/>
                </w:tcPr>
                <w:p w14:paraId="2A88DF07">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4"/>
                      <w:sz w:val="21"/>
                      <w:szCs w:val="21"/>
                    </w:rPr>
                    <w:t>13333.4</w:t>
                  </w:r>
                </w:p>
              </w:tc>
              <w:tc>
                <w:tcPr>
                  <w:tcW w:w="2053" w:type="dxa"/>
                  <w:vAlign w:val="center"/>
                </w:tcPr>
                <w:p w14:paraId="4BDD46E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年产灯串</w:t>
                  </w:r>
                  <w:r>
                    <w:rPr>
                      <w:rFonts w:ascii="宋体" w:hAnsi="宋体" w:eastAsia="宋体" w:cs="宋体"/>
                      <w:color w:val="auto"/>
                      <w:spacing w:val="-40"/>
                      <w:sz w:val="21"/>
                      <w:szCs w:val="21"/>
                    </w:rPr>
                    <w:t xml:space="preserve"> </w:t>
                  </w:r>
                  <w:r>
                    <w:rPr>
                      <w:color w:val="auto"/>
                      <w:spacing w:val="-3"/>
                      <w:sz w:val="21"/>
                      <w:szCs w:val="21"/>
                    </w:rPr>
                    <w:t>200</w:t>
                  </w:r>
                  <w:r>
                    <w:rPr>
                      <w:color w:val="auto"/>
                      <w:spacing w:val="13"/>
                      <w:w w:val="101"/>
                      <w:sz w:val="21"/>
                      <w:szCs w:val="21"/>
                    </w:rPr>
                    <w:t xml:space="preserve"> </w:t>
                  </w:r>
                  <w:r>
                    <w:rPr>
                      <w:rFonts w:ascii="宋体" w:hAnsi="宋体" w:eastAsia="宋体" w:cs="宋体"/>
                      <w:color w:val="auto"/>
                      <w:spacing w:val="-3"/>
                      <w:sz w:val="21"/>
                      <w:szCs w:val="21"/>
                    </w:rPr>
                    <w:t>万套</w:t>
                  </w:r>
                </w:p>
              </w:tc>
              <w:tc>
                <w:tcPr>
                  <w:tcW w:w="1878" w:type="dxa"/>
                  <w:vAlign w:val="center"/>
                </w:tcPr>
                <w:p w14:paraId="1C0FB48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2024</w:t>
                  </w:r>
                  <w:r>
                    <w:rPr>
                      <w:rFonts w:ascii="宋体" w:hAnsi="宋体" w:eastAsia="宋体" w:cs="宋体"/>
                      <w:color w:val="auto"/>
                      <w:spacing w:val="-1"/>
                      <w:sz w:val="21"/>
                      <w:szCs w:val="21"/>
                    </w:rPr>
                    <w:t>〕</w:t>
                  </w:r>
                  <w:r>
                    <w:rPr>
                      <w:color w:val="auto"/>
                      <w:spacing w:val="-1"/>
                      <w:sz w:val="21"/>
                      <w:szCs w:val="21"/>
                    </w:rPr>
                    <w:t>06</w:t>
                  </w:r>
                  <w:r>
                    <w:rPr>
                      <w:color w:val="auto"/>
                      <w:spacing w:val="18"/>
                      <w:sz w:val="21"/>
                      <w:szCs w:val="21"/>
                    </w:rPr>
                    <w:t xml:space="preserve"> </w:t>
                  </w:r>
                  <w:r>
                    <w:rPr>
                      <w:rFonts w:ascii="宋体" w:hAnsi="宋体" w:eastAsia="宋体" w:cs="宋体"/>
                      <w:color w:val="auto"/>
                      <w:spacing w:val="-1"/>
                      <w:sz w:val="21"/>
                      <w:szCs w:val="21"/>
                    </w:rPr>
                    <w:t>号</w:t>
                  </w:r>
                </w:p>
              </w:tc>
            </w:tr>
            <w:tr w14:paraId="40FECF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3B2A70A7">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74</w:t>
                  </w:r>
                </w:p>
              </w:tc>
              <w:tc>
                <w:tcPr>
                  <w:tcW w:w="961" w:type="dxa"/>
                  <w:vAlign w:val="center"/>
                </w:tcPr>
                <w:p w14:paraId="0FD7F18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韶关三和磁材电子有限公司</w:t>
                  </w:r>
                </w:p>
              </w:tc>
              <w:tc>
                <w:tcPr>
                  <w:tcW w:w="600" w:type="dxa"/>
                  <w:vAlign w:val="center"/>
                </w:tcPr>
                <w:p w14:paraId="7E4087F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2FE030D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计算机、通信和其他电子设备制造业</w:t>
                  </w:r>
                </w:p>
              </w:tc>
              <w:tc>
                <w:tcPr>
                  <w:tcW w:w="1140" w:type="dxa"/>
                  <w:vAlign w:val="center"/>
                </w:tcPr>
                <w:p w14:paraId="49BEE6E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27014.09</w:t>
                  </w:r>
                </w:p>
              </w:tc>
              <w:tc>
                <w:tcPr>
                  <w:tcW w:w="2053" w:type="dxa"/>
                  <w:vAlign w:val="center"/>
                </w:tcPr>
                <w:p w14:paraId="5AF6F89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年产干法铁氧体磁铁</w:t>
                  </w:r>
                  <w:r>
                    <w:rPr>
                      <w:rFonts w:ascii="宋体" w:hAnsi="宋体" w:eastAsia="宋体" w:cs="宋体"/>
                      <w:color w:val="auto"/>
                      <w:spacing w:val="-16"/>
                      <w:sz w:val="21"/>
                      <w:szCs w:val="21"/>
                    </w:rPr>
                    <w:t xml:space="preserve"> </w:t>
                  </w:r>
                  <w:r>
                    <w:rPr>
                      <w:color w:val="auto"/>
                      <w:spacing w:val="-3"/>
                      <w:sz w:val="21"/>
                      <w:szCs w:val="21"/>
                    </w:rPr>
                    <w:t xml:space="preserve">10 </w:t>
                  </w:r>
                  <w:r>
                    <w:rPr>
                      <w:rFonts w:ascii="宋体" w:hAnsi="宋体" w:eastAsia="宋体" w:cs="宋体"/>
                      <w:color w:val="auto"/>
                      <w:spacing w:val="-3"/>
                      <w:sz w:val="21"/>
                      <w:szCs w:val="21"/>
                    </w:rPr>
                    <w:t>亿个</w:t>
                  </w:r>
                </w:p>
              </w:tc>
              <w:tc>
                <w:tcPr>
                  <w:tcW w:w="1878" w:type="dxa"/>
                  <w:vAlign w:val="center"/>
                </w:tcPr>
                <w:p w14:paraId="7D5170FA">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2025</w:t>
                  </w:r>
                  <w:r>
                    <w:rPr>
                      <w:rFonts w:ascii="宋体" w:hAnsi="宋体" w:eastAsia="宋体" w:cs="宋体"/>
                      <w:color w:val="auto"/>
                      <w:spacing w:val="-1"/>
                      <w:sz w:val="21"/>
                      <w:szCs w:val="21"/>
                    </w:rPr>
                    <w:t>〕</w:t>
                  </w:r>
                  <w:r>
                    <w:rPr>
                      <w:color w:val="auto"/>
                      <w:spacing w:val="-1"/>
                      <w:sz w:val="21"/>
                      <w:szCs w:val="21"/>
                    </w:rPr>
                    <w:t>06</w:t>
                  </w:r>
                  <w:r>
                    <w:rPr>
                      <w:color w:val="auto"/>
                      <w:spacing w:val="18"/>
                      <w:sz w:val="21"/>
                      <w:szCs w:val="21"/>
                    </w:rPr>
                    <w:t xml:space="preserve"> </w:t>
                  </w:r>
                  <w:r>
                    <w:rPr>
                      <w:rFonts w:ascii="宋体" w:hAnsi="宋体" w:eastAsia="宋体" w:cs="宋体"/>
                      <w:color w:val="auto"/>
                      <w:spacing w:val="-1"/>
                      <w:sz w:val="21"/>
                      <w:szCs w:val="21"/>
                    </w:rPr>
                    <w:t>号</w:t>
                  </w:r>
                </w:p>
              </w:tc>
            </w:tr>
            <w:tr w14:paraId="127F61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483BAF19">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75</w:t>
                  </w:r>
                </w:p>
              </w:tc>
              <w:tc>
                <w:tcPr>
                  <w:tcW w:w="961" w:type="dxa"/>
                  <w:vAlign w:val="center"/>
                </w:tcPr>
                <w:p w14:paraId="6342E3C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广东立恒新材料科技有限公</w:t>
                  </w:r>
                </w:p>
                <w:p w14:paraId="356C865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司</w:t>
                  </w:r>
                </w:p>
              </w:tc>
              <w:tc>
                <w:tcPr>
                  <w:tcW w:w="600" w:type="dxa"/>
                  <w:vAlign w:val="center"/>
                </w:tcPr>
                <w:p w14:paraId="48906F8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430D126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橡胶和塑料制品业</w:t>
                  </w:r>
                </w:p>
              </w:tc>
              <w:tc>
                <w:tcPr>
                  <w:tcW w:w="1140" w:type="dxa"/>
                  <w:vAlign w:val="center"/>
                </w:tcPr>
                <w:p w14:paraId="6B25D648">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9333</w:t>
                  </w:r>
                </w:p>
              </w:tc>
              <w:tc>
                <w:tcPr>
                  <w:tcW w:w="2053" w:type="dxa"/>
                  <w:vAlign w:val="center"/>
                </w:tcPr>
                <w:p w14:paraId="5EC6B94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年产改性塑料</w:t>
                  </w:r>
                  <w:r>
                    <w:rPr>
                      <w:rFonts w:ascii="宋体" w:hAnsi="宋体" w:eastAsia="宋体" w:cs="宋体"/>
                      <w:color w:val="auto"/>
                      <w:spacing w:val="-38"/>
                      <w:sz w:val="21"/>
                      <w:szCs w:val="21"/>
                    </w:rPr>
                    <w:t xml:space="preserve"> </w:t>
                  </w:r>
                  <w:r>
                    <w:rPr>
                      <w:color w:val="auto"/>
                      <w:spacing w:val="-2"/>
                      <w:sz w:val="21"/>
                      <w:szCs w:val="21"/>
                    </w:rPr>
                    <w:t>8000</w:t>
                  </w:r>
                  <w:r>
                    <w:rPr>
                      <w:color w:val="auto"/>
                      <w:spacing w:val="16"/>
                      <w:w w:val="101"/>
                      <w:sz w:val="21"/>
                      <w:szCs w:val="21"/>
                    </w:rPr>
                    <w:t xml:space="preserve"> </w:t>
                  </w:r>
                  <w:r>
                    <w:rPr>
                      <w:rFonts w:ascii="宋体" w:hAnsi="宋体" w:eastAsia="宋体" w:cs="宋体"/>
                      <w:color w:val="auto"/>
                      <w:spacing w:val="-2"/>
                      <w:sz w:val="21"/>
                      <w:szCs w:val="21"/>
                    </w:rPr>
                    <w:t>吨</w:t>
                  </w:r>
                </w:p>
              </w:tc>
              <w:tc>
                <w:tcPr>
                  <w:tcW w:w="1878" w:type="dxa"/>
                  <w:vAlign w:val="center"/>
                </w:tcPr>
                <w:p w14:paraId="0C7A9F98">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乐环审</w:t>
                  </w:r>
                  <w:r>
                    <w:rPr>
                      <w:color w:val="auto"/>
                      <w:spacing w:val="-2"/>
                      <w:sz w:val="21"/>
                      <w:szCs w:val="21"/>
                    </w:rPr>
                    <w:t>[</w:t>
                  </w:r>
                  <w:r>
                    <w:rPr>
                      <w:color w:val="auto"/>
                      <w:sz w:val="21"/>
                      <w:szCs w:val="21"/>
                    </w:rPr>
                    <w:fldChar w:fldCharType="begin"/>
                  </w:r>
                  <w:r>
                    <w:rPr>
                      <w:color w:val="auto"/>
                      <w:sz w:val="21"/>
                      <w:szCs w:val="21"/>
                    </w:rPr>
                    <w:instrText xml:space="preserve"> HYPERLINK \l "bookmark252" </w:instrText>
                  </w:r>
                  <w:r>
                    <w:rPr>
                      <w:color w:val="auto"/>
                      <w:sz w:val="21"/>
                      <w:szCs w:val="21"/>
                    </w:rPr>
                    <w:fldChar w:fldCharType="separate"/>
                  </w:r>
                  <w:r>
                    <w:rPr>
                      <w:color w:val="auto"/>
                      <w:spacing w:val="-2"/>
                      <w:sz w:val="21"/>
                      <w:szCs w:val="21"/>
                    </w:rPr>
                    <w:t>2018</w:t>
                  </w:r>
                  <w:r>
                    <w:rPr>
                      <w:color w:val="auto"/>
                      <w:spacing w:val="-2"/>
                      <w:sz w:val="21"/>
                      <w:szCs w:val="21"/>
                    </w:rPr>
                    <w:fldChar w:fldCharType="end"/>
                  </w:r>
                  <w:r>
                    <w:rPr>
                      <w:color w:val="auto"/>
                      <w:spacing w:val="-2"/>
                      <w:sz w:val="21"/>
                      <w:szCs w:val="21"/>
                    </w:rPr>
                    <w:t>]60</w:t>
                  </w:r>
                  <w:r>
                    <w:rPr>
                      <w:color w:val="auto"/>
                      <w:spacing w:val="24"/>
                      <w:sz w:val="21"/>
                      <w:szCs w:val="21"/>
                    </w:rPr>
                    <w:t xml:space="preserve"> </w:t>
                  </w:r>
                  <w:r>
                    <w:rPr>
                      <w:rFonts w:ascii="宋体" w:hAnsi="宋体" w:eastAsia="宋体" w:cs="宋体"/>
                      <w:color w:val="auto"/>
                      <w:spacing w:val="-2"/>
                      <w:sz w:val="21"/>
                      <w:szCs w:val="21"/>
                    </w:rPr>
                    <w:t>号</w:t>
                  </w:r>
                </w:p>
              </w:tc>
            </w:tr>
            <w:tr w14:paraId="7166F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79E133A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76</w:t>
                  </w:r>
                </w:p>
              </w:tc>
              <w:tc>
                <w:tcPr>
                  <w:tcW w:w="961" w:type="dxa"/>
                  <w:vAlign w:val="center"/>
                </w:tcPr>
                <w:p w14:paraId="4777207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乐昌市赫尔龙体育用品有限</w:t>
                  </w:r>
                </w:p>
                <w:p w14:paraId="108F897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公司</w:t>
                  </w:r>
                </w:p>
              </w:tc>
              <w:tc>
                <w:tcPr>
                  <w:tcW w:w="600" w:type="dxa"/>
                  <w:vAlign w:val="center"/>
                </w:tcPr>
                <w:p w14:paraId="772DDA8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3AAC157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纺织业</w:t>
                  </w:r>
                </w:p>
              </w:tc>
              <w:tc>
                <w:tcPr>
                  <w:tcW w:w="1140" w:type="dxa"/>
                  <w:vAlign w:val="center"/>
                </w:tcPr>
                <w:p w14:paraId="5162349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3"/>
                      <w:sz w:val="21"/>
                      <w:szCs w:val="21"/>
                    </w:rPr>
                    <w:t>14604.85</w:t>
                  </w:r>
                </w:p>
              </w:tc>
              <w:tc>
                <w:tcPr>
                  <w:tcW w:w="2053" w:type="dxa"/>
                  <w:vAlign w:val="center"/>
                </w:tcPr>
                <w:p w14:paraId="0AAE3F89">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年产运动服等运动产品</w:t>
                  </w:r>
                  <w:r>
                    <w:rPr>
                      <w:rFonts w:ascii="宋体" w:hAnsi="宋体" w:eastAsia="宋体" w:cs="宋体"/>
                      <w:color w:val="auto"/>
                      <w:spacing w:val="-23"/>
                      <w:sz w:val="21"/>
                      <w:szCs w:val="21"/>
                    </w:rPr>
                    <w:t xml:space="preserve"> </w:t>
                  </w:r>
                  <w:r>
                    <w:rPr>
                      <w:color w:val="auto"/>
                      <w:spacing w:val="-3"/>
                      <w:sz w:val="21"/>
                      <w:szCs w:val="21"/>
                    </w:rPr>
                    <w:t>100</w:t>
                  </w:r>
                  <w:r>
                    <w:rPr>
                      <w:color w:val="auto"/>
                      <w:spacing w:val="13"/>
                      <w:w w:val="101"/>
                      <w:sz w:val="21"/>
                      <w:szCs w:val="21"/>
                    </w:rPr>
                    <w:t xml:space="preserve"> </w:t>
                  </w:r>
                  <w:r>
                    <w:rPr>
                      <w:rFonts w:ascii="宋体" w:hAnsi="宋体" w:eastAsia="宋体" w:cs="宋体"/>
                      <w:color w:val="auto"/>
                      <w:spacing w:val="-3"/>
                      <w:sz w:val="21"/>
                      <w:szCs w:val="21"/>
                    </w:rPr>
                    <w:t>万件</w:t>
                  </w:r>
                </w:p>
              </w:tc>
              <w:tc>
                <w:tcPr>
                  <w:tcW w:w="1878" w:type="dxa"/>
                  <w:vAlign w:val="center"/>
                </w:tcPr>
                <w:p w14:paraId="685DC79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乐环审〔</w:t>
                  </w:r>
                  <w:r>
                    <w:rPr>
                      <w:color w:val="auto"/>
                      <w:spacing w:val="-1"/>
                      <w:sz w:val="21"/>
                      <w:szCs w:val="21"/>
                    </w:rPr>
                    <w:t>2019</w:t>
                  </w:r>
                  <w:r>
                    <w:rPr>
                      <w:rFonts w:ascii="宋体" w:hAnsi="宋体" w:eastAsia="宋体" w:cs="宋体"/>
                      <w:color w:val="auto"/>
                      <w:spacing w:val="-1"/>
                      <w:sz w:val="21"/>
                      <w:szCs w:val="21"/>
                    </w:rPr>
                    <w:t>〕</w:t>
                  </w:r>
                  <w:r>
                    <w:rPr>
                      <w:color w:val="auto"/>
                      <w:spacing w:val="-1"/>
                      <w:sz w:val="21"/>
                      <w:szCs w:val="21"/>
                    </w:rPr>
                    <w:t xml:space="preserve">21 </w:t>
                  </w:r>
                  <w:r>
                    <w:rPr>
                      <w:rFonts w:ascii="宋体" w:hAnsi="宋体" w:eastAsia="宋体" w:cs="宋体"/>
                      <w:color w:val="auto"/>
                      <w:spacing w:val="-1"/>
                      <w:sz w:val="21"/>
                      <w:szCs w:val="21"/>
                    </w:rPr>
                    <w:t>号</w:t>
                  </w:r>
                </w:p>
              </w:tc>
            </w:tr>
            <w:tr w14:paraId="1B3D5D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7" w:hRule="atLeast"/>
                <w:jc w:val="center"/>
              </w:trPr>
              <w:tc>
                <w:tcPr>
                  <w:tcW w:w="311" w:type="dxa"/>
                  <w:vAlign w:val="center"/>
                </w:tcPr>
                <w:p w14:paraId="0CB084BA">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77</w:t>
                  </w:r>
                </w:p>
              </w:tc>
              <w:tc>
                <w:tcPr>
                  <w:tcW w:w="961" w:type="dxa"/>
                  <w:vAlign w:val="center"/>
                </w:tcPr>
                <w:p w14:paraId="671A48E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广东省合高复合材料有限公</w:t>
                  </w:r>
                </w:p>
                <w:p w14:paraId="258632A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司</w:t>
                  </w:r>
                </w:p>
              </w:tc>
              <w:tc>
                <w:tcPr>
                  <w:tcW w:w="600" w:type="dxa"/>
                  <w:vAlign w:val="center"/>
                </w:tcPr>
                <w:p w14:paraId="1D9B30E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2B12CD1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非金属矿物制品业</w:t>
                  </w:r>
                </w:p>
              </w:tc>
              <w:tc>
                <w:tcPr>
                  <w:tcW w:w="1140" w:type="dxa"/>
                  <w:vAlign w:val="center"/>
                </w:tcPr>
                <w:p w14:paraId="0F96037C">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27017.8</w:t>
                  </w:r>
                </w:p>
              </w:tc>
              <w:tc>
                <w:tcPr>
                  <w:tcW w:w="2053" w:type="dxa"/>
                  <w:vAlign w:val="center"/>
                </w:tcPr>
                <w:p w14:paraId="145B853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5"/>
                      <w:sz w:val="21"/>
                      <w:szCs w:val="21"/>
                    </w:rPr>
                    <w:t>年产玻璃纤维板材</w:t>
                  </w:r>
                  <w:r>
                    <w:rPr>
                      <w:rFonts w:ascii="宋体" w:hAnsi="宋体" w:eastAsia="宋体" w:cs="宋体"/>
                      <w:color w:val="auto"/>
                      <w:spacing w:val="-21"/>
                      <w:sz w:val="21"/>
                      <w:szCs w:val="21"/>
                    </w:rPr>
                    <w:t xml:space="preserve"> </w:t>
                  </w:r>
                  <w:r>
                    <w:rPr>
                      <w:color w:val="auto"/>
                      <w:spacing w:val="-5"/>
                      <w:sz w:val="21"/>
                      <w:szCs w:val="21"/>
                    </w:rPr>
                    <w:t xml:space="preserve">1 </w:t>
                  </w:r>
                  <w:r>
                    <w:rPr>
                      <w:rFonts w:ascii="宋体" w:hAnsi="宋体" w:eastAsia="宋体" w:cs="宋体"/>
                      <w:color w:val="auto"/>
                      <w:spacing w:val="-5"/>
                      <w:sz w:val="21"/>
                      <w:szCs w:val="21"/>
                    </w:rPr>
                    <w:t>万吨、玻璃钢拉挤制品</w:t>
                  </w:r>
                  <w:r>
                    <w:rPr>
                      <w:rFonts w:ascii="宋体" w:hAnsi="宋体" w:eastAsia="宋体" w:cs="宋体"/>
                      <w:color w:val="auto"/>
                      <w:spacing w:val="-51"/>
                      <w:sz w:val="21"/>
                      <w:szCs w:val="21"/>
                    </w:rPr>
                    <w:t xml:space="preserve"> </w:t>
                  </w:r>
                  <w:r>
                    <w:rPr>
                      <w:color w:val="auto"/>
                      <w:spacing w:val="-5"/>
                      <w:sz w:val="21"/>
                      <w:szCs w:val="21"/>
                    </w:rPr>
                    <w:t>4500</w:t>
                  </w:r>
                  <w:r>
                    <w:rPr>
                      <w:color w:val="auto"/>
                      <w:spacing w:val="18"/>
                      <w:w w:val="101"/>
                      <w:sz w:val="21"/>
                      <w:szCs w:val="21"/>
                    </w:rPr>
                    <w:t xml:space="preserve"> </w:t>
                  </w:r>
                  <w:r>
                    <w:rPr>
                      <w:rFonts w:ascii="宋体" w:hAnsi="宋体" w:eastAsia="宋体" w:cs="宋体"/>
                      <w:color w:val="auto"/>
                      <w:spacing w:val="-5"/>
                      <w:sz w:val="21"/>
                      <w:szCs w:val="21"/>
                    </w:rPr>
                    <w:t>吨、缠绕制</w:t>
                  </w:r>
                </w:p>
                <w:p w14:paraId="5EED6E8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品、</w:t>
                  </w:r>
                  <w:r>
                    <w:rPr>
                      <w:color w:val="auto"/>
                      <w:spacing w:val="-4"/>
                      <w:sz w:val="21"/>
                      <w:szCs w:val="21"/>
                    </w:rPr>
                    <w:t xml:space="preserve">SMC </w:t>
                  </w:r>
                  <w:r>
                    <w:rPr>
                      <w:rFonts w:ascii="宋体" w:hAnsi="宋体" w:eastAsia="宋体" w:cs="宋体"/>
                      <w:color w:val="auto"/>
                      <w:spacing w:val="-4"/>
                      <w:sz w:val="21"/>
                      <w:szCs w:val="21"/>
                    </w:rPr>
                    <w:t>模压及玻璃纤维热塑板以及制品各</w:t>
                  </w:r>
                  <w:r>
                    <w:rPr>
                      <w:rFonts w:ascii="宋体" w:hAnsi="宋体" w:eastAsia="宋体" w:cs="宋体"/>
                      <w:color w:val="auto"/>
                      <w:spacing w:val="-36"/>
                      <w:sz w:val="21"/>
                      <w:szCs w:val="21"/>
                    </w:rPr>
                    <w:t xml:space="preserve"> </w:t>
                  </w:r>
                  <w:r>
                    <w:rPr>
                      <w:color w:val="auto"/>
                      <w:spacing w:val="-4"/>
                      <w:sz w:val="21"/>
                      <w:szCs w:val="21"/>
                    </w:rPr>
                    <w:t>500</w:t>
                  </w:r>
                  <w:r>
                    <w:rPr>
                      <w:color w:val="auto"/>
                      <w:spacing w:val="19"/>
                      <w:sz w:val="21"/>
                      <w:szCs w:val="21"/>
                    </w:rPr>
                    <w:t xml:space="preserve"> </w:t>
                  </w:r>
                  <w:r>
                    <w:rPr>
                      <w:rFonts w:ascii="宋体" w:hAnsi="宋体" w:eastAsia="宋体" w:cs="宋体"/>
                      <w:color w:val="auto"/>
                      <w:spacing w:val="-4"/>
                      <w:sz w:val="21"/>
                      <w:szCs w:val="21"/>
                    </w:rPr>
                    <w:t>吨、玻璃钢</w:t>
                  </w:r>
                </w:p>
                <w:p w14:paraId="742DC3AA">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格栅</w:t>
                  </w:r>
                  <w:r>
                    <w:rPr>
                      <w:rFonts w:ascii="宋体" w:hAnsi="宋体" w:eastAsia="宋体" w:cs="宋体"/>
                      <w:color w:val="auto"/>
                      <w:spacing w:val="-41"/>
                      <w:sz w:val="21"/>
                      <w:szCs w:val="21"/>
                    </w:rPr>
                    <w:t xml:space="preserve"> </w:t>
                  </w:r>
                  <w:r>
                    <w:rPr>
                      <w:color w:val="auto"/>
                      <w:sz w:val="21"/>
                      <w:szCs w:val="21"/>
                    </w:rPr>
                    <w:t>5000</w:t>
                  </w:r>
                  <w:r>
                    <w:rPr>
                      <w:color w:val="auto"/>
                      <w:spacing w:val="16"/>
                      <w:sz w:val="21"/>
                      <w:szCs w:val="21"/>
                    </w:rPr>
                    <w:t xml:space="preserve"> </w:t>
                  </w:r>
                  <w:r>
                    <w:rPr>
                      <w:rFonts w:ascii="宋体" w:hAnsi="宋体" w:eastAsia="宋体" w:cs="宋体"/>
                      <w:color w:val="auto"/>
                      <w:sz w:val="21"/>
                      <w:szCs w:val="21"/>
                    </w:rPr>
                    <w:t>吨、碳纤维制品及彩色胶衣各</w:t>
                  </w:r>
                  <w:r>
                    <w:rPr>
                      <w:color w:val="auto"/>
                      <w:sz w:val="21"/>
                      <w:szCs w:val="21"/>
                    </w:rPr>
                    <w:t>200</w:t>
                  </w:r>
                  <w:r>
                    <w:rPr>
                      <w:color w:val="auto"/>
                      <w:spacing w:val="18"/>
                      <w:w w:val="101"/>
                      <w:sz w:val="21"/>
                      <w:szCs w:val="21"/>
                    </w:rPr>
                    <w:t xml:space="preserve"> </w:t>
                  </w:r>
                  <w:r>
                    <w:rPr>
                      <w:rFonts w:ascii="宋体" w:hAnsi="宋体" w:eastAsia="宋体" w:cs="宋体"/>
                      <w:color w:val="auto"/>
                      <w:sz w:val="21"/>
                      <w:szCs w:val="21"/>
                    </w:rPr>
                    <w:t>吨、 玻璃钢夹</w:t>
                  </w:r>
                </w:p>
                <w:p w14:paraId="1021F12C">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芯板</w:t>
                  </w:r>
                  <w:r>
                    <w:rPr>
                      <w:rFonts w:ascii="宋体" w:hAnsi="宋体" w:eastAsia="宋体" w:cs="宋体"/>
                      <w:color w:val="auto"/>
                      <w:spacing w:val="-39"/>
                      <w:sz w:val="21"/>
                      <w:szCs w:val="21"/>
                    </w:rPr>
                    <w:t xml:space="preserve"> </w:t>
                  </w:r>
                  <w:r>
                    <w:rPr>
                      <w:color w:val="auto"/>
                      <w:spacing w:val="-4"/>
                      <w:sz w:val="21"/>
                      <w:szCs w:val="21"/>
                    </w:rPr>
                    <w:t>2700</w:t>
                  </w:r>
                  <w:r>
                    <w:rPr>
                      <w:color w:val="auto"/>
                      <w:spacing w:val="16"/>
                      <w:w w:val="101"/>
                      <w:sz w:val="21"/>
                      <w:szCs w:val="21"/>
                    </w:rPr>
                    <w:t xml:space="preserve"> </w:t>
                  </w:r>
                  <w:r>
                    <w:rPr>
                      <w:rFonts w:ascii="宋体" w:hAnsi="宋体" w:eastAsia="宋体" w:cs="宋体"/>
                      <w:color w:val="auto"/>
                      <w:spacing w:val="-4"/>
                      <w:sz w:val="21"/>
                      <w:szCs w:val="21"/>
                    </w:rPr>
                    <w:t xml:space="preserve">吨、 </w:t>
                  </w:r>
                  <w:r>
                    <w:rPr>
                      <w:color w:val="auto"/>
                      <w:spacing w:val="-4"/>
                      <w:sz w:val="21"/>
                      <w:szCs w:val="21"/>
                    </w:rPr>
                    <w:t xml:space="preserve">RTM </w:t>
                  </w:r>
                  <w:r>
                    <w:rPr>
                      <w:rFonts w:ascii="宋体" w:hAnsi="宋体" w:eastAsia="宋体" w:cs="宋体"/>
                      <w:color w:val="auto"/>
                      <w:spacing w:val="-4"/>
                      <w:sz w:val="21"/>
                      <w:szCs w:val="21"/>
                    </w:rPr>
                    <w:t>制品</w:t>
                  </w:r>
                  <w:r>
                    <w:rPr>
                      <w:rFonts w:ascii="宋体" w:hAnsi="宋体" w:eastAsia="宋体" w:cs="宋体"/>
                      <w:color w:val="auto"/>
                      <w:spacing w:val="-30"/>
                      <w:sz w:val="21"/>
                      <w:szCs w:val="21"/>
                    </w:rPr>
                    <w:t xml:space="preserve"> </w:t>
                  </w:r>
                  <w:r>
                    <w:rPr>
                      <w:color w:val="auto"/>
                      <w:spacing w:val="-4"/>
                      <w:sz w:val="21"/>
                      <w:szCs w:val="21"/>
                    </w:rPr>
                    <w:t>100</w:t>
                  </w:r>
                  <w:r>
                    <w:rPr>
                      <w:color w:val="auto"/>
                      <w:spacing w:val="19"/>
                      <w:sz w:val="21"/>
                      <w:szCs w:val="21"/>
                    </w:rPr>
                    <w:t xml:space="preserve"> </w:t>
                  </w:r>
                  <w:r>
                    <w:rPr>
                      <w:rFonts w:ascii="宋体" w:hAnsi="宋体" w:eastAsia="宋体" w:cs="宋体"/>
                      <w:color w:val="auto"/>
                      <w:spacing w:val="-4"/>
                      <w:sz w:val="21"/>
                      <w:szCs w:val="21"/>
                    </w:rPr>
                    <w:t>吨</w:t>
                  </w:r>
                </w:p>
              </w:tc>
              <w:tc>
                <w:tcPr>
                  <w:tcW w:w="1878" w:type="dxa"/>
                  <w:vAlign w:val="center"/>
                </w:tcPr>
                <w:p w14:paraId="3AE8B64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2021</w:t>
                  </w:r>
                  <w:r>
                    <w:rPr>
                      <w:rFonts w:ascii="宋体" w:hAnsi="宋体" w:eastAsia="宋体" w:cs="宋体"/>
                      <w:color w:val="auto"/>
                      <w:spacing w:val="-1"/>
                      <w:sz w:val="21"/>
                      <w:szCs w:val="21"/>
                    </w:rPr>
                    <w:t>〕</w:t>
                  </w:r>
                  <w:r>
                    <w:rPr>
                      <w:color w:val="auto"/>
                      <w:spacing w:val="-1"/>
                      <w:sz w:val="21"/>
                      <w:szCs w:val="21"/>
                    </w:rPr>
                    <w:t>20</w:t>
                  </w:r>
                  <w:r>
                    <w:rPr>
                      <w:color w:val="auto"/>
                      <w:spacing w:val="18"/>
                      <w:sz w:val="21"/>
                      <w:szCs w:val="21"/>
                    </w:rPr>
                    <w:t xml:space="preserve"> </w:t>
                  </w:r>
                  <w:r>
                    <w:rPr>
                      <w:rFonts w:ascii="宋体" w:hAnsi="宋体" w:eastAsia="宋体" w:cs="宋体"/>
                      <w:color w:val="auto"/>
                      <w:spacing w:val="-1"/>
                      <w:sz w:val="21"/>
                      <w:szCs w:val="21"/>
                    </w:rPr>
                    <w:t>号</w:t>
                  </w:r>
                </w:p>
              </w:tc>
            </w:tr>
            <w:tr w14:paraId="2B5E37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401D6DE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78</w:t>
                  </w:r>
                </w:p>
              </w:tc>
              <w:tc>
                <w:tcPr>
                  <w:tcW w:w="961" w:type="dxa"/>
                  <w:vAlign w:val="center"/>
                </w:tcPr>
                <w:p w14:paraId="3DC9204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同向（乐昌）精密机械有限公</w:t>
                  </w:r>
                </w:p>
                <w:p w14:paraId="3A41A28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司</w:t>
                  </w:r>
                </w:p>
              </w:tc>
              <w:tc>
                <w:tcPr>
                  <w:tcW w:w="600" w:type="dxa"/>
                  <w:vAlign w:val="center"/>
                </w:tcPr>
                <w:p w14:paraId="6FAB31A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1BEB170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通用设备制造业</w:t>
                  </w:r>
                </w:p>
              </w:tc>
              <w:tc>
                <w:tcPr>
                  <w:tcW w:w="1140" w:type="dxa"/>
                  <w:vAlign w:val="center"/>
                </w:tcPr>
                <w:p w14:paraId="12C6A03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52810.91</w:t>
                  </w:r>
                </w:p>
              </w:tc>
              <w:tc>
                <w:tcPr>
                  <w:tcW w:w="2053" w:type="dxa"/>
                  <w:vAlign w:val="center"/>
                </w:tcPr>
                <w:p w14:paraId="705C7E9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年产登机桥、环保水箱、压力机械、建筑自动化设</w:t>
                  </w:r>
                  <w:r>
                    <w:rPr>
                      <w:rFonts w:ascii="宋体" w:hAnsi="宋体" w:eastAsia="宋体" w:cs="宋体"/>
                      <w:color w:val="auto"/>
                      <w:spacing w:val="-1"/>
                      <w:sz w:val="21"/>
                      <w:szCs w:val="21"/>
                    </w:rPr>
                    <w:t>备、加工</w:t>
                  </w:r>
                </w:p>
                <w:p w14:paraId="137412D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中心设备。压铸机等合计</w:t>
                  </w:r>
                  <w:r>
                    <w:rPr>
                      <w:rFonts w:ascii="宋体" w:hAnsi="宋体" w:eastAsia="宋体" w:cs="宋体"/>
                      <w:color w:val="auto"/>
                      <w:spacing w:val="-34"/>
                      <w:sz w:val="21"/>
                      <w:szCs w:val="21"/>
                    </w:rPr>
                    <w:t xml:space="preserve"> </w:t>
                  </w:r>
                  <w:r>
                    <w:rPr>
                      <w:color w:val="auto"/>
                      <w:spacing w:val="-3"/>
                      <w:sz w:val="21"/>
                      <w:szCs w:val="21"/>
                    </w:rPr>
                    <w:t xml:space="preserve">3350 </w:t>
                  </w:r>
                  <w:r>
                    <w:rPr>
                      <w:rFonts w:ascii="宋体" w:hAnsi="宋体" w:eastAsia="宋体" w:cs="宋体"/>
                      <w:color w:val="auto"/>
                      <w:spacing w:val="-3"/>
                      <w:sz w:val="21"/>
                      <w:szCs w:val="21"/>
                    </w:rPr>
                    <w:t>套（台）</w:t>
                  </w:r>
                </w:p>
              </w:tc>
              <w:tc>
                <w:tcPr>
                  <w:tcW w:w="1878" w:type="dxa"/>
                  <w:vAlign w:val="center"/>
                </w:tcPr>
                <w:p w14:paraId="32B6AB02">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2021</w:t>
                  </w:r>
                  <w:r>
                    <w:rPr>
                      <w:rFonts w:ascii="宋体" w:hAnsi="宋体" w:eastAsia="宋体" w:cs="宋体"/>
                      <w:color w:val="auto"/>
                      <w:spacing w:val="-1"/>
                      <w:sz w:val="21"/>
                      <w:szCs w:val="21"/>
                    </w:rPr>
                    <w:t>〕</w:t>
                  </w:r>
                  <w:r>
                    <w:rPr>
                      <w:color w:val="auto"/>
                      <w:spacing w:val="-1"/>
                      <w:sz w:val="21"/>
                      <w:szCs w:val="21"/>
                    </w:rPr>
                    <w:t>16</w:t>
                  </w:r>
                  <w:r>
                    <w:rPr>
                      <w:color w:val="auto"/>
                      <w:spacing w:val="18"/>
                      <w:sz w:val="21"/>
                      <w:szCs w:val="21"/>
                    </w:rPr>
                    <w:t xml:space="preserve"> </w:t>
                  </w:r>
                  <w:r>
                    <w:rPr>
                      <w:rFonts w:ascii="宋体" w:hAnsi="宋体" w:eastAsia="宋体" w:cs="宋体"/>
                      <w:color w:val="auto"/>
                      <w:spacing w:val="-1"/>
                      <w:sz w:val="21"/>
                      <w:szCs w:val="21"/>
                    </w:rPr>
                    <w:t>号</w:t>
                  </w:r>
                </w:p>
              </w:tc>
            </w:tr>
            <w:tr w14:paraId="49D30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75DC1C9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79</w:t>
                  </w:r>
                </w:p>
              </w:tc>
              <w:tc>
                <w:tcPr>
                  <w:tcW w:w="961" w:type="dxa"/>
                  <w:vAlign w:val="center"/>
                </w:tcPr>
                <w:p w14:paraId="3E2EB41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乐昌市信达实业有限公司</w:t>
                  </w:r>
                </w:p>
              </w:tc>
              <w:tc>
                <w:tcPr>
                  <w:tcW w:w="600" w:type="dxa"/>
                  <w:vAlign w:val="center"/>
                </w:tcPr>
                <w:p w14:paraId="2A316B3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11B9062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文教、工美、体育和娱乐用品制造业</w:t>
                  </w:r>
                </w:p>
              </w:tc>
              <w:tc>
                <w:tcPr>
                  <w:tcW w:w="1140" w:type="dxa"/>
                  <w:vAlign w:val="center"/>
                </w:tcPr>
                <w:p w14:paraId="56E51E5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20000</w:t>
                  </w:r>
                </w:p>
              </w:tc>
              <w:tc>
                <w:tcPr>
                  <w:tcW w:w="2053" w:type="dxa"/>
                  <w:vAlign w:val="center"/>
                </w:tcPr>
                <w:p w14:paraId="1D014569">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5"/>
                      <w:sz w:val="21"/>
                      <w:szCs w:val="21"/>
                    </w:rPr>
                    <w:t>年产滑板</w:t>
                  </w:r>
                  <w:r>
                    <w:rPr>
                      <w:rFonts w:ascii="宋体" w:hAnsi="宋体" w:eastAsia="宋体" w:cs="宋体"/>
                      <w:color w:val="auto"/>
                      <w:spacing w:val="-22"/>
                      <w:sz w:val="21"/>
                      <w:szCs w:val="21"/>
                    </w:rPr>
                    <w:t xml:space="preserve"> </w:t>
                  </w:r>
                  <w:r>
                    <w:rPr>
                      <w:color w:val="auto"/>
                      <w:spacing w:val="-5"/>
                      <w:sz w:val="21"/>
                      <w:szCs w:val="21"/>
                    </w:rPr>
                    <w:t>100</w:t>
                  </w:r>
                  <w:r>
                    <w:rPr>
                      <w:color w:val="auto"/>
                      <w:spacing w:val="13"/>
                      <w:w w:val="101"/>
                      <w:sz w:val="21"/>
                      <w:szCs w:val="21"/>
                    </w:rPr>
                    <w:t xml:space="preserve"> </w:t>
                  </w:r>
                  <w:r>
                    <w:rPr>
                      <w:rFonts w:ascii="宋体" w:hAnsi="宋体" w:eastAsia="宋体" w:cs="宋体"/>
                      <w:color w:val="auto"/>
                      <w:spacing w:val="-5"/>
                      <w:sz w:val="21"/>
                      <w:szCs w:val="21"/>
                    </w:rPr>
                    <w:t>万台</w:t>
                  </w:r>
                </w:p>
              </w:tc>
              <w:tc>
                <w:tcPr>
                  <w:tcW w:w="1878" w:type="dxa"/>
                  <w:vAlign w:val="center"/>
                </w:tcPr>
                <w:p w14:paraId="338A6C49">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乐环审〔</w:t>
                  </w:r>
                  <w:r>
                    <w:rPr>
                      <w:color w:val="auto"/>
                      <w:spacing w:val="-1"/>
                      <w:sz w:val="21"/>
                      <w:szCs w:val="21"/>
                    </w:rPr>
                    <w:t>2019</w:t>
                  </w:r>
                  <w:r>
                    <w:rPr>
                      <w:rFonts w:ascii="宋体" w:hAnsi="宋体" w:eastAsia="宋体" w:cs="宋体"/>
                      <w:color w:val="auto"/>
                      <w:spacing w:val="-1"/>
                      <w:sz w:val="21"/>
                      <w:szCs w:val="21"/>
                    </w:rPr>
                    <w:t>〕</w:t>
                  </w:r>
                  <w:r>
                    <w:rPr>
                      <w:color w:val="auto"/>
                      <w:spacing w:val="-1"/>
                      <w:sz w:val="21"/>
                      <w:szCs w:val="21"/>
                    </w:rPr>
                    <w:t xml:space="preserve">09 </w:t>
                  </w:r>
                  <w:r>
                    <w:rPr>
                      <w:rFonts w:ascii="宋体" w:hAnsi="宋体" w:eastAsia="宋体" w:cs="宋体"/>
                      <w:color w:val="auto"/>
                      <w:spacing w:val="-1"/>
                      <w:sz w:val="21"/>
                      <w:szCs w:val="21"/>
                    </w:rPr>
                    <w:t>号</w:t>
                  </w:r>
                </w:p>
              </w:tc>
            </w:tr>
            <w:tr w14:paraId="24349B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651963C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3"/>
                      <w:sz w:val="21"/>
                      <w:szCs w:val="21"/>
                    </w:rPr>
                    <w:t>80</w:t>
                  </w:r>
                </w:p>
              </w:tc>
              <w:tc>
                <w:tcPr>
                  <w:tcW w:w="961" w:type="dxa"/>
                  <w:vAlign w:val="center"/>
                </w:tcPr>
                <w:p w14:paraId="35C58AC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广东威柏乐器制造有限公司</w:t>
                  </w:r>
                </w:p>
              </w:tc>
              <w:tc>
                <w:tcPr>
                  <w:tcW w:w="600" w:type="dxa"/>
                  <w:vAlign w:val="center"/>
                </w:tcPr>
                <w:p w14:paraId="64B72D5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4808A4B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文教、工美、体育和娱乐用品制造业</w:t>
                  </w:r>
                </w:p>
              </w:tc>
              <w:tc>
                <w:tcPr>
                  <w:tcW w:w="1140" w:type="dxa"/>
                  <w:vAlign w:val="center"/>
                </w:tcPr>
                <w:p w14:paraId="7805EC29">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43586.57</w:t>
                  </w:r>
                </w:p>
              </w:tc>
              <w:tc>
                <w:tcPr>
                  <w:tcW w:w="2053" w:type="dxa"/>
                  <w:vAlign w:val="center"/>
                </w:tcPr>
                <w:p w14:paraId="73B0B48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年产电吉他</w:t>
                  </w:r>
                  <w:r>
                    <w:rPr>
                      <w:rFonts w:ascii="宋体" w:hAnsi="宋体" w:eastAsia="宋体" w:cs="宋体"/>
                      <w:color w:val="auto"/>
                      <w:spacing w:val="-42"/>
                      <w:sz w:val="21"/>
                      <w:szCs w:val="21"/>
                    </w:rPr>
                    <w:t xml:space="preserve"> </w:t>
                  </w:r>
                  <w:r>
                    <w:rPr>
                      <w:color w:val="auto"/>
                      <w:spacing w:val="-2"/>
                      <w:sz w:val="21"/>
                      <w:szCs w:val="21"/>
                    </w:rPr>
                    <w:t xml:space="preserve">35 </w:t>
                  </w:r>
                  <w:r>
                    <w:rPr>
                      <w:rFonts w:ascii="宋体" w:hAnsi="宋体" w:eastAsia="宋体" w:cs="宋体"/>
                      <w:color w:val="auto"/>
                      <w:spacing w:val="-2"/>
                      <w:sz w:val="21"/>
                      <w:szCs w:val="21"/>
                    </w:rPr>
                    <w:t>万把、木吉他</w:t>
                  </w:r>
                  <w:r>
                    <w:rPr>
                      <w:rFonts w:ascii="宋体" w:hAnsi="宋体" w:eastAsia="宋体" w:cs="宋体"/>
                      <w:color w:val="auto"/>
                      <w:spacing w:val="-27"/>
                      <w:sz w:val="21"/>
                      <w:szCs w:val="21"/>
                    </w:rPr>
                    <w:t xml:space="preserve"> </w:t>
                  </w:r>
                  <w:r>
                    <w:rPr>
                      <w:color w:val="auto"/>
                      <w:spacing w:val="-2"/>
                      <w:sz w:val="21"/>
                      <w:szCs w:val="21"/>
                    </w:rPr>
                    <w:t xml:space="preserve">15 </w:t>
                  </w:r>
                  <w:r>
                    <w:rPr>
                      <w:rFonts w:ascii="宋体" w:hAnsi="宋体" w:eastAsia="宋体" w:cs="宋体"/>
                      <w:color w:val="auto"/>
                      <w:spacing w:val="-2"/>
                      <w:sz w:val="21"/>
                      <w:szCs w:val="21"/>
                    </w:rPr>
                    <w:t>万把</w:t>
                  </w:r>
                </w:p>
              </w:tc>
              <w:tc>
                <w:tcPr>
                  <w:tcW w:w="1878" w:type="dxa"/>
                  <w:vAlign w:val="center"/>
                </w:tcPr>
                <w:p w14:paraId="53C1E82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韶环乐审〔</w:t>
                  </w:r>
                  <w:r>
                    <w:rPr>
                      <w:color w:val="auto"/>
                      <w:spacing w:val="-2"/>
                      <w:sz w:val="21"/>
                      <w:szCs w:val="21"/>
                    </w:rPr>
                    <w:t>2025</w:t>
                  </w:r>
                  <w:r>
                    <w:rPr>
                      <w:rFonts w:ascii="宋体" w:hAnsi="宋体" w:eastAsia="宋体" w:cs="宋体"/>
                      <w:color w:val="auto"/>
                      <w:spacing w:val="-2"/>
                      <w:sz w:val="21"/>
                      <w:szCs w:val="21"/>
                    </w:rPr>
                    <w:t>〕</w:t>
                  </w:r>
                  <w:r>
                    <w:rPr>
                      <w:color w:val="auto"/>
                      <w:spacing w:val="-2"/>
                      <w:sz w:val="21"/>
                      <w:szCs w:val="21"/>
                    </w:rPr>
                    <w:t>02</w:t>
                  </w:r>
                  <w:r>
                    <w:rPr>
                      <w:color w:val="auto"/>
                      <w:spacing w:val="26"/>
                      <w:w w:val="101"/>
                      <w:sz w:val="21"/>
                      <w:szCs w:val="21"/>
                    </w:rPr>
                    <w:t xml:space="preserve"> </w:t>
                  </w:r>
                  <w:r>
                    <w:rPr>
                      <w:rFonts w:ascii="宋体" w:hAnsi="宋体" w:eastAsia="宋体" w:cs="宋体"/>
                      <w:color w:val="auto"/>
                      <w:spacing w:val="-2"/>
                      <w:sz w:val="21"/>
                      <w:szCs w:val="21"/>
                    </w:rPr>
                    <w:t>号、韶环乐</w:t>
                  </w:r>
                  <w:r>
                    <w:rPr>
                      <w:rFonts w:ascii="宋体" w:hAnsi="宋体" w:eastAsia="宋体" w:cs="宋体"/>
                      <w:color w:val="auto"/>
                      <w:spacing w:val="-1"/>
                      <w:sz w:val="21"/>
                      <w:szCs w:val="21"/>
                    </w:rPr>
                    <w:t>审〔</w:t>
                  </w:r>
                  <w:r>
                    <w:rPr>
                      <w:color w:val="auto"/>
                      <w:spacing w:val="-1"/>
                      <w:sz w:val="21"/>
                      <w:szCs w:val="21"/>
                    </w:rPr>
                    <w:t>2026</w:t>
                  </w:r>
                  <w:r>
                    <w:rPr>
                      <w:rFonts w:ascii="宋体" w:hAnsi="宋体" w:eastAsia="宋体" w:cs="宋体"/>
                      <w:color w:val="auto"/>
                      <w:spacing w:val="-1"/>
                      <w:sz w:val="21"/>
                      <w:szCs w:val="21"/>
                    </w:rPr>
                    <w:t>〕</w:t>
                  </w:r>
                  <w:r>
                    <w:rPr>
                      <w:color w:val="auto"/>
                      <w:spacing w:val="-1"/>
                      <w:sz w:val="21"/>
                      <w:szCs w:val="21"/>
                    </w:rPr>
                    <w:t xml:space="preserve">03 </w:t>
                  </w:r>
                  <w:r>
                    <w:rPr>
                      <w:rFonts w:ascii="宋体" w:hAnsi="宋体" w:eastAsia="宋体" w:cs="宋体"/>
                      <w:color w:val="auto"/>
                      <w:spacing w:val="-1"/>
                      <w:sz w:val="21"/>
                      <w:szCs w:val="21"/>
                    </w:rPr>
                    <w:t>号</w:t>
                  </w:r>
                </w:p>
              </w:tc>
            </w:tr>
            <w:tr w14:paraId="75C77F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311" w:type="dxa"/>
                  <w:vAlign w:val="center"/>
                </w:tcPr>
                <w:p w14:paraId="2F2D64C9">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3"/>
                      <w:sz w:val="21"/>
                      <w:szCs w:val="21"/>
                    </w:rPr>
                    <w:t>81</w:t>
                  </w:r>
                </w:p>
              </w:tc>
              <w:tc>
                <w:tcPr>
                  <w:tcW w:w="961" w:type="dxa"/>
                  <w:vAlign w:val="center"/>
                </w:tcPr>
                <w:p w14:paraId="40E245B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广东维创兴电子科技有限公</w:t>
                  </w:r>
                </w:p>
                <w:p w14:paraId="2C64A37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司</w:t>
                  </w:r>
                </w:p>
              </w:tc>
              <w:tc>
                <w:tcPr>
                  <w:tcW w:w="600" w:type="dxa"/>
                  <w:vAlign w:val="center"/>
                </w:tcPr>
                <w:p w14:paraId="6EF1F31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2030C40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计算机、通信和其他电子设备制造业</w:t>
                  </w:r>
                </w:p>
              </w:tc>
              <w:tc>
                <w:tcPr>
                  <w:tcW w:w="1140" w:type="dxa"/>
                  <w:vAlign w:val="center"/>
                </w:tcPr>
                <w:p w14:paraId="43C6EC1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3925.74</w:t>
                  </w:r>
                </w:p>
              </w:tc>
              <w:tc>
                <w:tcPr>
                  <w:tcW w:w="2053" w:type="dxa"/>
                  <w:vAlign w:val="center"/>
                </w:tcPr>
                <w:p w14:paraId="7E2903E7">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年产触摸屏</w:t>
                  </w:r>
                  <w:r>
                    <w:rPr>
                      <w:rFonts w:ascii="宋体" w:hAnsi="宋体" w:eastAsia="宋体" w:cs="宋体"/>
                      <w:color w:val="auto"/>
                      <w:spacing w:val="-21"/>
                      <w:sz w:val="21"/>
                      <w:szCs w:val="21"/>
                    </w:rPr>
                    <w:t xml:space="preserve"> </w:t>
                  </w:r>
                  <w:r>
                    <w:rPr>
                      <w:color w:val="auto"/>
                      <w:spacing w:val="-3"/>
                      <w:sz w:val="21"/>
                      <w:szCs w:val="21"/>
                    </w:rPr>
                    <w:t xml:space="preserve">100 </w:t>
                  </w:r>
                  <w:r>
                    <w:rPr>
                      <w:rFonts w:ascii="宋体" w:hAnsi="宋体" w:eastAsia="宋体" w:cs="宋体"/>
                      <w:color w:val="auto"/>
                      <w:spacing w:val="-3"/>
                      <w:sz w:val="21"/>
                      <w:szCs w:val="21"/>
                    </w:rPr>
                    <w:t>万片</w:t>
                  </w:r>
                </w:p>
              </w:tc>
              <w:tc>
                <w:tcPr>
                  <w:tcW w:w="1878" w:type="dxa"/>
                  <w:vAlign w:val="center"/>
                </w:tcPr>
                <w:p w14:paraId="01CFB17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2025</w:t>
                  </w:r>
                  <w:r>
                    <w:rPr>
                      <w:rFonts w:ascii="宋体" w:hAnsi="宋体" w:eastAsia="宋体" w:cs="宋体"/>
                      <w:color w:val="auto"/>
                      <w:spacing w:val="-1"/>
                      <w:sz w:val="21"/>
                      <w:szCs w:val="21"/>
                    </w:rPr>
                    <w:t>〕</w:t>
                  </w:r>
                  <w:r>
                    <w:rPr>
                      <w:color w:val="auto"/>
                      <w:spacing w:val="-1"/>
                      <w:sz w:val="21"/>
                      <w:szCs w:val="21"/>
                    </w:rPr>
                    <w:t>20</w:t>
                  </w:r>
                  <w:r>
                    <w:rPr>
                      <w:color w:val="auto"/>
                      <w:spacing w:val="18"/>
                      <w:sz w:val="21"/>
                      <w:szCs w:val="21"/>
                    </w:rPr>
                    <w:t xml:space="preserve"> </w:t>
                  </w:r>
                  <w:r>
                    <w:rPr>
                      <w:rFonts w:ascii="宋体" w:hAnsi="宋体" w:eastAsia="宋体" w:cs="宋体"/>
                      <w:color w:val="auto"/>
                      <w:spacing w:val="-1"/>
                      <w:sz w:val="21"/>
                      <w:szCs w:val="21"/>
                    </w:rPr>
                    <w:t>号</w:t>
                  </w:r>
                </w:p>
              </w:tc>
            </w:tr>
            <w:tr w14:paraId="2BDAE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jc w:val="center"/>
              </w:trPr>
              <w:tc>
                <w:tcPr>
                  <w:tcW w:w="311" w:type="dxa"/>
                  <w:vAlign w:val="center"/>
                </w:tcPr>
                <w:p w14:paraId="209DD67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szCs w:val="21"/>
                    </w:rPr>
                  </w:pPr>
                </w:p>
                <w:p w14:paraId="02EA305B">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3"/>
                      <w:sz w:val="21"/>
                      <w:szCs w:val="21"/>
                    </w:rPr>
                    <w:t>82</w:t>
                  </w:r>
                </w:p>
              </w:tc>
              <w:tc>
                <w:tcPr>
                  <w:tcW w:w="961" w:type="dxa"/>
                  <w:vAlign w:val="center"/>
                </w:tcPr>
                <w:p w14:paraId="1A88F4C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韶关金利达塑料制品有限公</w:t>
                  </w:r>
                </w:p>
                <w:p w14:paraId="4AF7EF0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司</w:t>
                  </w:r>
                </w:p>
              </w:tc>
              <w:tc>
                <w:tcPr>
                  <w:tcW w:w="600" w:type="dxa"/>
                  <w:vAlign w:val="center"/>
                </w:tcPr>
                <w:p w14:paraId="36294FE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szCs w:val="21"/>
                    </w:rPr>
                  </w:pPr>
                </w:p>
                <w:p w14:paraId="471B2AA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2495CCB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橡胶和塑料制品</w:t>
                  </w:r>
                </w:p>
                <w:p w14:paraId="6E59D01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业、废弃资源综合</w:t>
                  </w:r>
                </w:p>
                <w:p w14:paraId="4BD65F0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利用业</w:t>
                  </w:r>
                </w:p>
              </w:tc>
              <w:tc>
                <w:tcPr>
                  <w:tcW w:w="1140" w:type="dxa"/>
                  <w:vAlign w:val="center"/>
                </w:tcPr>
                <w:p w14:paraId="7262735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szCs w:val="21"/>
                    </w:rPr>
                  </w:pPr>
                </w:p>
                <w:p w14:paraId="282DC84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4"/>
                      <w:sz w:val="21"/>
                      <w:szCs w:val="21"/>
                    </w:rPr>
                    <w:t>18748.8</w:t>
                  </w:r>
                </w:p>
              </w:tc>
              <w:tc>
                <w:tcPr>
                  <w:tcW w:w="2053" w:type="dxa"/>
                  <w:vAlign w:val="center"/>
                </w:tcPr>
                <w:p w14:paraId="538A757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szCs w:val="21"/>
                    </w:rPr>
                  </w:pPr>
                </w:p>
                <w:p w14:paraId="7568DE19">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年产再生塑胶颗粒</w:t>
                  </w:r>
                  <w:r>
                    <w:rPr>
                      <w:rFonts w:ascii="宋体" w:hAnsi="宋体" w:eastAsia="宋体" w:cs="宋体"/>
                      <w:color w:val="auto"/>
                      <w:spacing w:val="-34"/>
                      <w:sz w:val="21"/>
                      <w:szCs w:val="21"/>
                    </w:rPr>
                    <w:t xml:space="preserve"> </w:t>
                  </w:r>
                  <w:r>
                    <w:rPr>
                      <w:color w:val="auto"/>
                      <w:spacing w:val="-2"/>
                      <w:sz w:val="21"/>
                      <w:szCs w:val="21"/>
                    </w:rPr>
                    <w:t>3000</w:t>
                  </w:r>
                  <w:r>
                    <w:rPr>
                      <w:color w:val="auto"/>
                      <w:spacing w:val="16"/>
                      <w:w w:val="101"/>
                      <w:sz w:val="21"/>
                      <w:szCs w:val="21"/>
                    </w:rPr>
                    <w:t xml:space="preserve"> </w:t>
                  </w:r>
                  <w:r>
                    <w:rPr>
                      <w:rFonts w:ascii="宋体" w:hAnsi="宋体" w:eastAsia="宋体" w:cs="宋体"/>
                      <w:color w:val="auto"/>
                      <w:spacing w:val="-2"/>
                      <w:sz w:val="21"/>
                      <w:szCs w:val="21"/>
                    </w:rPr>
                    <w:t>吨</w:t>
                  </w:r>
                </w:p>
              </w:tc>
              <w:tc>
                <w:tcPr>
                  <w:tcW w:w="1878" w:type="dxa"/>
                  <w:vAlign w:val="center"/>
                </w:tcPr>
                <w:p w14:paraId="01D4F78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z w:val="21"/>
                      <w:szCs w:val="21"/>
                    </w:rPr>
                  </w:pPr>
                </w:p>
                <w:p w14:paraId="16EB597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2025</w:t>
                  </w:r>
                  <w:r>
                    <w:rPr>
                      <w:rFonts w:ascii="宋体" w:hAnsi="宋体" w:eastAsia="宋体" w:cs="宋体"/>
                      <w:color w:val="auto"/>
                      <w:spacing w:val="-1"/>
                      <w:sz w:val="21"/>
                      <w:szCs w:val="21"/>
                    </w:rPr>
                    <w:t>〕</w:t>
                  </w:r>
                  <w:r>
                    <w:rPr>
                      <w:color w:val="auto"/>
                      <w:spacing w:val="-1"/>
                      <w:sz w:val="21"/>
                      <w:szCs w:val="21"/>
                    </w:rPr>
                    <w:t>13</w:t>
                  </w:r>
                  <w:r>
                    <w:rPr>
                      <w:color w:val="auto"/>
                      <w:spacing w:val="18"/>
                      <w:sz w:val="21"/>
                      <w:szCs w:val="21"/>
                    </w:rPr>
                    <w:t xml:space="preserve"> </w:t>
                  </w:r>
                  <w:r>
                    <w:rPr>
                      <w:rFonts w:ascii="宋体" w:hAnsi="宋体" w:eastAsia="宋体" w:cs="宋体"/>
                      <w:color w:val="auto"/>
                      <w:spacing w:val="-1"/>
                      <w:sz w:val="21"/>
                      <w:szCs w:val="21"/>
                    </w:rPr>
                    <w:t>号</w:t>
                  </w:r>
                </w:p>
              </w:tc>
            </w:tr>
            <w:tr w14:paraId="033F2E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311" w:type="dxa"/>
                  <w:vAlign w:val="center"/>
                </w:tcPr>
                <w:p w14:paraId="34F72AC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3"/>
                      <w:sz w:val="21"/>
                      <w:szCs w:val="21"/>
                    </w:rPr>
                    <w:t>83</w:t>
                  </w:r>
                </w:p>
              </w:tc>
              <w:tc>
                <w:tcPr>
                  <w:tcW w:w="961" w:type="dxa"/>
                  <w:vAlign w:val="center"/>
                </w:tcPr>
                <w:p w14:paraId="4BCADA5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广东铭洋应急消防器材有限</w:t>
                  </w:r>
                </w:p>
                <w:p w14:paraId="467BA1B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公司</w:t>
                  </w:r>
                </w:p>
              </w:tc>
              <w:tc>
                <w:tcPr>
                  <w:tcW w:w="600" w:type="dxa"/>
                  <w:vAlign w:val="center"/>
                </w:tcPr>
                <w:p w14:paraId="686457D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1CC4C79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专用设备制造业</w:t>
                  </w:r>
                </w:p>
              </w:tc>
              <w:tc>
                <w:tcPr>
                  <w:tcW w:w="1140" w:type="dxa"/>
                  <w:vAlign w:val="center"/>
                </w:tcPr>
                <w:p w14:paraId="38758FE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9850</w:t>
                  </w:r>
                </w:p>
              </w:tc>
              <w:tc>
                <w:tcPr>
                  <w:tcW w:w="2053" w:type="dxa"/>
                  <w:vAlign w:val="center"/>
                </w:tcPr>
                <w:p w14:paraId="05FD892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年产过滤式消防自救呼吸器</w:t>
                  </w:r>
                  <w:r>
                    <w:rPr>
                      <w:rFonts w:ascii="宋体" w:hAnsi="宋体" w:eastAsia="宋体" w:cs="宋体"/>
                      <w:color w:val="auto"/>
                      <w:spacing w:val="-41"/>
                      <w:sz w:val="21"/>
                      <w:szCs w:val="21"/>
                    </w:rPr>
                    <w:t xml:space="preserve"> </w:t>
                  </w:r>
                  <w:r>
                    <w:rPr>
                      <w:color w:val="auto"/>
                      <w:spacing w:val="-2"/>
                      <w:sz w:val="21"/>
                      <w:szCs w:val="21"/>
                    </w:rPr>
                    <w:t xml:space="preserve">750 </w:t>
                  </w:r>
                  <w:r>
                    <w:rPr>
                      <w:rFonts w:ascii="宋体" w:hAnsi="宋体" w:eastAsia="宋体" w:cs="宋体"/>
                      <w:color w:val="auto"/>
                      <w:spacing w:val="-2"/>
                      <w:sz w:val="21"/>
                      <w:szCs w:val="21"/>
                    </w:rPr>
                    <w:t>万具，配套催化剂</w:t>
                  </w:r>
                  <w:r>
                    <w:rPr>
                      <w:rFonts w:ascii="宋体" w:hAnsi="宋体" w:eastAsia="宋体" w:cs="宋体"/>
                      <w:color w:val="auto"/>
                      <w:spacing w:val="-47"/>
                      <w:sz w:val="21"/>
                      <w:szCs w:val="21"/>
                    </w:rPr>
                    <w:t xml:space="preserve"> </w:t>
                  </w:r>
                  <w:r>
                    <w:rPr>
                      <w:color w:val="auto"/>
                      <w:spacing w:val="-2"/>
                      <w:sz w:val="21"/>
                      <w:szCs w:val="21"/>
                    </w:rPr>
                    <w:t>720</w:t>
                  </w:r>
                  <w:r>
                    <w:rPr>
                      <w:color w:val="auto"/>
                      <w:spacing w:val="18"/>
                      <w:w w:val="101"/>
                      <w:sz w:val="21"/>
                      <w:szCs w:val="21"/>
                    </w:rPr>
                    <w:t xml:space="preserve"> </w:t>
                  </w:r>
                  <w:r>
                    <w:rPr>
                      <w:rFonts w:ascii="宋体" w:hAnsi="宋体" w:eastAsia="宋体" w:cs="宋体"/>
                      <w:color w:val="auto"/>
                      <w:spacing w:val="-2"/>
                      <w:sz w:val="21"/>
                      <w:szCs w:val="21"/>
                    </w:rPr>
                    <w:t>吨，</w:t>
                  </w:r>
                </w:p>
                <w:p w14:paraId="6EBAF91B">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卡加拉特剂</w:t>
                  </w:r>
                  <w:r>
                    <w:rPr>
                      <w:rFonts w:ascii="宋体" w:hAnsi="宋体" w:eastAsia="宋体" w:cs="宋体"/>
                      <w:color w:val="auto"/>
                      <w:spacing w:val="-23"/>
                      <w:sz w:val="21"/>
                      <w:szCs w:val="21"/>
                    </w:rPr>
                    <w:t xml:space="preserve"> </w:t>
                  </w:r>
                  <w:r>
                    <w:rPr>
                      <w:color w:val="auto"/>
                      <w:spacing w:val="-4"/>
                      <w:sz w:val="21"/>
                      <w:szCs w:val="21"/>
                    </w:rPr>
                    <w:t>1080</w:t>
                  </w:r>
                  <w:r>
                    <w:rPr>
                      <w:color w:val="auto"/>
                      <w:spacing w:val="19"/>
                      <w:sz w:val="21"/>
                      <w:szCs w:val="21"/>
                    </w:rPr>
                    <w:t xml:space="preserve"> </w:t>
                  </w:r>
                  <w:r>
                    <w:rPr>
                      <w:rFonts w:ascii="宋体" w:hAnsi="宋体" w:eastAsia="宋体" w:cs="宋体"/>
                      <w:color w:val="auto"/>
                      <w:spacing w:val="-4"/>
                      <w:sz w:val="21"/>
                      <w:szCs w:val="21"/>
                    </w:rPr>
                    <w:t>吨</w:t>
                  </w:r>
                </w:p>
              </w:tc>
              <w:tc>
                <w:tcPr>
                  <w:tcW w:w="1878" w:type="dxa"/>
                  <w:vAlign w:val="center"/>
                </w:tcPr>
                <w:p w14:paraId="05FA598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z w:val="21"/>
                      <w:szCs w:val="21"/>
                    </w:rPr>
                    <w:t>韶环审〔</w:t>
                  </w:r>
                  <w:r>
                    <w:rPr>
                      <w:color w:val="auto"/>
                      <w:sz w:val="21"/>
                      <w:szCs w:val="21"/>
                    </w:rPr>
                    <w:t>2025</w:t>
                  </w:r>
                  <w:r>
                    <w:rPr>
                      <w:rFonts w:ascii="宋体" w:hAnsi="宋体" w:eastAsia="宋体" w:cs="宋体"/>
                      <w:color w:val="auto"/>
                      <w:sz w:val="21"/>
                      <w:szCs w:val="21"/>
                    </w:rPr>
                    <w:t>〕</w:t>
                  </w:r>
                  <w:r>
                    <w:rPr>
                      <w:color w:val="auto"/>
                      <w:sz w:val="21"/>
                      <w:szCs w:val="21"/>
                    </w:rPr>
                    <w:t xml:space="preserve">24  </w:t>
                  </w:r>
                  <w:r>
                    <w:rPr>
                      <w:rFonts w:ascii="宋体" w:hAnsi="宋体" w:eastAsia="宋体" w:cs="宋体"/>
                      <w:color w:val="auto"/>
                      <w:sz w:val="21"/>
                      <w:szCs w:val="21"/>
                    </w:rPr>
                    <w:t>号</w:t>
                  </w:r>
                </w:p>
              </w:tc>
            </w:tr>
            <w:tr w14:paraId="39AE57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311" w:type="dxa"/>
                  <w:vAlign w:val="center"/>
                </w:tcPr>
                <w:p w14:paraId="53BB93AC">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3"/>
                      <w:sz w:val="21"/>
                      <w:szCs w:val="21"/>
                    </w:rPr>
                    <w:t>84</w:t>
                  </w:r>
                </w:p>
              </w:tc>
              <w:tc>
                <w:tcPr>
                  <w:tcW w:w="961" w:type="dxa"/>
                  <w:vAlign w:val="center"/>
                </w:tcPr>
                <w:p w14:paraId="7906220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韶关市建兴新材料科技有限</w:t>
                  </w:r>
                </w:p>
                <w:p w14:paraId="47A6D17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公司</w:t>
                  </w:r>
                </w:p>
              </w:tc>
              <w:tc>
                <w:tcPr>
                  <w:tcW w:w="600" w:type="dxa"/>
                  <w:vAlign w:val="center"/>
                </w:tcPr>
                <w:p w14:paraId="6975ACC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在建</w:t>
                  </w:r>
                </w:p>
              </w:tc>
              <w:tc>
                <w:tcPr>
                  <w:tcW w:w="915" w:type="dxa"/>
                  <w:vAlign w:val="center"/>
                </w:tcPr>
                <w:p w14:paraId="04002EC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非金属矿采选业</w:t>
                  </w:r>
                </w:p>
              </w:tc>
              <w:tc>
                <w:tcPr>
                  <w:tcW w:w="1140" w:type="dxa"/>
                  <w:vAlign w:val="center"/>
                </w:tcPr>
                <w:p w14:paraId="6667F70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33562.6</w:t>
                  </w:r>
                </w:p>
              </w:tc>
              <w:tc>
                <w:tcPr>
                  <w:tcW w:w="2053" w:type="dxa"/>
                  <w:vAlign w:val="center"/>
                </w:tcPr>
                <w:p w14:paraId="7C3064F9">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年产堂石精矿</w:t>
                  </w:r>
                  <w:r>
                    <w:rPr>
                      <w:rFonts w:ascii="宋体" w:hAnsi="宋体" w:eastAsia="宋体" w:cs="宋体"/>
                      <w:color w:val="auto"/>
                      <w:spacing w:val="-34"/>
                      <w:sz w:val="21"/>
                      <w:szCs w:val="21"/>
                    </w:rPr>
                    <w:t xml:space="preserve"> </w:t>
                  </w:r>
                  <w:r>
                    <w:rPr>
                      <w:color w:val="auto"/>
                      <w:spacing w:val="-2"/>
                      <w:sz w:val="21"/>
                      <w:szCs w:val="21"/>
                    </w:rPr>
                    <w:t xml:space="preserve">5 </w:t>
                  </w:r>
                  <w:r>
                    <w:rPr>
                      <w:rFonts w:ascii="宋体" w:hAnsi="宋体" w:eastAsia="宋体" w:cs="宋体"/>
                      <w:color w:val="auto"/>
                      <w:spacing w:val="-2"/>
                      <w:sz w:val="21"/>
                      <w:szCs w:val="21"/>
                    </w:rPr>
                    <w:t>万吨</w:t>
                  </w:r>
                </w:p>
              </w:tc>
              <w:tc>
                <w:tcPr>
                  <w:tcW w:w="1878" w:type="dxa"/>
                  <w:vAlign w:val="center"/>
                </w:tcPr>
                <w:p w14:paraId="5B3757A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z w:val="21"/>
                      <w:szCs w:val="21"/>
                    </w:rPr>
                    <w:t>韶环乐审〔</w:t>
                  </w:r>
                  <w:r>
                    <w:rPr>
                      <w:color w:val="auto"/>
                      <w:sz w:val="21"/>
                      <w:szCs w:val="21"/>
                    </w:rPr>
                    <w:t>2025</w:t>
                  </w:r>
                  <w:r>
                    <w:rPr>
                      <w:rFonts w:ascii="宋体" w:hAnsi="宋体" w:eastAsia="宋体" w:cs="宋体"/>
                      <w:color w:val="auto"/>
                      <w:sz w:val="21"/>
                      <w:szCs w:val="21"/>
                    </w:rPr>
                    <w:t>〕</w:t>
                  </w:r>
                  <w:r>
                    <w:rPr>
                      <w:color w:val="auto"/>
                      <w:sz w:val="21"/>
                      <w:szCs w:val="21"/>
                    </w:rPr>
                    <w:t xml:space="preserve">14  </w:t>
                  </w:r>
                  <w:r>
                    <w:rPr>
                      <w:rFonts w:ascii="宋体" w:hAnsi="宋体" w:eastAsia="宋体" w:cs="宋体"/>
                      <w:color w:val="auto"/>
                      <w:sz w:val="21"/>
                      <w:szCs w:val="21"/>
                    </w:rPr>
                    <w:t>号</w:t>
                  </w:r>
                </w:p>
              </w:tc>
            </w:tr>
            <w:tr w14:paraId="5AF2B0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4F4C342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3"/>
                      <w:sz w:val="21"/>
                      <w:szCs w:val="21"/>
                    </w:rPr>
                    <w:t>85</w:t>
                  </w:r>
                </w:p>
              </w:tc>
              <w:tc>
                <w:tcPr>
                  <w:tcW w:w="961" w:type="dxa"/>
                  <w:vAlign w:val="center"/>
                </w:tcPr>
                <w:p w14:paraId="49C76773">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韶关市泳金构造机械有限公</w:t>
                  </w:r>
                </w:p>
                <w:p w14:paraId="0DB8F55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司</w:t>
                  </w:r>
                </w:p>
              </w:tc>
              <w:tc>
                <w:tcPr>
                  <w:tcW w:w="600" w:type="dxa"/>
                  <w:vAlign w:val="center"/>
                </w:tcPr>
                <w:p w14:paraId="04E6361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在建</w:t>
                  </w:r>
                </w:p>
              </w:tc>
              <w:tc>
                <w:tcPr>
                  <w:tcW w:w="915" w:type="dxa"/>
                  <w:vAlign w:val="center"/>
                </w:tcPr>
                <w:p w14:paraId="3E204F2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0726A6C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20477.32</w:t>
                  </w:r>
                </w:p>
              </w:tc>
              <w:tc>
                <w:tcPr>
                  <w:tcW w:w="2053" w:type="dxa"/>
                  <w:vAlign w:val="center"/>
                </w:tcPr>
                <w:p w14:paraId="30A26A7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年产钢结构成品</w:t>
                  </w:r>
                  <w:r>
                    <w:rPr>
                      <w:rFonts w:ascii="宋体" w:hAnsi="宋体" w:eastAsia="宋体" w:cs="宋体"/>
                      <w:color w:val="auto"/>
                      <w:spacing w:val="-28"/>
                      <w:sz w:val="21"/>
                      <w:szCs w:val="21"/>
                    </w:rPr>
                    <w:t xml:space="preserve"> </w:t>
                  </w:r>
                  <w:r>
                    <w:rPr>
                      <w:color w:val="auto"/>
                      <w:spacing w:val="-2"/>
                      <w:sz w:val="21"/>
                      <w:szCs w:val="21"/>
                    </w:rPr>
                    <w:t xml:space="preserve">1.3 </w:t>
                  </w:r>
                  <w:r>
                    <w:rPr>
                      <w:rFonts w:ascii="宋体" w:hAnsi="宋体" w:eastAsia="宋体" w:cs="宋体"/>
                      <w:color w:val="auto"/>
                      <w:spacing w:val="-2"/>
                      <w:sz w:val="21"/>
                      <w:szCs w:val="21"/>
                    </w:rPr>
                    <w:t>万吨</w:t>
                  </w:r>
                </w:p>
              </w:tc>
              <w:tc>
                <w:tcPr>
                  <w:tcW w:w="1878" w:type="dxa"/>
                  <w:vAlign w:val="center"/>
                </w:tcPr>
                <w:p w14:paraId="081B0CF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2025</w:t>
                  </w:r>
                  <w:r>
                    <w:rPr>
                      <w:rFonts w:ascii="宋体" w:hAnsi="宋体" w:eastAsia="宋体" w:cs="宋体"/>
                      <w:color w:val="auto"/>
                      <w:spacing w:val="-1"/>
                      <w:sz w:val="21"/>
                      <w:szCs w:val="21"/>
                    </w:rPr>
                    <w:t>〕</w:t>
                  </w:r>
                  <w:r>
                    <w:rPr>
                      <w:color w:val="auto"/>
                      <w:spacing w:val="-1"/>
                      <w:sz w:val="21"/>
                      <w:szCs w:val="21"/>
                    </w:rPr>
                    <w:t>05</w:t>
                  </w:r>
                  <w:r>
                    <w:rPr>
                      <w:color w:val="auto"/>
                      <w:spacing w:val="18"/>
                      <w:sz w:val="21"/>
                      <w:szCs w:val="21"/>
                    </w:rPr>
                    <w:t xml:space="preserve"> </w:t>
                  </w:r>
                  <w:r>
                    <w:rPr>
                      <w:rFonts w:ascii="宋体" w:hAnsi="宋体" w:eastAsia="宋体" w:cs="宋体"/>
                      <w:color w:val="auto"/>
                      <w:spacing w:val="-1"/>
                      <w:sz w:val="21"/>
                      <w:szCs w:val="21"/>
                    </w:rPr>
                    <w:t>号</w:t>
                  </w:r>
                </w:p>
              </w:tc>
            </w:tr>
            <w:tr w14:paraId="061D9B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6F33BBF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3"/>
                      <w:sz w:val="21"/>
                      <w:szCs w:val="21"/>
                    </w:rPr>
                    <w:t>86</w:t>
                  </w:r>
                </w:p>
              </w:tc>
              <w:tc>
                <w:tcPr>
                  <w:tcW w:w="961" w:type="dxa"/>
                  <w:vAlign w:val="center"/>
                </w:tcPr>
                <w:p w14:paraId="70C28B3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广东欣汇复合材料有限公司</w:t>
                  </w:r>
                </w:p>
              </w:tc>
              <w:tc>
                <w:tcPr>
                  <w:tcW w:w="600" w:type="dxa"/>
                  <w:vAlign w:val="center"/>
                </w:tcPr>
                <w:p w14:paraId="4B95D9D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在建</w:t>
                  </w:r>
                </w:p>
              </w:tc>
              <w:tc>
                <w:tcPr>
                  <w:tcW w:w="915" w:type="dxa"/>
                  <w:vAlign w:val="center"/>
                </w:tcPr>
                <w:p w14:paraId="707526F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非金属矿物制品业</w:t>
                  </w:r>
                </w:p>
              </w:tc>
              <w:tc>
                <w:tcPr>
                  <w:tcW w:w="1140" w:type="dxa"/>
                  <w:vAlign w:val="center"/>
                </w:tcPr>
                <w:p w14:paraId="7454B54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29024.94</w:t>
                  </w:r>
                </w:p>
              </w:tc>
              <w:tc>
                <w:tcPr>
                  <w:tcW w:w="2053" w:type="dxa"/>
                  <w:vAlign w:val="center"/>
                </w:tcPr>
                <w:p w14:paraId="5CBF884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年产玻璃纤维增强塑料制品</w:t>
                  </w:r>
                  <w:r>
                    <w:rPr>
                      <w:rFonts w:ascii="宋体" w:hAnsi="宋体" w:eastAsia="宋体" w:cs="宋体"/>
                      <w:color w:val="auto"/>
                      <w:spacing w:val="-27"/>
                      <w:sz w:val="21"/>
                      <w:szCs w:val="21"/>
                    </w:rPr>
                    <w:t xml:space="preserve"> </w:t>
                  </w:r>
                  <w:r>
                    <w:rPr>
                      <w:color w:val="auto"/>
                      <w:spacing w:val="-3"/>
                      <w:sz w:val="21"/>
                      <w:szCs w:val="21"/>
                    </w:rPr>
                    <w:t>7200</w:t>
                  </w:r>
                  <w:r>
                    <w:rPr>
                      <w:color w:val="auto"/>
                      <w:spacing w:val="19"/>
                      <w:sz w:val="21"/>
                      <w:szCs w:val="21"/>
                    </w:rPr>
                    <w:t xml:space="preserve"> </w:t>
                  </w:r>
                  <w:r>
                    <w:rPr>
                      <w:rFonts w:ascii="宋体" w:hAnsi="宋体" w:eastAsia="宋体" w:cs="宋体"/>
                      <w:color w:val="auto"/>
                      <w:spacing w:val="-3"/>
                      <w:sz w:val="21"/>
                      <w:szCs w:val="21"/>
                    </w:rPr>
                    <w:t>吨、玻纤布</w:t>
                  </w:r>
                  <w:r>
                    <w:rPr>
                      <w:rFonts w:ascii="宋体" w:hAnsi="宋体" w:eastAsia="宋体" w:cs="宋体"/>
                      <w:color w:val="auto"/>
                      <w:spacing w:val="-30"/>
                      <w:sz w:val="21"/>
                      <w:szCs w:val="21"/>
                    </w:rPr>
                    <w:t xml:space="preserve"> </w:t>
                  </w:r>
                  <w:r>
                    <w:rPr>
                      <w:color w:val="auto"/>
                      <w:spacing w:val="-3"/>
                      <w:sz w:val="21"/>
                      <w:szCs w:val="21"/>
                    </w:rPr>
                    <w:t>1200</w:t>
                  </w:r>
                  <w:r>
                    <w:rPr>
                      <w:color w:val="auto"/>
                      <w:spacing w:val="16"/>
                      <w:sz w:val="21"/>
                      <w:szCs w:val="21"/>
                    </w:rPr>
                    <w:t xml:space="preserve"> </w:t>
                  </w:r>
                  <w:r>
                    <w:rPr>
                      <w:rFonts w:ascii="宋体" w:hAnsi="宋体" w:eastAsia="宋体" w:cs="宋体"/>
                      <w:color w:val="auto"/>
                      <w:spacing w:val="-3"/>
                      <w:sz w:val="21"/>
                      <w:szCs w:val="21"/>
                    </w:rPr>
                    <w:t>吨、生活</w:t>
                  </w:r>
                </w:p>
                <w:p w14:paraId="7CA0CFC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用品</w:t>
                  </w:r>
                  <w:r>
                    <w:rPr>
                      <w:rFonts w:ascii="宋体" w:hAnsi="宋体" w:eastAsia="宋体" w:cs="宋体"/>
                      <w:color w:val="auto"/>
                      <w:spacing w:val="-43"/>
                      <w:sz w:val="21"/>
                      <w:szCs w:val="21"/>
                    </w:rPr>
                    <w:t xml:space="preserve"> </w:t>
                  </w:r>
                  <w:r>
                    <w:rPr>
                      <w:color w:val="auto"/>
                      <w:spacing w:val="-4"/>
                      <w:sz w:val="21"/>
                      <w:szCs w:val="21"/>
                    </w:rPr>
                    <w:t>3500</w:t>
                  </w:r>
                  <w:r>
                    <w:rPr>
                      <w:color w:val="auto"/>
                      <w:spacing w:val="16"/>
                      <w:w w:val="101"/>
                      <w:sz w:val="21"/>
                      <w:szCs w:val="21"/>
                    </w:rPr>
                    <w:t xml:space="preserve"> </w:t>
                  </w:r>
                  <w:r>
                    <w:rPr>
                      <w:rFonts w:ascii="宋体" w:hAnsi="宋体" w:eastAsia="宋体" w:cs="宋体"/>
                      <w:color w:val="auto"/>
                      <w:spacing w:val="-4"/>
                      <w:sz w:val="21"/>
                      <w:szCs w:val="21"/>
                    </w:rPr>
                    <w:t>吨、塑料配件</w:t>
                  </w:r>
                  <w:r>
                    <w:rPr>
                      <w:rFonts w:ascii="宋体" w:hAnsi="宋体" w:eastAsia="宋体" w:cs="宋体"/>
                      <w:color w:val="auto"/>
                      <w:spacing w:val="-30"/>
                      <w:sz w:val="21"/>
                      <w:szCs w:val="21"/>
                    </w:rPr>
                    <w:t xml:space="preserve"> </w:t>
                  </w:r>
                  <w:r>
                    <w:rPr>
                      <w:color w:val="auto"/>
                      <w:spacing w:val="-4"/>
                      <w:sz w:val="21"/>
                      <w:szCs w:val="21"/>
                    </w:rPr>
                    <w:t>15</w:t>
                  </w:r>
                  <w:r>
                    <w:rPr>
                      <w:color w:val="auto"/>
                      <w:spacing w:val="19"/>
                      <w:sz w:val="21"/>
                      <w:szCs w:val="21"/>
                    </w:rPr>
                    <w:t xml:space="preserve"> </w:t>
                  </w:r>
                  <w:r>
                    <w:rPr>
                      <w:rFonts w:ascii="宋体" w:hAnsi="宋体" w:eastAsia="宋体" w:cs="宋体"/>
                      <w:color w:val="auto"/>
                      <w:spacing w:val="-4"/>
                      <w:sz w:val="21"/>
                      <w:szCs w:val="21"/>
                    </w:rPr>
                    <w:t>吨</w:t>
                  </w:r>
                </w:p>
              </w:tc>
              <w:tc>
                <w:tcPr>
                  <w:tcW w:w="1878" w:type="dxa"/>
                  <w:vAlign w:val="center"/>
                </w:tcPr>
                <w:p w14:paraId="61C6F3D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2024</w:t>
                  </w:r>
                  <w:r>
                    <w:rPr>
                      <w:rFonts w:ascii="宋体" w:hAnsi="宋体" w:eastAsia="宋体" w:cs="宋体"/>
                      <w:color w:val="auto"/>
                      <w:spacing w:val="-1"/>
                      <w:sz w:val="21"/>
                      <w:szCs w:val="21"/>
                    </w:rPr>
                    <w:t>〕</w:t>
                  </w:r>
                  <w:r>
                    <w:rPr>
                      <w:color w:val="auto"/>
                      <w:spacing w:val="-1"/>
                      <w:sz w:val="21"/>
                      <w:szCs w:val="21"/>
                    </w:rPr>
                    <w:t>26</w:t>
                  </w:r>
                  <w:r>
                    <w:rPr>
                      <w:color w:val="auto"/>
                      <w:spacing w:val="18"/>
                      <w:sz w:val="21"/>
                      <w:szCs w:val="21"/>
                    </w:rPr>
                    <w:t xml:space="preserve"> </w:t>
                  </w:r>
                  <w:r>
                    <w:rPr>
                      <w:rFonts w:ascii="宋体" w:hAnsi="宋体" w:eastAsia="宋体" w:cs="宋体"/>
                      <w:color w:val="auto"/>
                      <w:spacing w:val="-1"/>
                      <w:sz w:val="21"/>
                      <w:szCs w:val="21"/>
                    </w:rPr>
                    <w:t>号</w:t>
                  </w:r>
                </w:p>
              </w:tc>
            </w:tr>
            <w:tr w14:paraId="69A6F0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311" w:type="dxa"/>
                  <w:vAlign w:val="center"/>
                </w:tcPr>
                <w:p w14:paraId="5B7E632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3"/>
                      <w:sz w:val="21"/>
                      <w:szCs w:val="21"/>
                    </w:rPr>
                    <w:t>87</w:t>
                  </w:r>
                </w:p>
              </w:tc>
              <w:tc>
                <w:tcPr>
                  <w:tcW w:w="961" w:type="dxa"/>
                  <w:vAlign w:val="center"/>
                </w:tcPr>
                <w:p w14:paraId="1A00DA2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乐昌市鑫盛塑业有限公司</w:t>
                  </w:r>
                </w:p>
              </w:tc>
              <w:tc>
                <w:tcPr>
                  <w:tcW w:w="600" w:type="dxa"/>
                  <w:vAlign w:val="center"/>
                </w:tcPr>
                <w:p w14:paraId="365EAEF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在建</w:t>
                  </w:r>
                </w:p>
              </w:tc>
              <w:tc>
                <w:tcPr>
                  <w:tcW w:w="915" w:type="dxa"/>
                  <w:vAlign w:val="center"/>
                </w:tcPr>
                <w:p w14:paraId="58C00FF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橡胶和塑料制品业</w:t>
                  </w:r>
                </w:p>
              </w:tc>
              <w:tc>
                <w:tcPr>
                  <w:tcW w:w="1140" w:type="dxa"/>
                  <w:vAlign w:val="center"/>
                </w:tcPr>
                <w:p w14:paraId="2220DB1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5"/>
                      <w:sz w:val="21"/>
                      <w:szCs w:val="21"/>
                    </w:rPr>
                    <w:t>1182.71</w:t>
                  </w:r>
                </w:p>
              </w:tc>
              <w:tc>
                <w:tcPr>
                  <w:tcW w:w="2053" w:type="dxa"/>
                  <w:vAlign w:val="center"/>
                </w:tcPr>
                <w:p w14:paraId="28B9B49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年产编织袋</w:t>
                  </w:r>
                  <w:r>
                    <w:rPr>
                      <w:rFonts w:ascii="宋体" w:hAnsi="宋体" w:eastAsia="宋体" w:cs="宋体"/>
                      <w:color w:val="auto"/>
                      <w:spacing w:val="-41"/>
                      <w:sz w:val="21"/>
                      <w:szCs w:val="21"/>
                    </w:rPr>
                    <w:t xml:space="preserve"> </w:t>
                  </w:r>
                  <w:r>
                    <w:rPr>
                      <w:color w:val="auto"/>
                      <w:spacing w:val="-2"/>
                      <w:sz w:val="21"/>
                      <w:szCs w:val="21"/>
                    </w:rPr>
                    <w:t>5000</w:t>
                  </w:r>
                  <w:r>
                    <w:rPr>
                      <w:color w:val="auto"/>
                      <w:spacing w:val="18"/>
                      <w:w w:val="101"/>
                      <w:sz w:val="21"/>
                      <w:szCs w:val="21"/>
                    </w:rPr>
                    <w:t xml:space="preserve"> </w:t>
                  </w:r>
                  <w:r>
                    <w:rPr>
                      <w:rFonts w:ascii="宋体" w:hAnsi="宋体" w:eastAsia="宋体" w:cs="宋体"/>
                      <w:color w:val="auto"/>
                      <w:spacing w:val="-2"/>
                      <w:sz w:val="21"/>
                      <w:szCs w:val="21"/>
                    </w:rPr>
                    <w:t>吨</w:t>
                  </w:r>
                </w:p>
              </w:tc>
              <w:tc>
                <w:tcPr>
                  <w:tcW w:w="1878" w:type="dxa"/>
                  <w:vAlign w:val="center"/>
                </w:tcPr>
                <w:p w14:paraId="021A75E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乐环审</w:t>
                  </w:r>
                  <w:r>
                    <w:rPr>
                      <w:color w:val="auto"/>
                      <w:spacing w:val="-2"/>
                      <w:sz w:val="21"/>
                      <w:szCs w:val="21"/>
                    </w:rPr>
                    <w:t>[</w:t>
                  </w:r>
                  <w:r>
                    <w:rPr>
                      <w:color w:val="auto"/>
                      <w:sz w:val="21"/>
                      <w:szCs w:val="21"/>
                    </w:rPr>
                    <w:fldChar w:fldCharType="begin"/>
                  </w:r>
                  <w:r>
                    <w:rPr>
                      <w:color w:val="auto"/>
                      <w:sz w:val="21"/>
                      <w:szCs w:val="21"/>
                    </w:rPr>
                    <w:instrText xml:space="preserve"> HYPERLINK \l "bookmark253" </w:instrText>
                  </w:r>
                  <w:r>
                    <w:rPr>
                      <w:color w:val="auto"/>
                      <w:sz w:val="21"/>
                      <w:szCs w:val="21"/>
                    </w:rPr>
                    <w:fldChar w:fldCharType="separate"/>
                  </w:r>
                  <w:r>
                    <w:rPr>
                      <w:color w:val="auto"/>
                      <w:spacing w:val="-2"/>
                      <w:sz w:val="21"/>
                      <w:szCs w:val="21"/>
                    </w:rPr>
                    <w:t>2017</w:t>
                  </w:r>
                  <w:r>
                    <w:rPr>
                      <w:color w:val="auto"/>
                      <w:spacing w:val="-2"/>
                      <w:sz w:val="21"/>
                      <w:szCs w:val="21"/>
                    </w:rPr>
                    <w:fldChar w:fldCharType="end"/>
                  </w:r>
                  <w:r>
                    <w:rPr>
                      <w:color w:val="auto"/>
                      <w:spacing w:val="-2"/>
                      <w:sz w:val="21"/>
                      <w:szCs w:val="21"/>
                    </w:rPr>
                    <w:t>]21</w:t>
                  </w:r>
                  <w:r>
                    <w:rPr>
                      <w:color w:val="auto"/>
                      <w:spacing w:val="24"/>
                      <w:sz w:val="21"/>
                      <w:szCs w:val="21"/>
                    </w:rPr>
                    <w:t xml:space="preserve"> </w:t>
                  </w:r>
                  <w:r>
                    <w:rPr>
                      <w:rFonts w:ascii="宋体" w:hAnsi="宋体" w:eastAsia="宋体" w:cs="宋体"/>
                      <w:color w:val="auto"/>
                      <w:spacing w:val="-2"/>
                      <w:sz w:val="21"/>
                      <w:szCs w:val="21"/>
                    </w:rPr>
                    <w:t>号</w:t>
                  </w:r>
                </w:p>
              </w:tc>
            </w:tr>
            <w:tr w14:paraId="7BDFA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16F3651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3"/>
                      <w:sz w:val="21"/>
                      <w:szCs w:val="21"/>
                    </w:rPr>
                    <w:t>88</w:t>
                  </w:r>
                </w:p>
              </w:tc>
              <w:tc>
                <w:tcPr>
                  <w:tcW w:w="961" w:type="dxa"/>
                  <w:vAlign w:val="center"/>
                </w:tcPr>
                <w:p w14:paraId="1259E2E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广东金康新材料有限公司</w:t>
                  </w:r>
                </w:p>
              </w:tc>
              <w:tc>
                <w:tcPr>
                  <w:tcW w:w="600" w:type="dxa"/>
                  <w:vAlign w:val="center"/>
                </w:tcPr>
                <w:p w14:paraId="7E81648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3F75593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化学原料和化学制</w:t>
                  </w:r>
                  <w:r>
                    <w:rPr>
                      <w:rFonts w:ascii="宋体" w:hAnsi="宋体" w:eastAsia="宋体" w:cs="宋体"/>
                      <w:color w:val="auto"/>
                      <w:spacing w:val="-6"/>
                      <w:sz w:val="21"/>
                      <w:szCs w:val="21"/>
                    </w:rPr>
                    <w:t>品制造业</w:t>
                  </w:r>
                </w:p>
              </w:tc>
              <w:tc>
                <w:tcPr>
                  <w:tcW w:w="1140" w:type="dxa"/>
                  <w:vAlign w:val="center"/>
                </w:tcPr>
                <w:p w14:paraId="6693A6B8">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5"/>
                      <w:sz w:val="21"/>
                      <w:szCs w:val="21"/>
                    </w:rPr>
                    <w:t>11260.7</w:t>
                  </w:r>
                </w:p>
              </w:tc>
              <w:tc>
                <w:tcPr>
                  <w:tcW w:w="2053" w:type="dxa"/>
                  <w:vAlign w:val="center"/>
                </w:tcPr>
                <w:p w14:paraId="6BE728F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w:t>
                  </w:r>
                  <w:r>
                    <w:rPr>
                      <w:rFonts w:ascii="宋体" w:hAnsi="宋体" w:eastAsia="宋体" w:cs="宋体"/>
                      <w:color w:val="auto"/>
                      <w:spacing w:val="-49"/>
                      <w:sz w:val="21"/>
                      <w:szCs w:val="21"/>
                    </w:rPr>
                    <w:t xml:space="preserve"> </w:t>
                  </w:r>
                  <w:r>
                    <w:rPr>
                      <w:color w:val="auto"/>
                      <w:spacing w:val="-2"/>
                      <w:sz w:val="21"/>
                      <w:szCs w:val="21"/>
                    </w:rPr>
                    <w:t xml:space="preserve">PVC </w:t>
                  </w:r>
                  <w:r>
                    <w:rPr>
                      <w:rFonts w:ascii="宋体" w:hAnsi="宋体" w:eastAsia="宋体" w:cs="宋体"/>
                      <w:color w:val="auto"/>
                      <w:spacing w:val="-2"/>
                      <w:sz w:val="21"/>
                      <w:szCs w:val="21"/>
                    </w:rPr>
                    <w:t>稳定剂</w:t>
                  </w:r>
                  <w:r>
                    <w:rPr>
                      <w:rFonts w:ascii="宋体" w:hAnsi="宋体" w:eastAsia="宋体" w:cs="宋体"/>
                      <w:color w:val="auto"/>
                      <w:spacing w:val="-43"/>
                      <w:sz w:val="21"/>
                      <w:szCs w:val="21"/>
                    </w:rPr>
                    <w:t xml:space="preserve"> </w:t>
                  </w:r>
                  <w:r>
                    <w:rPr>
                      <w:color w:val="auto"/>
                      <w:spacing w:val="-2"/>
                      <w:sz w:val="21"/>
                      <w:szCs w:val="21"/>
                    </w:rPr>
                    <w:t>3600</w:t>
                  </w:r>
                  <w:r>
                    <w:rPr>
                      <w:color w:val="auto"/>
                      <w:spacing w:val="18"/>
                      <w:w w:val="101"/>
                      <w:sz w:val="21"/>
                      <w:szCs w:val="21"/>
                    </w:rPr>
                    <w:t xml:space="preserve"> </w:t>
                  </w:r>
                  <w:r>
                    <w:rPr>
                      <w:rFonts w:ascii="宋体" w:hAnsi="宋体" w:eastAsia="宋体" w:cs="宋体"/>
                      <w:color w:val="auto"/>
                      <w:spacing w:val="-2"/>
                      <w:sz w:val="21"/>
                      <w:szCs w:val="21"/>
                    </w:rPr>
                    <w:t>吨、助剂</w:t>
                  </w:r>
                  <w:r>
                    <w:rPr>
                      <w:rFonts w:ascii="宋体" w:hAnsi="宋体" w:eastAsia="宋体" w:cs="宋体"/>
                      <w:color w:val="auto"/>
                      <w:spacing w:val="-48"/>
                      <w:sz w:val="21"/>
                      <w:szCs w:val="21"/>
                    </w:rPr>
                    <w:t xml:space="preserve"> </w:t>
                  </w:r>
                  <w:r>
                    <w:rPr>
                      <w:color w:val="auto"/>
                      <w:spacing w:val="-2"/>
                      <w:sz w:val="21"/>
                      <w:szCs w:val="21"/>
                    </w:rPr>
                    <w:t>2400</w:t>
                  </w:r>
                  <w:r>
                    <w:rPr>
                      <w:color w:val="auto"/>
                      <w:spacing w:val="18"/>
                      <w:w w:val="101"/>
                      <w:sz w:val="21"/>
                      <w:szCs w:val="21"/>
                    </w:rPr>
                    <w:t xml:space="preserve"> </w:t>
                  </w:r>
                  <w:r>
                    <w:rPr>
                      <w:rFonts w:ascii="宋体" w:hAnsi="宋体" w:eastAsia="宋体" w:cs="宋体"/>
                      <w:color w:val="auto"/>
                      <w:spacing w:val="-2"/>
                      <w:sz w:val="21"/>
                      <w:szCs w:val="21"/>
                    </w:rPr>
                    <w:t>吨</w:t>
                  </w:r>
                </w:p>
              </w:tc>
              <w:tc>
                <w:tcPr>
                  <w:tcW w:w="1878" w:type="dxa"/>
                  <w:vAlign w:val="center"/>
                </w:tcPr>
                <w:p w14:paraId="5373DCD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乐环审〔</w:t>
                  </w:r>
                  <w:r>
                    <w:rPr>
                      <w:color w:val="auto"/>
                      <w:spacing w:val="-1"/>
                      <w:sz w:val="21"/>
                      <w:szCs w:val="21"/>
                    </w:rPr>
                    <w:t>2020</w:t>
                  </w:r>
                  <w:r>
                    <w:rPr>
                      <w:rFonts w:ascii="宋体" w:hAnsi="宋体" w:eastAsia="宋体" w:cs="宋体"/>
                      <w:color w:val="auto"/>
                      <w:spacing w:val="-1"/>
                      <w:sz w:val="21"/>
                      <w:szCs w:val="21"/>
                    </w:rPr>
                    <w:t>〕</w:t>
                  </w:r>
                  <w:r>
                    <w:rPr>
                      <w:color w:val="auto"/>
                      <w:spacing w:val="-1"/>
                      <w:sz w:val="21"/>
                      <w:szCs w:val="21"/>
                    </w:rPr>
                    <w:t xml:space="preserve">10 </w:t>
                  </w:r>
                  <w:r>
                    <w:rPr>
                      <w:rFonts w:ascii="宋体" w:hAnsi="宋体" w:eastAsia="宋体" w:cs="宋体"/>
                      <w:color w:val="auto"/>
                      <w:spacing w:val="-1"/>
                      <w:sz w:val="21"/>
                      <w:szCs w:val="21"/>
                    </w:rPr>
                    <w:t>号</w:t>
                  </w:r>
                </w:p>
              </w:tc>
            </w:tr>
            <w:tr w14:paraId="10678F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311" w:type="dxa"/>
                  <w:vAlign w:val="center"/>
                </w:tcPr>
                <w:p w14:paraId="045D977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3"/>
                      <w:sz w:val="21"/>
                      <w:szCs w:val="21"/>
                    </w:rPr>
                    <w:t>89</w:t>
                  </w:r>
                </w:p>
              </w:tc>
              <w:tc>
                <w:tcPr>
                  <w:tcW w:w="961" w:type="dxa"/>
                  <w:vAlign w:val="center"/>
                </w:tcPr>
                <w:p w14:paraId="2D4266F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韶关市恒琦耐磨材料有限公</w:t>
                  </w:r>
                </w:p>
                <w:p w14:paraId="29074DD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司</w:t>
                  </w:r>
                </w:p>
              </w:tc>
              <w:tc>
                <w:tcPr>
                  <w:tcW w:w="600" w:type="dxa"/>
                  <w:vAlign w:val="center"/>
                </w:tcPr>
                <w:p w14:paraId="338897A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5D93D1F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562DBA09">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2200</w:t>
                  </w:r>
                </w:p>
              </w:tc>
              <w:tc>
                <w:tcPr>
                  <w:tcW w:w="2053" w:type="dxa"/>
                  <w:vAlign w:val="center"/>
                </w:tcPr>
                <w:p w14:paraId="419AE58A">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年产耐磨钢球</w:t>
                  </w:r>
                  <w:r>
                    <w:rPr>
                      <w:rFonts w:ascii="宋体" w:hAnsi="宋体" w:eastAsia="宋体" w:cs="宋体"/>
                      <w:color w:val="auto"/>
                      <w:spacing w:val="-24"/>
                      <w:sz w:val="21"/>
                      <w:szCs w:val="21"/>
                    </w:rPr>
                    <w:t xml:space="preserve"> </w:t>
                  </w:r>
                  <w:r>
                    <w:rPr>
                      <w:color w:val="auto"/>
                      <w:spacing w:val="-3"/>
                      <w:sz w:val="21"/>
                      <w:szCs w:val="21"/>
                    </w:rPr>
                    <w:t xml:space="preserve">1 </w:t>
                  </w:r>
                  <w:r>
                    <w:rPr>
                      <w:rFonts w:ascii="宋体" w:hAnsi="宋体" w:eastAsia="宋体" w:cs="宋体"/>
                      <w:color w:val="auto"/>
                      <w:spacing w:val="-3"/>
                      <w:sz w:val="21"/>
                      <w:szCs w:val="21"/>
                    </w:rPr>
                    <w:t>万吨</w:t>
                  </w:r>
                </w:p>
              </w:tc>
              <w:tc>
                <w:tcPr>
                  <w:tcW w:w="1878" w:type="dxa"/>
                  <w:vAlign w:val="center"/>
                </w:tcPr>
                <w:p w14:paraId="58CE5D3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2023</w:t>
                  </w:r>
                  <w:r>
                    <w:rPr>
                      <w:rFonts w:ascii="宋体" w:hAnsi="宋体" w:eastAsia="宋体" w:cs="宋体"/>
                      <w:color w:val="auto"/>
                      <w:spacing w:val="-1"/>
                      <w:sz w:val="21"/>
                      <w:szCs w:val="21"/>
                    </w:rPr>
                    <w:t>〕</w:t>
                  </w:r>
                  <w:r>
                    <w:rPr>
                      <w:color w:val="auto"/>
                      <w:spacing w:val="-1"/>
                      <w:sz w:val="21"/>
                      <w:szCs w:val="21"/>
                    </w:rPr>
                    <w:t>26</w:t>
                  </w:r>
                  <w:r>
                    <w:rPr>
                      <w:color w:val="auto"/>
                      <w:spacing w:val="18"/>
                      <w:sz w:val="21"/>
                      <w:szCs w:val="21"/>
                    </w:rPr>
                    <w:t xml:space="preserve"> </w:t>
                  </w:r>
                  <w:r>
                    <w:rPr>
                      <w:rFonts w:ascii="宋体" w:hAnsi="宋体" w:eastAsia="宋体" w:cs="宋体"/>
                      <w:color w:val="auto"/>
                      <w:spacing w:val="-1"/>
                      <w:sz w:val="21"/>
                      <w:szCs w:val="21"/>
                    </w:rPr>
                    <w:t>号</w:t>
                  </w:r>
                </w:p>
              </w:tc>
            </w:tr>
            <w:tr w14:paraId="1DF5F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jc w:val="center"/>
              </w:trPr>
              <w:tc>
                <w:tcPr>
                  <w:tcW w:w="311" w:type="dxa"/>
                  <w:vAlign w:val="center"/>
                </w:tcPr>
                <w:p w14:paraId="11EC017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szCs w:val="21"/>
                    </w:rPr>
                  </w:pPr>
                </w:p>
                <w:p w14:paraId="2B1AD6E7">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90</w:t>
                  </w:r>
                </w:p>
              </w:tc>
              <w:tc>
                <w:tcPr>
                  <w:tcW w:w="961" w:type="dxa"/>
                  <w:vAlign w:val="center"/>
                </w:tcPr>
                <w:p w14:paraId="5B521AA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乐昌市永成智能厨房设备制造有限公司</w:t>
                  </w:r>
                </w:p>
              </w:tc>
              <w:tc>
                <w:tcPr>
                  <w:tcW w:w="600" w:type="dxa"/>
                  <w:vAlign w:val="center"/>
                </w:tcPr>
                <w:p w14:paraId="0BBF544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szCs w:val="21"/>
                    </w:rPr>
                  </w:pPr>
                </w:p>
                <w:p w14:paraId="40F32A2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79AA311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szCs w:val="21"/>
                    </w:rPr>
                  </w:pPr>
                </w:p>
                <w:p w14:paraId="5776BCF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通用设备制造业</w:t>
                  </w:r>
                </w:p>
              </w:tc>
              <w:tc>
                <w:tcPr>
                  <w:tcW w:w="1140" w:type="dxa"/>
                  <w:vAlign w:val="center"/>
                </w:tcPr>
                <w:p w14:paraId="4065A2D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szCs w:val="21"/>
                    </w:rPr>
                  </w:pPr>
                </w:p>
                <w:p w14:paraId="71C8B6B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33333.33</w:t>
                  </w:r>
                </w:p>
              </w:tc>
              <w:tc>
                <w:tcPr>
                  <w:tcW w:w="2053" w:type="dxa"/>
                  <w:vAlign w:val="center"/>
                </w:tcPr>
                <w:p w14:paraId="5C7EF44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年产锅炉具类、蒸炉具类、工作台类、层架类、</w:t>
                  </w:r>
                  <w:r>
                    <w:rPr>
                      <w:rFonts w:ascii="宋体" w:hAnsi="宋体" w:eastAsia="宋体" w:cs="宋体"/>
                      <w:color w:val="auto"/>
                      <w:spacing w:val="-1"/>
                      <w:sz w:val="21"/>
                      <w:szCs w:val="21"/>
                    </w:rPr>
                    <w:t>星盆类、柜</w:t>
                  </w:r>
                </w:p>
                <w:p w14:paraId="040CE20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式类、消毒柜类、备餐类、餐车类、餐台类</w:t>
                  </w:r>
                  <w:r>
                    <w:rPr>
                      <w:rFonts w:ascii="宋体" w:hAnsi="宋体" w:eastAsia="宋体" w:cs="宋体"/>
                      <w:color w:val="auto"/>
                      <w:spacing w:val="-1"/>
                      <w:sz w:val="21"/>
                      <w:szCs w:val="21"/>
                    </w:rPr>
                    <w:t>、西餐类、环保</w:t>
                  </w:r>
                </w:p>
                <w:p w14:paraId="19EA1F0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设备类</w:t>
                  </w:r>
                  <w:r>
                    <w:rPr>
                      <w:rFonts w:ascii="宋体" w:hAnsi="宋体" w:eastAsia="宋体" w:cs="宋体"/>
                      <w:color w:val="auto"/>
                      <w:spacing w:val="-27"/>
                      <w:sz w:val="21"/>
                      <w:szCs w:val="21"/>
                    </w:rPr>
                    <w:t xml:space="preserve"> </w:t>
                  </w:r>
                  <w:r>
                    <w:rPr>
                      <w:color w:val="auto"/>
                      <w:spacing w:val="-4"/>
                      <w:sz w:val="21"/>
                      <w:szCs w:val="21"/>
                    </w:rPr>
                    <w:t>12570</w:t>
                  </w:r>
                  <w:r>
                    <w:rPr>
                      <w:color w:val="auto"/>
                      <w:spacing w:val="25"/>
                      <w:sz w:val="21"/>
                      <w:szCs w:val="21"/>
                    </w:rPr>
                    <w:t xml:space="preserve"> </w:t>
                  </w:r>
                  <w:r>
                    <w:rPr>
                      <w:rFonts w:ascii="宋体" w:hAnsi="宋体" w:eastAsia="宋体" w:cs="宋体"/>
                      <w:color w:val="auto"/>
                      <w:spacing w:val="-4"/>
                      <w:sz w:val="21"/>
                      <w:szCs w:val="21"/>
                    </w:rPr>
                    <w:t>台</w:t>
                  </w:r>
                </w:p>
              </w:tc>
              <w:tc>
                <w:tcPr>
                  <w:tcW w:w="1878" w:type="dxa"/>
                  <w:vAlign w:val="center"/>
                </w:tcPr>
                <w:p w14:paraId="0A48EC3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z w:val="21"/>
                      <w:szCs w:val="21"/>
                    </w:rPr>
                  </w:pPr>
                </w:p>
                <w:p w14:paraId="6CC8BB4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乐环审</w:t>
                  </w:r>
                  <w:r>
                    <w:rPr>
                      <w:color w:val="auto"/>
                      <w:spacing w:val="-2"/>
                      <w:sz w:val="21"/>
                      <w:szCs w:val="21"/>
                    </w:rPr>
                    <w:t>[</w:t>
                  </w:r>
                  <w:r>
                    <w:rPr>
                      <w:color w:val="auto"/>
                      <w:sz w:val="21"/>
                      <w:szCs w:val="21"/>
                    </w:rPr>
                    <w:fldChar w:fldCharType="begin"/>
                  </w:r>
                  <w:r>
                    <w:rPr>
                      <w:color w:val="auto"/>
                      <w:sz w:val="21"/>
                      <w:szCs w:val="21"/>
                    </w:rPr>
                    <w:instrText xml:space="preserve"> HYPERLINK \l "bookmark254" </w:instrText>
                  </w:r>
                  <w:r>
                    <w:rPr>
                      <w:color w:val="auto"/>
                      <w:sz w:val="21"/>
                      <w:szCs w:val="21"/>
                    </w:rPr>
                    <w:fldChar w:fldCharType="separate"/>
                  </w:r>
                  <w:r>
                    <w:rPr>
                      <w:color w:val="auto"/>
                      <w:spacing w:val="-2"/>
                      <w:sz w:val="21"/>
                      <w:szCs w:val="21"/>
                    </w:rPr>
                    <w:t>2018</w:t>
                  </w:r>
                  <w:r>
                    <w:rPr>
                      <w:color w:val="auto"/>
                      <w:spacing w:val="-2"/>
                      <w:sz w:val="21"/>
                      <w:szCs w:val="21"/>
                    </w:rPr>
                    <w:fldChar w:fldCharType="end"/>
                  </w:r>
                  <w:r>
                    <w:rPr>
                      <w:color w:val="auto"/>
                      <w:spacing w:val="-2"/>
                      <w:sz w:val="21"/>
                      <w:szCs w:val="21"/>
                    </w:rPr>
                    <w:t>]41</w:t>
                  </w:r>
                  <w:r>
                    <w:rPr>
                      <w:color w:val="auto"/>
                      <w:spacing w:val="24"/>
                      <w:sz w:val="21"/>
                      <w:szCs w:val="21"/>
                    </w:rPr>
                    <w:t xml:space="preserve"> </w:t>
                  </w:r>
                  <w:r>
                    <w:rPr>
                      <w:rFonts w:ascii="宋体" w:hAnsi="宋体" w:eastAsia="宋体" w:cs="宋体"/>
                      <w:color w:val="auto"/>
                      <w:spacing w:val="-2"/>
                      <w:sz w:val="21"/>
                      <w:szCs w:val="21"/>
                    </w:rPr>
                    <w:t>号</w:t>
                  </w:r>
                </w:p>
              </w:tc>
            </w:tr>
            <w:tr w14:paraId="6C4915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311" w:type="dxa"/>
                  <w:vAlign w:val="center"/>
                </w:tcPr>
                <w:p w14:paraId="469FC04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91</w:t>
                  </w:r>
                </w:p>
              </w:tc>
              <w:tc>
                <w:tcPr>
                  <w:tcW w:w="961" w:type="dxa"/>
                  <w:vAlign w:val="center"/>
                </w:tcPr>
                <w:p w14:paraId="2AC9336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广东润昕新材料有限公司</w:t>
                  </w:r>
                </w:p>
              </w:tc>
              <w:tc>
                <w:tcPr>
                  <w:tcW w:w="600" w:type="dxa"/>
                  <w:vAlign w:val="center"/>
                </w:tcPr>
                <w:p w14:paraId="1321E60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在建</w:t>
                  </w:r>
                </w:p>
              </w:tc>
              <w:tc>
                <w:tcPr>
                  <w:tcW w:w="915" w:type="dxa"/>
                  <w:vAlign w:val="center"/>
                </w:tcPr>
                <w:p w14:paraId="6E0676E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0C7B288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34905.44</w:t>
                  </w:r>
                </w:p>
              </w:tc>
              <w:tc>
                <w:tcPr>
                  <w:tcW w:w="2053" w:type="dxa"/>
                  <w:vAlign w:val="center"/>
                </w:tcPr>
                <w:p w14:paraId="77E7841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年加工铝卷原料</w:t>
                  </w:r>
                  <w:r>
                    <w:rPr>
                      <w:rFonts w:ascii="宋体" w:hAnsi="宋体" w:eastAsia="宋体" w:cs="宋体"/>
                      <w:color w:val="auto"/>
                      <w:spacing w:val="-14"/>
                      <w:sz w:val="21"/>
                      <w:szCs w:val="21"/>
                    </w:rPr>
                    <w:t xml:space="preserve"> </w:t>
                  </w:r>
                  <w:r>
                    <w:rPr>
                      <w:color w:val="auto"/>
                      <w:spacing w:val="-3"/>
                      <w:sz w:val="21"/>
                      <w:szCs w:val="21"/>
                    </w:rPr>
                    <w:t xml:space="preserve">100 </w:t>
                  </w:r>
                  <w:r>
                    <w:rPr>
                      <w:rFonts w:ascii="宋体" w:hAnsi="宋体" w:eastAsia="宋体" w:cs="宋体"/>
                      <w:color w:val="auto"/>
                      <w:spacing w:val="-3"/>
                      <w:sz w:val="21"/>
                      <w:szCs w:val="21"/>
                    </w:rPr>
                    <w:t>万平方米</w:t>
                  </w:r>
                </w:p>
              </w:tc>
              <w:tc>
                <w:tcPr>
                  <w:tcW w:w="1878" w:type="dxa"/>
                  <w:vAlign w:val="center"/>
                </w:tcPr>
                <w:p w14:paraId="661AAE2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2025</w:t>
                  </w:r>
                  <w:r>
                    <w:rPr>
                      <w:rFonts w:ascii="宋体" w:hAnsi="宋体" w:eastAsia="宋体" w:cs="宋体"/>
                      <w:color w:val="auto"/>
                      <w:spacing w:val="-1"/>
                      <w:sz w:val="21"/>
                      <w:szCs w:val="21"/>
                    </w:rPr>
                    <w:t>〕</w:t>
                  </w:r>
                  <w:r>
                    <w:rPr>
                      <w:color w:val="auto"/>
                      <w:spacing w:val="-1"/>
                      <w:sz w:val="21"/>
                      <w:szCs w:val="21"/>
                    </w:rPr>
                    <w:t>21</w:t>
                  </w:r>
                  <w:r>
                    <w:rPr>
                      <w:color w:val="auto"/>
                      <w:spacing w:val="18"/>
                      <w:sz w:val="21"/>
                      <w:szCs w:val="21"/>
                    </w:rPr>
                    <w:t xml:space="preserve"> </w:t>
                  </w:r>
                  <w:r>
                    <w:rPr>
                      <w:rFonts w:ascii="宋体" w:hAnsi="宋体" w:eastAsia="宋体" w:cs="宋体"/>
                      <w:color w:val="auto"/>
                      <w:spacing w:val="-1"/>
                      <w:sz w:val="21"/>
                      <w:szCs w:val="21"/>
                    </w:rPr>
                    <w:t>号</w:t>
                  </w:r>
                </w:p>
              </w:tc>
            </w:tr>
            <w:tr w14:paraId="228A7F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5FDB268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92</w:t>
                  </w:r>
                </w:p>
              </w:tc>
              <w:tc>
                <w:tcPr>
                  <w:tcW w:w="961" w:type="dxa"/>
                  <w:vAlign w:val="center"/>
                </w:tcPr>
                <w:p w14:paraId="4568245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6"/>
                      <w:sz w:val="21"/>
                      <w:szCs w:val="21"/>
                    </w:rPr>
                    <w:t>筑能（韶关）精工制造有限公</w:t>
                  </w:r>
                </w:p>
                <w:p w14:paraId="29FE98F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司</w:t>
                  </w:r>
                </w:p>
              </w:tc>
              <w:tc>
                <w:tcPr>
                  <w:tcW w:w="600" w:type="dxa"/>
                  <w:vAlign w:val="center"/>
                </w:tcPr>
                <w:p w14:paraId="281BD95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在建</w:t>
                  </w:r>
                </w:p>
              </w:tc>
              <w:tc>
                <w:tcPr>
                  <w:tcW w:w="915" w:type="dxa"/>
                  <w:vAlign w:val="center"/>
                </w:tcPr>
                <w:p w14:paraId="51429D3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04A17FFC">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36212.64</w:t>
                  </w:r>
                </w:p>
              </w:tc>
              <w:tc>
                <w:tcPr>
                  <w:tcW w:w="2053" w:type="dxa"/>
                  <w:vAlign w:val="center"/>
                </w:tcPr>
                <w:p w14:paraId="4743A507">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年加工铝卷原料</w:t>
                  </w:r>
                  <w:r>
                    <w:rPr>
                      <w:rFonts w:ascii="宋体" w:hAnsi="宋体" w:eastAsia="宋体" w:cs="宋体"/>
                      <w:color w:val="auto"/>
                      <w:spacing w:val="-14"/>
                      <w:sz w:val="21"/>
                      <w:szCs w:val="21"/>
                    </w:rPr>
                    <w:t xml:space="preserve"> </w:t>
                  </w:r>
                  <w:r>
                    <w:rPr>
                      <w:color w:val="auto"/>
                      <w:spacing w:val="-3"/>
                      <w:sz w:val="21"/>
                      <w:szCs w:val="21"/>
                    </w:rPr>
                    <w:t xml:space="preserve">150 </w:t>
                  </w:r>
                  <w:r>
                    <w:rPr>
                      <w:rFonts w:ascii="宋体" w:hAnsi="宋体" w:eastAsia="宋体" w:cs="宋体"/>
                      <w:color w:val="auto"/>
                      <w:spacing w:val="-3"/>
                      <w:sz w:val="21"/>
                      <w:szCs w:val="21"/>
                    </w:rPr>
                    <w:t>万平方米</w:t>
                  </w:r>
                </w:p>
              </w:tc>
              <w:tc>
                <w:tcPr>
                  <w:tcW w:w="1878" w:type="dxa"/>
                  <w:vAlign w:val="center"/>
                </w:tcPr>
                <w:p w14:paraId="2A4CE4B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2025</w:t>
                  </w:r>
                  <w:r>
                    <w:rPr>
                      <w:rFonts w:ascii="宋体" w:hAnsi="宋体" w:eastAsia="宋体" w:cs="宋体"/>
                      <w:color w:val="auto"/>
                      <w:spacing w:val="-1"/>
                      <w:sz w:val="21"/>
                      <w:szCs w:val="21"/>
                    </w:rPr>
                    <w:t>〕</w:t>
                  </w:r>
                  <w:r>
                    <w:rPr>
                      <w:color w:val="auto"/>
                      <w:spacing w:val="-1"/>
                      <w:sz w:val="21"/>
                      <w:szCs w:val="21"/>
                    </w:rPr>
                    <w:t>19</w:t>
                  </w:r>
                  <w:r>
                    <w:rPr>
                      <w:color w:val="auto"/>
                      <w:spacing w:val="18"/>
                      <w:sz w:val="21"/>
                      <w:szCs w:val="21"/>
                    </w:rPr>
                    <w:t xml:space="preserve"> </w:t>
                  </w:r>
                  <w:r>
                    <w:rPr>
                      <w:rFonts w:ascii="宋体" w:hAnsi="宋体" w:eastAsia="宋体" w:cs="宋体"/>
                      <w:color w:val="auto"/>
                      <w:spacing w:val="-1"/>
                      <w:sz w:val="21"/>
                      <w:szCs w:val="21"/>
                    </w:rPr>
                    <w:t>号</w:t>
                  </w:r>
                </w:p>
              </w:tc>
            </w:tr>
            <w:tr w14:paraId="747A85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311" w:type="dxa"/>
                  <w:vAlign w:val="center"/>
                </w:tcPr>
                <w:p w14:paraId="6A2A0D0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93</w:t>
                  </w:r>
                </w:p>
              </w:tc>
              <w:tc>
                <w:tcPr>
                  <w:tcW w:w="961" w:type="dxa"/>
                  <w:vAlign w:val="center"/>
                </w:tcPr>
                <w:p w14:paraId="00714713">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美伦建材（韶关）有限公司</w:t>
                  </w:r>
                </w:p>
              </w:tc>
              <w:tc>
                <w:tcPr>
                  <w:tcW w:w="600" w:type="dxa"/>
                  <w:vAlign w:val="center"/>
                </w:tcPr>
                <w:p w14:paraId="5D25599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在建</w:t>
                  </w:r>
                </w:p>
              </w:tc>
              <w:tc>
                <w:tcPr>
                  <w:tcW w:w="915" w:type="dxa"/>
                  <w:vAlign w:val="center"/>
                </w:tcPr>
                <w:p w14:paraId="69C6ED9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79301F7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54969.22</w:t>
                  </w:r>
                </w:p>
              </w:tc>
              <w:tc>
                <w:tcPr>
                  <w:tcW w:w="2053" w:type="dxa"/>
                  <w:vAlign w:val="center"/>
                </w:tcPr>
                <w:p w14:paraId="64B006B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年加工铝卷原料</w:t>
                  </w:r>
                  <w:r>
                    <w:rPr>
                      <w:rFonts w:ascii="宋体" w:hAnsi="宋体" w:eastAsia="宋体" w:cs="宋体"/>
                      <w:color w:val="auto"/>
                      <w:spacing w:val="-44"/>
                      <w:sz w:val="21"/>
                      <w:szCs w:val="21"/>
                    </w:rPr>
                    <w:t xml:space="preserve"> </w:t>
                  </w:r>
                  <w:r>
                    <w:rPr>
                      <w:color w:val="auto"/>
                      <w:spacing w:val="-1"/>
                      <w:sz w:val="21"/>
                      <w:szCs w:val="21"/>
                    </w:rPr>
                    <w:t xml:space="preserve">200 </w:t>
                  </w:r>
                  <w:r>
                    <w:rPr>
                      <w:rFonts w:ascii="宋体" w:hAnsi="宋体" w:eastAsia="宋体" w:cs="宋体"/>
                      <w:color w:val="auto"/>
                      <w:spacing w:val="-1"/>
                      <w:sz w:val="21"/>
                      <w:szCs w:val="21"/>
                    </w:rPr>
                    <w:t>万平方米</w:t>
                  </w:r>
                </w:p>
              </w:tc>
              <w:tc>
                <w:tcPr>
                  <w:tcW w:w="1878" w:type="dxa"/>
                  <w:vAlign w:val="center"/>
                </w:tcPr>
                <w:p w14:paraId="419D729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2025</w:t>
                  </w:r>
                  <w:r>
                    <w:rPr>
                      <w:rFonts w:ascii="宋体" w:hAnsi="宋体" w:eastAsia="宋体" w:cs="宋体"/>
                      <w:color w:val="auto"/>
                      <w:spacing w:val="-1"/>
                      <w:sz w:val="21"/>
                      <w:szCs w:val="21"/>
                    </w:rPr>
                    <w:t>〕</w:t>
                  </w:r>
                  <w:r>
                    <w:rPr>
                      <w:color w:val="auto"/>
                      <w:spacing w:val="-1"/>
                      <w:sz w:val="21"/>
                      <w:szCs w:val="21"/>
                    </w:rPr>
                    <w:t>08</w:t>
                  </w:r>
                  <w:r>
                    <w:rPr>
                      <w:color w:val="auto"/>
                      <w:spacing w:val="18"/>
                      <w:sz w:val="21"/>
                      <w:szCs w:val="21"/>
                    </w:rPr>
                    <w:t xml:space="preserve"> </w:t>
                  </w:r>
                  <w:r>
                    <w:rPr>
                      <w:rFonts w:ascii="宋体" w:hAnsi="宋体" w:eastAsia="宋体" w:cs="宋体"/>
                      <w:color w:val="auto"/>
                      <w:spacing w:val="-1"/>
                      <w:sz w:val="21"/>
                      <w:szCs w:val="21"/>
                    </w:rPr>
                    <w:t>号</w:t>
                  </w:r>
                </w:p>
              </w:tc>
            </w:tr>
            <w:tr w14:paraId="65128A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490439E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94</w:t>
                  </w:r>
                </w:p>
              </w:tc>
              <w:tc>
                <w:tcPr>
                  <w:tcW w:w="961" w:type="dxa"/>
                  <w:vAlign w:val="center"/>
                </w:tcPr>
                <w:p w14:paraId="75B0713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中荣印刷（韶关）有限公司</w:t>
                  </w:r>
                </w:p>
              </w:tc>
              <w:tc>
                <w:tcPr>
                  <w:tcW w:w="600" w:type="dxa"/>
                  <w:vAlign w:val="center"/>
                </w:tcPr>
                <w:p w14:paraId="12FD0B3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4FFC618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造纸和纸制品业</w:t>
                  </w:r>
                </w:p>
              </w:tc>
              <w:tc>
                <w:tcPr>
                  <w:tcW w:w="1140" w:type="dxa"/>
                  <w:vAlign w:val="center"/>
                </w:tcPr>
                <w:p w14:paraId="6A6806A2">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3227.65</w:t>
                  </w:r>
                </w:p>
              </w:tc>
              <w:tc>
                <w:tcPr>
                  <w:tcW w:w="2053" w:type="dxa"/>
                  <w:vAlign w:val="center"/>
                </w:tcPr>
                <w:p w14:paraId="2FEA8FF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年产彩盒</w:t>
                  </w:r>
                  <w:r>
                    <w:rPr>
                      <w:rFonts w:ascii="宋体" w:hAnsi="宋体" w:eastAsia="宋体" w:cs="宋体"/>
                      <w:color w:val="auto"/>
                      <w:spacing w:val="-26"/>
                      <w:sz w:val="21"/>
                      <w:szCs w:val="21"/>
                    </w:rPr>
                    <w:t xml:space="preserve"> </w:t>
                  </w:r>
                  <w:r>
                    <w:rPr>
                      <w:color w:val="auto"/>
                      <w:spacing w:val="-3"/>
                      <w:sz w:val="21"/>
                      <w:szCs w:val="21"/>
                    </w:rPr>
                    <w:t>500</w:t>
                  </w:r>
                  <w:r>
                    <w:rPr>
                      <w:color w:val="auto"/>
                      <w:spacing w:val="13"/>
                      <w:w w:val="101"/>
                      <w:sz w:val="21"/>
                      <w:szCs w:val="21"/>
                    </w:rPr>
                    <w:t xml:space="preserve"> </w:t>
                  </w:r>
                  <w:r>
                    <w:rPr>
                      <w:rFonts w:ascii="宋体" w:hAnsi="宋体" w:eastAsia="宋体" w:cs="宋体"/>
                      <w:color w:val="auto"/>
                      <w:spacing w:val="-3"/>
                      <w:sz w:val="21"/>
                      <w:szCs w:val="21"/>
                    </w:rPr>
                    <w:t>万个、礼盒</w:t>
                  </w:r>
                  <w:r>
                    <w:rPr>
                      <w:rFonts w:ascii="宋体" w:hAnsi="宋体" w:eastAsia="宋体" w:cs="宋体"/>
                      <w:color w:val="auto"/>
                      <w:spacing w:val="-44"/>
                      <w:sz w:val="21"/>
                      <w:szCs w:val="21"/>
                    </w:rPr>
                    <w:t xml:space="preserve"> </w:t>
                  </w:r>
                  <w:r>
                    <w:rPr>
                      <w:color w:val="auto"/>
                      <w:spacing w:val="-3"/>
                      <w:sz w:val="21"/>
                      <w:szCs w:val="21"/>
                    </w:rPr>
                    <w:t>50</w:t>
                  </w:r>
                  <w:r>
                    <w:rPr>
                      <w:color w:val="auto"/>
                      <w:spacing w:val="13"/>
                      <w:w w:val="101"/>
                      <w:sz w:val="21"/>
                      <w:szCs w:val="21"/>
                    </w:rPr>
                    <w:t xml:space="preserve"> </w:t>
                  </w:r>
                  <w:r>
                    <w:rPr>
                      <w:rFonts w:ascii="宋体" w:hAnsi="宋体" w:eastAsia="宋体" w:cs="宋体"/>
                      <w:color w:val="auto"/>
                      <w:spacing w:val="-3"/>
                      <w:sz w:val="21"/>
                      <w:szCs w:val="21"/>
                    </w:rPr>
                    <w:t>万个、卡类</w:t>
                  </w:r>
                  <w:r>
                    <w:rPr>
                      <w:rFonts w:ascii="宋体" w:hAnsi="宋体" w:eastAsia="宋体" w:cs="宋体"/>
                      <w:color w:val="auto"/>
                      <w:spacing w:val="-42"/>
                      <w:sz w:val="21"/>
                      <w:szCs w:val="21"/>
                    </w:rPr>
                    <w:t xml:space="preserve"> </w:t>
                  </w:r>
                  <w:r>
                    <w:rPr>
                      <w:color w:val="auto"/>
                      <w:spacing w:val="-3"/>
                      <w:sz w:val="21"/>
                      <w:szCs w:val="21"/>
                    </w:rPr>
                    <w:t xml:space="preserve">500 </w:t>
                  </w:r>
                  <w:r>
                    <w:rPr>
                      <w:rFonts w:ascii="宋体" w:hAnsi="宋体" w:eastAsia="宋体" w:cs="宋体"/>
                      <w:color w:val="auto"/>
                      <w:spacing w:val="-3"/>
                      <w:sz w:val="21"/>
                      <w:szCs w:val="21"/>
                    </w:rPr>
                    <w:t>万张</w:t>
                  </w:r>
                </w:p>
              </w:tc>
              <w:tc>
                <w:tcPr>
                  <w:tcW w:w="1878" w:type="dxa"/>
                  <w:vAlign w:val="center"/>
                </w:tcPr>
                <w:p w14:paraId="57EC8B0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2024</w:t>
                  </w:r>
                  <w:r>
                    <w:rPr>
                      <w:rFonts w:ascii="宋体" w:hAnsi="宋体" w:eastAsia="宋体" w:cs="宋体"/>
                      <w:color w:val="auto"/>
                      <w:spacing w:val="-1"/>
                      <w:sz w:val="21"/>
                      <w:szCs w:val="21"/>
                    </w:rPr>
                    <w:t>〕</w:t>
                  </w:r>
                  <w:r>
                    <w:rPr>
                      <w:color w:val="auto"/>
                      <w:spacing w:val="-1"/>
                      <w:sz w:val="21"/>
                      <w:szCs w:val="21"/>
                    </w:rPr>
                    <w:t>24</w:t>
                  </w:r>
                  <w:r>
                    <w:rPr>
                      <w:color w:val="auto"/>
                      <w:spacing w:val="18"/>
                      <w:sz w:val="21"/>
                      <w:szCs w:val="21"/>
                    </w:rPr>
                    <w:t xml:space="preserve"> </w:t>
                  </w:r>
                  <w:r>
                    <w:rPr>
                      <w:rFonts w:ascii="宋体" w:hAnsi="宋体" w:eastAsia="宋体" w:cs="宋体"/>
                      <w:color w:val="auto"/>
                      <w:spacing w:val="-1"/>
                      <w:sz w:val="21"/>
                      <w:szCs w:val="21"/>
                    </w:rPr>
                    <w:t>号</w:t>
                  </w:r>
                </w:p>
              </w:tc>
            </w:tr>
            <w:tr w14:paraId="57769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311" w:type="dxa"/>
                  <w:vAlign w:val="center"/>
                </w:tcPr>
                <w:p w14:paraId="050F406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95</w:t>
                  </w:r>
                </w:p>
              </w:tc>
              <w:tc>
                <w:tcPr>
                  <w:tcW w:w="961" w:type="dxa"/>
                  <w:vAlign w:val="center"/>
                </w:tcPr>
                <w:p w14:paraId="76D2A823">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廓鑫建材（韶关）有限公司</w:t>
                  </w:r>
                </w:p>
              </w:tc>
              <w:tc>
                <w:tcPr>
                  <w:tcW w:w="600" w:type="dxa"/>
                  <w:vAlign w:val="center"/>
                </w:tcPr>
                <w:p w14:paraId="214AAE2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在建</w:t>
                  </w:r>
                </w:p>
              </w:tc>
              <w:tc>
                <w:tcPr>
                  <w:tcW w:w="915" w:type="dxa"/>
                  <w:vAlign w:val="center"/>
                </w:tcPr>
                <w:p w14:paraId="6121790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322C262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33373.03</w:t>
                  </w:r>
                </w:p>
              </w:tc>
              <w:tc>
                <w:tcPr>
                  <w:tcW w:w="2053" w:type="dxa"/>
                  <w:vAlign w:val="center"/>
                </w:tcPr>
                <w:p w14:paraId="2157A34A">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年产钣金件</w:t>
                  </w:r>
                  <w:r>
                    <w:rPr>
                      <w:rFonts w:ascii="宋体" w:hAnsi="宋体" w:eastAsia="宋体" w:cs="宋体"/>
                      <w:color w:val="auto"/>
                      <w:spacing w:val="-31"/>
                      <w:sz w:val="21"/>
                      <w:szCs w:val="21"/>
                    </w:rPr>
                    <w:t xml:space="preserve"> </w:t>
                  </w:r>
                  <w:r>
                    <w:rPr>
                      <w:color w:val="auto"/>
                      <w:spacing w:val="-3"/>
                      <w:sz w:val="21"/>
                      <w:szCs w:val="21"/>
                    </w:rPr>
                    <w:t>8100</w:t>
                  </w:r>
                  <w:r>
                    <w:rPr>
                      <w:color w:val="auto"/>
                      <w:spacing w:val="18"/>
                      <w:w w:val="101"/>
                      <w:sz w:val="21"/>
                      <w:szCs w:val="21"/>
                    </w:rPr>
                    <w:t xml:space="preserve"> </w:t>
                  </w:r>
                  <w:r>
                    <w:rPr>
                      <w:rFonts w:ascii="宋体" w:hAnsi="宋体" w:eastAsia="宋体" w:cs="宋体"/>
                      <w:color w:val="auto"/>
                      <w:spacing w:val="-3"/>
                      <w:sz w:val="21"/>
                      <w:szCs w:val="21"/>
                    </w:rPr>
                    <w:t>吨</w:t>
                  </w:r>
                </w:p>
              </w:tc>
              <w:tc>
                <w:tcPr>
                  <w:tcW w:w="1878" w:type="dxa"/>
                  <w:vAlign w:val="center"/>
                </w:tcPr>
                <w:p w14:paraId="0754C619">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2025</w:t>
                  </w:r>
                  <w:r>
                    <w:rPr>
                      <w:rFonts w:ascii="宋体" w:hAnsi="宋体" w:eastAsia="宋体" w:cs="宋体"/>
                      <w:color w:val="auto"/>
                      <w:spacing w:val="-1"/>
                      <w:sz w:val="21"/>
                      <w:szCs w:val="21"/>
                    </w:rPr>
                    <w:t>〕</w:t>
                  </w:r>
                  <w:r>
                    <w:rPr>
                      <w:color w:val="auto"/>
                      <w:spacing w:val="-1"/>
                      <w:sz w:val="21"/>
                      <w:szCs w:val="21"/>
                    </w:rPr>
                    <w:t>25</w:t>
                  </w:r>
                  <w:r>
                    <w:rPr>
                      <w:color w:val="auto"/>
                      <w:spacing w:val="18"/>
                      <w:sz w:val="21"/>
                      <w:szCs w:val="21"/>
                    </w:rPr>
                    <w:t xml:space="preserve"> </w:t>
                  </w:r>
                  <w:r>
                    <w:rPr>
                      <w:rFonts w:ascii="宋体" w:hAnsi="宋体" w:eastAsia="宋体" w:cs="宋体"/>
                      <w:color w:val="auto"/>
                      <w:spacing w:val="-1"/>
                      <w:sz w:val="21"/>
                      <w:szCs w:val="21"/>
                    </w:rPr>
                    <w:t>号</w:t>
                  </w:r>
                </w:p>
              </w:tc>
            </w:tr>
            <w:tr w14:paraId="2C999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311" w:type="dxa"/>
                  <w:vAlign w:val="center"/>
                </w:tcPr>
                <w:p w14:paraId="29DFEA1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96</w:t>
                  </w:r>
                </w:p>
              </w:tc>
              <w:tc>
                <w:tcPr>
                  <w:tcW w:w="961" w:type="dxa"/>
                  <w:vAlign w:val="center"/>
                </w:tcPr>
                <w:p w14:paraId="3BFD8C3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广东三筑金属制品有限公司</w:t>
                  </w:r>
                </w:p>
              </w:tc>
              <w:tc>
                <w:tcPr>
                  <w:tcW w:w="600" w:type="dxa"/>
                  <w:vAlign w:val="center"/>
                </w:tcPr>
                <w:p w14:paraId="6DCAB4C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在建</w:t>
                  </w:r>
                </w:p>
              </w:tc>
              <w:tc>
                <w:tcPr>
                  <w:tcW w:w="915" w:type="dxa"/>
                  <w:vAlign w:val="center"/>
                </w:tcPr>
                <w:p w14:paraId="152B0D3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21FBCC6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54139.29</w:t>
                  </w:r>
                </w:p>
              </w:tc>
              <w:tc>
                <w:tcPr>
                  <w:tcW w:w="2053" w:type="dxa"/>
                  <w:vAlign w:val="center"/>
                </w:tcPr>
                <w:p w14:paraId="3F79C9A8">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年产各类板及其他铝制品</w:t>
                  </w:r>
                  <w:r>
                    <w:rPr>
                      <w:rFonts w:ascii="宋体" w:hAnsi="宋体" w:eastAsia="宋体" w:cs="宋体"/>
                      <w:color w:val="auto"/>
                      <w:spacing w:val="-30"/>
                      <w:sz w:val="21"/>
                      <w:szCs w:val="21"/>
                    </w:rPr>
                    <w:t xml:space="preserve"> </w:t>
                  </w:r>
                  <w:r>
                    <w:rPr>
                      <w:color w:val="auto"/>
                      <w:spacing w:val="-2"/>
                      <w:sz w:val="21"/>
                      <w:szCs w:val="21"/>
                    </w:rPr>
                    <w:t xml:space="preserve">110 </w:t>
                  </w:r>
                  <w:r>
                    <w:rPr>
                      <w:rFonts w:ascii="宋体" w:hAnsi="宋体" w:eastAsia="宋体" w:cs="宋体"/>
                      <w:color w:val="auto"/>
                      <w:spacing w:val="-2"/>
                      <w:sz w:val="21"/>
                      <w:szCs w:val="21"/>
                    </w:rPr>
                    <w:t>万平方米</w:t>
                  </w:r>
                </w:p>
              </w:tc>
              <w:tc>
                <w:tcPr>
                  <w:tcW w:w="1878" w:type="dxa"/>
                  <w:vAlign w:val="center"/>
                </w:tcPr>
                <w:p w14:paraId="6E4D1D9A">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2025</w:t>
                  </w:r>
                  <w:r>
                    <w:rPr>
                      <w:rFonts w:ascii="宋体" w:hAnsi="宋体" w:eastAsia="宋体" w:cs="宋体"/>
                      <w:color w:val="auto"/>
                      <w:spacing w:val="-1"/>
                      <w:sz w:val="21"/>
                      <w:szCs w:val="21"/>
                    </w:rPr>
                    <w:t>〕</w:t>
                  </w:r>
                  <w:r>
                    <w:rPr>
                      <w:color w:val="auto"/>
                      <w:spacing w:val="-1"/>
                      <w:sz w:val="21"/>
                      <w:szCs w:val="21"/>
                    </w:rPr>
                    <w:t>24</w:t>
                  </w:r>
                  <w:r>
                    <w:rPr>
                      <w:color w:val="auto"/>
                      <w:spacing w:val="18"/>
                      <w:sz w:val="21"/>
                      <w:szCs w:val="21"/>
                    </w:rPr>
                    <w:t xml:space="preserve"> </w:t>
                  </w:r>
                  <w:r>
                    <w:rPr>
                      <w:rFonts w:ascii="宋体" w:hAnsi="宋体" w:eastAsia="宋体" w:cs="宋体"/>
                      <w:color w:val="auto"/>
                      <w:spacing w:val="-1"/>
                      <w:sz w:val="21"/>
                      <w:szCs w:val="21"/>
                    </w:rPr>
                    <w:t>号</w:t>
                  </w:r>
                </w:p>
              </w:tc>
            </w:tr>
            <w:tr w14:paraId="6E29D3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0E396CF2">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97</w:t>
                  </w:r>
                </w:p>
              </w:tc>
              <w:tc>
                <w:tcPr>
                  <w:tcW w:w="961" w:type="dxa"/>
                  <w:vAlign w:val="center"/>
                </w:tcPr>
                <w:p w14:paraId="0C71809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广东启健净水设备有限公司</w:t>
                  </w:r>
                </w:p>
              </w:tc>
              <w:tc>
                <w:tcPr>
                  <w:tcW w:w="600" w:type="dxa"/>
                  <w:vAlign w:val="center"/>
                </w:tcPr>
                <w:p w14:paraId="18E5E13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已批未建</w:t>
                  </w:r>
                </w:p>
              </w:tc>
              <w:tc>
                <w:tcPr>
                  <w:tcW w:w="915" w:type="dxa"/>
                  <w:vAlign w:val="center"/>
                </w:tcPr>
                <w:p w14:paraId="2880ABC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家具制造业</w:t>
                  </w:r>
                </w:p>
              </w:tc>
              <w:tc>
                <w:tcPr>
                  <w:tcW w:w="1140" w:type="dxa"/>
                  <w:vAlign w:val="center"/>
                </w:tcPr>
                <w:p w14:paraId="70A7E15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color w:val="auto"/>
                      <w:sz w:val="21"/>
                      <w:szCs w:val="21"/>
                    </w:rPr>
                  </w:pPr>
                  <w:r>
                    <w:rPr>
                      <w:color w:val="auto"/>
                      <w:spacing w:val="-2"/>
                      <w:sz w:val="21"/>
                      <w:szCs w:val="21"/>
                    </w:rPr>
                    <w:t>9598</w:t>
                  </w:r>
                </w:p>
              </w:tc>
              <w:tc>
                <w:tcPr>
                  <w:tcW w:w="2053" w:type="dxa"/>
                  <w:vAlign w:val="center"/>
                </w:tcPr>
                <w:p w14:paraId="0FAB44A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color w:val="auto"/>
                      <w:sz w:val="21"/>
                      <w:szCs w:val="21"/>
                    </w:rPr>
                  </w:pPr>
                  <w:r>
                    <w:rPr>
                      <w:rFonts w:ascii="宋体" w:hAnsi="宋体" w:eastAsia="宋体" w:cs="宋体"/>
                      <w:color w:val="auto"/>
                      <w:sz w:val="21"/>
                      <w:szCs w:val="21"/>
                    </w:rPr>
                    <w:t>年产直沸水壶机、饮水机、直饮水机、净水器、</w:t>
                  </w:r>
                  <w:r>
                    <w:rPr>
                      <w:rFonts w:ascii="宋体" w:hAnsi="宋体" w:eastAsia="宋体" w:cs="宋体"/>
                      <w:color w:val="auto"/>
                      <w:spacing w:val="-1"/>
                      <w:sz w:val="21"/>
                      <w:szCs w:val="21"/>
                    </w:rPr>
                    <w:t>纯水机等净</w:t>
                  </w:r>
                  <w:r>
                    <w:rPr>
                      <w:rFonts w:ascii="宋体" w:hAnsi="宋体" w:eastAsia="宋体" w:cs="宋体"/>
                      <w:color w:val="auto"/>
                      <w:spacing w:val="-2"/>
                      <w:sz w:val="21"/>
                      <w:szCs w:val="21"/>
                    </w:rPr>
                    <w:t>水设备</w:t>
                  </w:r>
                  <w:r>
                    <w:rPr>
                      <w:rFonts w:ascii="宋体" w:hAnsi="宋体" w:eastAsia="宋体" w:cs="宋体"/>
                      <w:color w:val="auto"/>
                      <w:spacing w:val="-23"/>
                      <w:sz w:val="21"/>
                      <w:szCs w:val="21"/>
                    </w:rPr>
                    <w:t xml:space="preserve"> </w:t>
                  </w:r>
                  <w:r>
                    <w:rPr>
                      <w:color w:val="auto"/>
                      <w:spacing w:val="-2"/>
                      <w:sz w:val="21"/>
                      <w:szCs w:val="21"/>
                    </w:rPr>
                    <w:t xml:space="preserve">120 </w:t>
                  </w:r>
                  <w:r>
                    <w:rPr>
                      <w:rFonts w:ascii="宋体" w:hAnsi="宋体" w:eastAsia="宋体" w:cs="宋体"/>
                      <w:color w:val="auto"/>
                      <w:spacing w:val="-2"/>
                      <w:sz w:val="21"/>
                      <w:szCs w:val="21"/>
                    </w:rPr>
                    <w:t>万台、饮用水机配件、净水机配件</w:t>
                  </w:r>
                  <w:r>
                    <w:rPr>
                      <w:rFonts w:ascii="宋体" w:hAnsi="宋体" w:eastAsia="宋体" w:cs="宋体"/>
                      <w:color w:val="auto"/>
                      <w:spacing w:val="-28"/>
                      <w:sz w:val="21"/>
                      <w:szCs w:val="21"/>
                    </w:rPr>
                    <w:t xml:space="preserve"> </w:t>
                  </w:r>
                  <w:r>
                    <w:rPr>
                      <w:color w:val="auto"/>
                      <w:spacing w:val="-2"/>
                      <w:sz w:val="21"/>
                      <w:szCs w:val="21"/>
                    </w:rPr>
                    <w:t xml:space="preserve">150 </w:t>
                  </w:r>
                  <w:r>
                    <w:rPr>
                      <w:rFonts w:ascii="宋体" w:hAnsi="宋体" w:eastAsia="宋体" w:cs="宋体"/>
                      <w:color w:val="auto"/>
                      <w:spacing w:val="-2"/>
                      <w:sz w:val="21"/>
                      <w:szCs w:val="21"/>
                    </w:rPr>
                    <w:t>万件</w:t>
                  </w:r>
                </w:p>
              </w:tc>
              <w:tc>
                <w:tcPr>
                  <w:tcW w:w="1878" w:type="dxa"/>
                  <w:vAlign w:val="center"/>
                </w:tcPr>
                <w:p w14:paraId="4FB0948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乐环审〔</w:t>
                  </w:r>
                  <w:r>
                    <w:rPr>
                      <w:color w:val="auto"/>
                      <w:spacing w:val="-1"/>
                      <w:sz w:val="21"/>
                      <w:szCs w:val="21"/>
                    </w:rPr>
                    <w:t>2019</w:t>
                  </w:r>
                  <w:r>
                    <w:rPr>
                      <w:rFonts w:ascii="宋体" w:hAnsi="宋体" w:eastAsia="宋体" w:cs="宋体"/>
                      <w:color w:val="auto"/>
                      <w:spacing w:val="-1"/>
                      <w:sz w:val="21"/>
                      <w:szCs w:val="21"/>
                    </w:rPr>
                    <w:t>〕</w:t>
                  </w:r>
                  <w:r>
                    <w:rPr>
                      <w:color w:val="auto"/>
                      <w:spacing w:val="-1"/>
                      <w:sz w:val="21"/>
                      <w:szCs w:val="21"/>
                    </w:rPr>
                    <w:t xml:space="preserve">42 </w:t>
                  </w:r>
                  <w:r>
                    <w:rPr>
                      <w:rFonts w:ascii="宋体" w:hAnsi="宋体" w:eastAsia="宋体" w:cs="宋体"/>
                      <w:color w:val="auto"/>
                      <w:spacing w:val="-1"/>
                      <w:sz w:val="21"/>
                      <w:szCs w:val="21"/>
                    </w:rPr>
                    <w:t>号</w:t>
                  </w:r>
                </w:p>
              </w:tc>
            </w:tr>
            <w:tr w14:paraId="228181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1AF1CFC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98</w:t>
                  </w:r>
                </w:p>
              </w:tc>
              <w:tc>
                <w:tcPr>
                  <w:tcW w:w="961" w:type="dxa"/>
                  <w:vAlign w:val="center"/>
                </w:tcPr>
                <w:p w14:paraId="78535A2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乐昌产业园工业固体废弃物</w:t>
                  </w:r>
                  <w:r>
                    <w:rPr>
                      <w:rFonts w:ascii="宋体" w:hAnsi="宋体" w:eastAsia="宋体" w:cs="宋体"/>
                      <w:color w:val="auto"/>
                      <w:spacing w:val="-2"/>
                      <w:sz w:val="21"/>
                      <w:szCs w:val="21"/>
                    </w:rPr>
                    <w:t>设施补短板项目</w:t>
                  </w:r>
                </w:p>
              </w:tc>
              <w:tc>
                <w:tcPr>
                  <w:tcW w:w="600" w:type="dxa"/>
                  <w:vAlign w:val="center"/>
                </w:tcPr>
                <w:p w14:paraId="001C624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color w:val="auto"/>
                      <w:sz w:val="21"/>
                      <w:szCs w:val="21"/>
                    </w:rPr>
                  </w:pPr>
                  <w:r>
                    <w:rPr>
                      <w:rFonts w:hint="eastAsia" w:ascii="宋体" w:hAnsi="宋体" w:eastAsia="宋体" w:cs="宋体"/>
                      <w:color w:val="auto"/>
                      <w:sz w:val="21"/>
                      <w:szCs w:val="21"/>
                      <w:lang w:val="en-US" w:eastAsia="zh-CN"/>
                    </w:rPr>
                    <w:t>已批未建</w:t>
                  </w:r>
                </w:p>
              </w:tc>
              <w:tc>
                <w:tcPr>
                  <w:tcW w:w="915" w:type="dxa"/>
                  <w:vAlign w:val="center"/>
                </w:tcPr>
                <w:p w14:paraId="350DE98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装卸搬运和仓储业</w:t>
                  </w:r>
                </w:p>
              </w:tc>
              <w:tc>
                <w:tcPr>
                  <w:tcW w:w="1140" w:type="dxa"/>
                  <w:vAlign w:val="center"/>
                </w:tcPr>
                <w:p w14:paraId="6DDDD3B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color w:val="auto"/>
                      <w:sz w:val="21"/>
                      <w:szCs w:val="21"/>
                    </w:rPr>
                  </w:pPr>
                  <w:r>
                    <w:rPr>
                      <w:color w:val="auto"/>
                      <w:spacing w:val="-1"/>
                      <w:sz w:val="21"/>
                      <w:szCs w:val="21"/>
                    </w:rPr>
                    <w:t>4000</w:t>
                  </w:r>
                </w:p>
              </w:tc>
              <w:tc>
                <w:tcPr>
                  <w:tcW w:w="2053" w:type="dxa"/>
                  <w:vAlign w:val="center"/>
                </w:tcPr>
                <w:p w14:paraId="4946326B">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color w:val="auto"/>
                      <w:sz w:val="21"/>
                      <w:szCs w:val="21"/>
                    </w:rPr>
                  </w:pPr>
                  <w:r>
                    <w:rPr>
                      <w:rFonts w:ascii="宋体" w:hAnsi="宋体" w:eastAsia="宋体" w:cs="宋体"/>
                      <w:color w:val="auto"/>
                      <w:spacing w:val="-3"/>
                      <w:sz w:val="21"/>
                      <w:szCs w:val="21"/>
                    </w:rPr>
                    <w:t>年收集危险废物</w:t>
                  </w:r>
                  <w:r>
                    <w:rPr>
                      <w:rFonts w:ascii="宋体" w:hAnsi="宋体" w:eastAsia="宋体" w:cs="宋体"/>
                      <w:color w:val="auto"/>
                      <w:spacing w:val="-46"/>
                      <w:sz w:val="21"/>
                      <w:szCs w:val="21"/>
                    </w:rPr>
                    <w:t xml:space="preserve"> </w:t>
                  </w:r>
                  <w:r>
                    <w:rPr>
                      <w:color w:val="auto"/>
                      <w:spacing w:val="-3"/>
                      <w:sz w:val="21"/>
                      <w:szCs w:val="21"/>
                    </w:rPr>
                    <w:t>2806</w:t>
                  </w:r>
                  <w:r>
                    <w:rPr>
                      <w:color w:val="auto"/>
                      <w:spacing w:val="19"/>
                      <w:sz w:val="21"/>
                      <w:szCs w:val="21"/>
                    </w:rPr>
                    <w:t xml:space="preserve"> </w:t>
                  </w:r>
                  <w:r>
                    <w:rPr>
                      <w:rFonts w:ascii="宋体" w:hAnsi="宋体" w:eastAsia="宋体" w:cs="宋体"/>
                      <w:color w:val="auto"/>
                      <w:spacing w:val="-3"/>
                      <w:sz w:val="21"/>
                      <w:szCs w:val="21"/>
                    </w:rPr>
                    <w:t>吨，一般固体废物</w:t>
                  </w:r>
                  <w:r>
                    <w:rPr>
                      <w:rFonts w:ascii="宋体" w:hAnsi="宋体" w:eastAsia="宋体" w:cs="宋体"/>
                      <w:color w:val="auto"/>
                      <w:spacing w:val="-40"/>
                      <w:sz w:val="21"/>
                      <w:szCs w:val="21"/>
                    </w:rPr>
                    <w:t xml:space="preserve"> </w:t>
                  </w:r>
                  <w:r>
                    <w:rPr>
                      <w:color w:val="auto"/>
                      <w:spacing w:val="-3"/>
                      <w:sz w:val="21"/>
                      <w:szCs w:val="21"/>
                    </w:rPr>
                    <w:t>8.5</w:t>
                  </w:r>
                  <w:r>
                    <w:rPr>
                      <w:color w:val="auto"/>
                      <w:spacing w:val="14"/>
                      <w:sz w:val="21"/>
                      <w:szCs w:val="21"/>
                    </w:rPr>
                    <w:t xml:space="preserve"> </w:t>
                  </w:r>
                  <w:r>
                    <w:rPr>
                      <w:rFonts w:ascii="宋体" w:hAnsi="宋体" w:eastAsia="宋体" w:cs="宋体"/>
                      <w:color w:val="auto"/>
                      <w:spacing w:val="-3"/>
                      <w:sz w:val="21"/>
                      <w:szCs w:val="21"/>
                    </w:rPr>
                    <w:t>万吨。</w:t>
                  </w:r>
                </w:p>
              </w:tc>
              <w:tc>
                <w:tcPr>
                  <w:tcW w:w="1878" w:type="dxa"/>
                  <w:vAlign w:val="center"/>
                </w:tcPr>
                <w:p w14:paraId="760AEC0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2023</w:t>
                  </w:r>
                  <w:r>
                    <w:rPr>
                      <w:rFonts w:ascii="宋体" w:hAnsi="宋体" w:eastAsia="宋体" w:cs="宋体"/>
                      <w:color w:val="auto"/>
                      <w:spacing w:val="-1"/>
                      <w:sz w:val="21"/>
                      <w:szCs w:val="21"/>
                    </w:rPr>
                    <w:t>〕</w:t>
                  </w:r>
                  <w:r>
                    <w:rPr>
                      <w:color w:val="auto"/>
                      <w:spacing w:val="-1"/>
                      <w:sz w:val="21"/>
                      <w:szCs w:val="21"/>
                    </w:rPr>
                    <w:t>05</w:t>
                  </w:r>
                  <w:r>
                    <w:rPr>
                      <w:color w:val="auto"/>
                      <w:spacing w:val="18"/>
                      <w:sz w:val="21"/>
                      <w:szCs w:val="21"/>
                    </w:rPr>
                    <w:t xml:space="preserve"> </w:t>
                  </w:r>
                  <w:r>
                    <w:rPr>
                      <w:rFonts w:ascii="宋体" w:hAnsi="宋体" w:eastAsia="宋体" w:cs="宋体"/>
                      <w:color w:val="auto"/>
                      <w:spacing w:val="-1"/>
                      <w:sz w:val="21"/>
                      <w:szCs w:val="21"/>
                    </w:rPr>
                    <w:t>号</w:t>
                  </w:r>
                </w:p>
              </w:tc>
            </w:tr>
            <w:tr w14:paraId="34EFE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jc w:val="center"/>
              </w:trPr>
              <w:tc>
                <w:tcPr>
                  <w:tcW w:w="311" w:type="dxa"/>
                  <w:vAlign w:val="center"/>
                </w:tcPr>
                <w:p w14:paraId="7419D9B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szCs w:val="21"/>
                    </w:rPr>
                  </w:pPr>
                </w:p>
                <w:p w14:paraId="4676B94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99</w:t>
                  </w:r>
                </w:p>
              </w:tc>
              <w:tc>
                <w:tcPr>
                  <w:tcW w:w="961" w:type="dxa"/>
                  <w:vAlign w:val="center"/>
                </w:tcPr>
                <w:p w14:paraId="2F92E55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乐昌市鑫盛威塑胶新材料科</w:t>
                  </w:r>
                  <w:r>
                    <w:rPr>
                      <w:rFonts w:ascii="宋体" w:hAnsi="宋体" w:eastAsia="宋体" w:cs="宋体"/>
                      <w:color w:val="auto"/>
                      <w:spacing w:val="-2"/>
                      <w:sz w:val="21"/>
                      <w:szCs w:val="21"/>
                    </w:rPr>
                    <w:t>技有限公司</w:t>
                  </w:r>
                </w:p>
              </w:tc>
              <w:tc>
                <w:tcPr>
                  <w:tcW w:w="600" w:type="dxa"/>
                  <w:vAlign w:val="center"/>
                </w:tcPr>
                <w:p w14:paraId="1DD1AEF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color w:val="auto"/>
                      <w:sz w:val="21"/>
                      <w:szCs w:val="21"/>
                    </w:rPr>
                  </w:pPr>
                  <w:r>
                    <w:rPr>
                      <w:rFonts w:hint="eastAsia" w:ascii="宋体" w:hAnsi="宋体" w:eastAsia="宋体" w:cs="宋体"/>
                      <w:color w:val="auto"/>
                      <w:sz w:val="21"/>
                      <w:szCs w:val="21"/>
                      <w:lang w:val="en-US" w:eastAsia="zh-CN"/>
                    </w:rPr>
                    <w:t>已批未建</w:t>
                  </w:r>
                </w:p>
              </w:tc>
              <w:tc>
                <w:tcPr>
                  <w:tcW w:w="915" w:type="dxa"/>
                  <w:vAlign w:val="center"/>
                </w:tcPr>
                <w:p w14:paraId="788B9B3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橡胶和塑料制品</w:t>
                  </w:r>
                </w:p>
                <w:p w14:paraId="7F25666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业、非金属矿物制</w:t>
                  </w:r>
                </w:p>
                <w:p w14:paraId="008A972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color w:val="auto"/>
                      <w:sz w:val="21"/>
                      <w:szCs w:val="21"/>
                    </w:rPr>
                  </w:pPr>
                  <w:r>
                    <w:rPr>
                      <w:rFonts w:ascii="宋体" w:hAnsi="宋体" w:eastAsia="宋体" w:cs="宋体"/>
                      <w:color w:val="auto"/>
                      <w:spacing w:val="-6"/>
                      <w:sz w:val="21"/>
                      <w:szCs w:val="21"/>
                    </w:rPr>
                    <w:t>品业</w:t>
                  </w:r>
                </w:p>
              </w:tc>
              <w:tc>
                <w:tcPr>
                  <w:tcW w:w="1140" w:type="dxa"/>
                  <w:vAlign w:val="center"/>
                </w:tcPr>
                <w:p w14:paraId="696B95A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Arial"/>
                      <w:color w:val="auto"/>
                      <w:sz w:val="21"/>
                      <w:szCs w:val="21"/>
                    </w:rPr>
                  </w:pPr>
                </w:p>
                <w:p w14:paraId="086347E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color w:val="auto"/>
                      <w:sz w:val="21"/>
                      <w:szCs w:val="21"/>
                    </w:rPr>
                  </w:pPr>
                  <w:r>
                    <w:rPr>
                      <w:color w:val="auto"/>
                      <w:spacing w:val="-2"/>
                      <w:sz w:val="21"/>
                      <w:szCs w:val="21"/>
                    </w:rPr>
                    <w:t>8000</w:t>
                  </w:r>
                </w:p>
              </w:tc>
              <w:tc>
                <w:tcPr>
                  <w:tcW w:w="2053" w:type="dxa"/>
                  <w:vAlign w:val="center"/>
                </w:tcPr>
                <w:p w14:paraId="76E4610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Arial"/>
                      <w:color w:val="auto"/>
                      <w:sz w:val="21"/>
                      <w:szCs w:val="21"/>
                    </w:rPr>
                  </w:pPr>
                </w:p>
                <w:p w14:paraId="0635CC9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年产</w:t>
                  </w:r>
                  <w:r>
                    <w:rPr>
                      <w:rFonts w:ascii="宋体" w:hAnsi="宋体" w:eastAsia="宋体" w:cs="宋体"/>
                      <w:color w:val="auto"/>
                      <w:spacing w:val="-35"/>
                      <w:sz w:val="21"/>
                      <w:szCs w:val="21"/>
                    </w:rPr>
                    <w:t xml:space="preserve"> </w:t>
                  </w:r>
                  <w:r>
                    <w:rPr>
                      <w:color w:val="auto"/>
                      <w:spacing w:val="-1"/>
                      <w:sz w:val="21"/>
                      <w:szCs w:val="21"/>
                    </w:rPr>
                    <w:t xml:space="preserve">PVC </w:t>
                  </w:r>
                  <w:r>
                    <w:rPr>
                      <w:rFonts w:ascii="宋体" w:hAnsi="宋体" w:eastAsia="宋体" w:cs="宋体"/>
                      <w:color w:val="auto"/>
                      <w:spacing w:val="-1"/>
                      <w:sz w:val="21"/>
                      <w:szCs w:val="21"/>
                    </w:rPr>
                    <w:t>膜</w:t>
                  </w:r>
                  <w:r>
                    <w:rPr>
                      <w:color w:val="auto"/>
                      <w:spacing w:val="-1"/>
                      <w:sz w:val="21"/>
                      <w:szCs w:val="21"/>
                    </w:rPr>
                    <w:t>2600</w:t>
                  </w:r>
                  <w:r>
                    <w:rPr>
                      <w:color w:val="auto"/>
                      <w:spacing w:val="18"/>
                      <w:w w:val="101"/>
                      <w:sz w:val="21"/>
                      <w:szCs w:val="21"/>
                    </w:rPr>
                    <w:t xml:space="preserve"> </w:t>
                  </w:r>
                  <w:r>
                    <w:rPr>
                      <w:rFonts w:ascii="宋体" w:hAnsi="宋体" w:eastAsia="宋体" w:cs="宋体"/>
                      <w:color w:val="auto"/>
                      <w:spacing w:val="-1"/>
                      <w:sz w:val="21"/>
                      <w:szCs w:val="21"/>
                    </w:rPr>
                    <w:t>吨、</w:t>
                  </w:r>
                  <w:r>
                    <w:rPr>
                      <w:color w:val="auto"/>
                      <w:spacing w:val="-1"/>
                      <w:sz w:val="21"/>
                      <w:szCs w:val="21"/>
                    </w:rPr>
                    <w:t xml:space="preserve">PU </w:t>
                  </w:r>
                  <w:r>
                    <w:rPr>
                      <w:rFonts w:ascii="宋体" w:hAnsi="宋体" w:eastAsia="宋体" w:cs="宋体"/>
                      <w:color w:val="auto"/>
                      <w:spacing w:val="-1"/>
                      <w:sz w:val="21"/>
                      <w:szCs w:val="21"/>
                    </w:rPr>
                    <w:t>膜</w:t>
                  </w:r>
                  <w:r>
                    <w:rPr>
                      <w:rFonts w:ascii="宋体" w:hAnsi="宋体" w:eastAsia="宋体" w:cs="宋体"/>
                      <w:color w:val="auto"/>
                      <w:spacing w:val="-42"/>
                      <w:sz w:val="21"/>
                      <w:szCs w:val="21"/>
                    </w:rPr>
                    <w:t xml:space="preserve"> </w:t>
                  </w:r>
                  <w:r>
                    <w:rPr>
                      <w:color w:val="auto"/>
                      <w:spacing w:val="-1"/>
                      <w:sz w:val="21"/>
                      <w:szCs w:val="21"/>
                    </w:rPr>
                    <w:t>500</w:t>
                  </w:r>
                  <w:r>
                    <w:rPr>
                      <w:color w:val="auto"/>
                      <w:spacing w:val="16"/>
                      <w:sz w:val="21"/>
                      <w:szCs w:val="21"/>
                    </w:rPr>
                    <w:t xml:space="preserve"> </w:t>
                  </w:r>
                  <w:r>
                    <w:rPr>
                      <w:rFonts w:ascii="宋体" w:hAnsi="宋体" w:eastAsia="宋体" w:cs="宋体"/>
                      <w:color w:val="auto"/>
                      <w:spacing w:val="-1"/>
                      <w:sz w:val="21"/>
                      <w:szCs w:val="21"/>
                    </w:rPr>
                    <w:t>吨、人造石墨</w:t>
                  </w:r>
                  <w:r>
                    <w:rPr>
                      <w:rFonts w:ascii="宋体" w:hAnsi="宋体" w:eastAsia="宋体" w:cs="宋体"/>
                      <w:color w:val="auto"/>
                      <w:spacing w:val="-48"/>
                      <w:sz w:val="21"/>
                      <w:szCs w:val="21"/>
                    </w:rPr>
                    <w:t xml:space="preserve"> </w:t>
                  </w:r>
                  <w:r>
                    <w:rPr>
                      <w:color w:val="auto"/>
                      <w:spacing w:val="-1"/>
                      <w:sz w:val="21"/>
                      <w:szCs w:val="21"/>
                    </w:rPr>
                    <w:t>2</w:t>
                  </w:r>
                  <w:r>
                    <w:rPr>
                      <w:color w:val="auto"/>
                      <w:spacing w:val="13"/>
                      <w:w w:val="101"/>
                      <w:sz w:val="21"/>
                      <w:szCs w:val="21"/>
                    </w:rPr>
                    <w:t xml:space="preserve"> </w:t>
                  </w:r>
                  <w:r>
                    <w:rPr>
                      <w:rFonts w:ascii="宋体" w:hAnsi="宋体" w:eastAsia="宋体" w:cs="宋体"/>
                      <w:color w:val="auto"/>
                      <w:spacing w:val="-1"/>
                      <w:sz w:val="21"/>
                      <w:szCs w:val="21"/>
                    </w:rPr>
                    <w:t>万吨</w:t>
                  </w:r>
                </w:p>
              </w:tc>
              <w:tc>
                <w:tcPr>
                  <w:tcW w:w="1878" w:type="dxa"/>
                  <w:vAlign w:val="center"/>
                </w:tcPr>
                <w:p w14:paraId="5F17DEF2">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乐环审</w:t>
                  </w:r>
                  <w:r>
                    <w:rPr>
                      <w:color w:val="auto"/>
                      <w:spacing w:val="-2"/>
                      <w:sz w:val="21"/>
                      <w:szCs w:val="21"/>
                    </w:rPr>
                    <w:t>[</w:t>
                  </w:r>
                  <w:r>
                    <w:rPr>
                      <w:color w:val="auto"/>
                      <w:sz w:val="21"/>
                      <w:szCs w:val="21"/>
                    </w:rPr>
                    <w:fldChar w:fldCharType="begin"/>
                  </w:r>
                  <w:r>
                    <w:rPr>
                      <w:color w:val="auto"/>
                      <w:sz w:val="21"/>
                      <w:szCs w:val="21"/>
                    </w:rPr>
                    <w:instrText xml:space="preserve"> HYPERLINK \l "bookmark255" </w:instrText>
                  </w:r>
                  <w:r>
                    <w:rPr>
                      <w:color w:val="auto"/>
                      <w:sz w:val="21"/>
                      <w:szCs w:val="21"/>
                    </w:rPr>
                    <w:fldChar w:fldCharType="separate"/>
                  </w:r>
                  <w:r>
                    <w:rPr>
                      <w:color w:val="auto"/>
                      <w:spacing w:val="-2"/>
                      <w:sz w:val="21"/>
                      <w:szCs w:val="21"/>
                    </w:rPr>
                    <w:t>2017</w:t>
                  </w:r>
                  <w:r>
                    <w:rPr>
                      <w:color w:val="auto"/>
                      <w:spacing w:val="-2"/>
                      <w:sz w:val="21"/>
                      <w:szCs w:val="21"/>
                    </w:rPr>
                    <w:fldChar w:fldCharType="end"/>
                  </w:r>
                  <w:r>
                    <w:rPr>
                      <w:color w:val="auto"/>
                      <w:spacing w:val="-2"/>
                      <w:sz w:val="21"/>
                      <w:szCs w:val="21"/>
                    </w:rPr>
                    <w:t>]81</w:t>
                  </w:r>
                  <w:r>
                    <w:rPr>
                      <w:color w:val="auto"/>
                      <w:spacing w:val="20"/>
                      <w:sz w:val="21"/>
                      <w:szCs w:val="21"/>
                    </w:rPr>
                    <w:t xml:space="preserve"> </w:t>
                  </w:r>
                  <w:r>
                    <w:rPr>
                      <w:rFonts w:ascii="宋体" w:hAnsi="宋体" w:eastAsia="宋体" w:cs="宋体"/>
                      <w:color w:val="auto"/>
                      <w:spacing w:val="-2"/>
                      <w:sz w:val="21"/>
                      <w:szCs w:val="21"/>
                    </w:rPr>
                    <w:t>号、韶环乐审</w:t>
                  </w:r>
                </w:p>
                <w:p w14:paraId="77D5C85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color w:val="auto"/>
                      <w:sz w:val="21"/>
                      <w:szCs w:val="21"/>
                    </w:rPr>
                  </w:pPr>
                  <w:r>
                    <w:rPr>
                      <w:color w:val="auto"/>
                      <w:spacing w:val="-2"/>
                      <w:sz w:val="21"/>
                      <w:szCs w:val="21"/>
                    </w:rPr>
                    <w:t>[</w:t>
                  </w:r>
                  <w:r>
                    <w:rPr>
                      <w:color w:val="auto"/>
                      <w:sz w:val="21"/>
                      <w:szCs w:val="21"/>
                    </w:rPr>
                    <w:fldChar w:fldCharType="begin"/>
                  </w:r>
                  <w:r>
                    <w:rPr>
                      <w:color w:val="auto"/>
                      <w:sz w:val="21"/>
                      <w:szCs w:val="21"/>
                    </w:rPr>
                    <w:instrText xml:space="preserve"> HYPERLINK \l "bookmark256" </w:instrText>
                  </w:r>
                  <w:r>
                    <w:rPr>
                      <w:color w:val="auto"/>
                      <w:sz w:val="21"/>
                      <w:szCs w:val="21"/>
                    </w:rPr>
                    <w:fldChar w:fldCharType="separate"/>
                  </w:r>
                  <w:r>
                    <w:rPr>
                      <w:color w:val="auto"/>
                      <w:spacing w:val="-2"/>
                      <w:sz w:val="21"/>
                      <w:szCs w:val="21"/>
                    </w:rPr>
                    <w:t>2023</w:t>
                  </w:r>
                  <w:r>
                    <w:rPr>
                      <w:color w:val="auto"/>
                      <w:spacing w:val="-2"/>
                      <w:sz w:val="21"/>
                      <w:szCs w:val="21"/>
                    </w:rPr>
                    <w:fldChar w:fldCharType="end"/>
                  </w:r>
                  <w:r>
                    <w:rPr>
                      <w:color w:val="auto"/>
                      <w:spacing w:val="-2"/>
                      <w:sz w:val="21"/>
                      <w:szCs w:val="21"/>
                    </w:rPr>
                    <w:t>]32</w:t>
                  </w:r>
                  <w:r>
                    <w:rPr>
                      <w:color w:val="auto"/>
                      <w:spacing w:val="13"/>
                      <w:w w:val="101"/>
                      <w:sz w:val="21"/>
                      <w:szCs w:val="21"/>
                    </w:rPr>
                    <w:t xml:space="preserve"> </w:t>
                  </w:r>
                  <w:r>
                    <w:rPr>
                      <w:rFonts w:ascii="宋体" w:hAnsi="宋体" w:eastAsia="宋体" w:cs="宋体"/>
                      <w:color w:val="auto"/>
                      <w:spacing w:val="-2"/>
                      <w:sz w:val="21"/>
                      <w:szCs w:val="21"/>
                    </w:rPr>
                    <w:t>号</w:t>
                  </w:r>
                </w:p>
              </w:tc>
            </w:tr>
            <w:tr w14:paraId="308B8F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532B99E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6"/>
                      <w:sz w:val="21"/>
                      <w:szCs w:val="21"/>
                    </w:rPr>
                    <w:t>100</w:t>
                  </w:r>
                </w:p>
              </w:tc>
              <w:tc>
                <w:tcPr>
                  <w:tcW w:w="961" w:type="dxa"/>
                  <w:vAlign w:val="center"/>
                </w:tcPr>
                <w:p w14:paraId="54BD1DD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乐昌市众诚塑㬵制品有限公</w:t>
                  </w:r>
                </w:p>
                <w:p w14:paraId="4EDFD40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color w:val="auto"/>
                      <w:sz w:val="21"/>
                      <w:szCs w:val="21"/>
                    </w:rPr>
                  </w:pPr>
                  <w:r>
                    <w:rPr>
                      <w:rFonts w:ascii="宋体" w:hAnsi="宋体" w:eastAsia="宋体" w:cs="宋体"/>
                      <w:color w:val="auto"/>
                      <w:sz w:val="21"/>
                      <w:szCs w:val="21"/>
                    </w:rPr>
                    <w:t>司</w:t>
                  </w:r>
                </w:p>
              </w:tc>
              <w:tc>
                <w:tcPr>
                  <w:tcW w:w="600" w:type="dxa"/>
                  <w:vAlign w:val="center"/>
                </w:tcPr>
                <w:p w14:paraId="3715DEEF">
                  <w:pPr>
                    <w:keepNext w:val="0"/>
                    <w:keepLines w:val="0"/>
                    <w:pageBreakBefore w:val="0"/>
                    <w:widowControl/>
                    <w:kinsoku w:val="0"/>
                    <w:wordWrap/>
                    <w:overflowPunct/>
                    <w:topLinePunct w:val="0"/>
                    <w:autoSpaceDE w:val="0"/>
                    <w:autoSpaceDN w:val="0"/>
                    <w:bidi w:val="0"/>
                    <w:adjustRightInd w:val="0"/>
                    <w:snapToGrid w:val="0"/>
                    <w:spacing w:line="240" w:lineRule="auto"/>
                    <w:ind w:right="0" w:firstLine="0" w:firstLineChars="0"/>
                    <w:jc w:val="center"/>
                    <w:textAlignment w:val="baseline"/>
                    <w:rPr>
                      <w:rFonts w:ascii="宋体" w:hAnsi="宋体" w:eastAsia="宋体" w:cs="宋体"/>
                      <w:color w:val="auto"/>
                      <w:sz w:val="21"/>
                      <w:szCs w:val="21"/>
                    </w:rPr>
                  </w:pPr>
                  <w:r>
                    <w:rPr>
                      <w:rFonts w:hint="eastAsia" w:ascii="宋体" w:hAnsi="宋体" w:eastAsia="宋体" w:cs="宋体"/>
                      <w:color w:val="auto"/>
                      <w:sz w:val="21"/>
                      <w:szCs w:val="21"/>
                      <w:lang w:val="en-US" w:eastAsia="zh-CN"/>
                    </w:rPr>
                    <w:t>已批未建</w:t>
                  </w:r>
                </w:p>
              </w:tc>
              <w:tc>
                <w:tcPr>
                  <w:tcW w:w="915" w:type="dxa"/>
                  <w:vAlign w:val="center"/>
                </w:tcPr>
                <w:p w14:paraId="7426E01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橡胶和塑料制品业</w:t>
                  </w:r>
                </w:p>
              </w:tc>
              <w:tc>
                <w:tcPr>
                  <w:tcW w:w="1140" w:type="dxa"/>
                  <w:vAlign w:val="center"/>
                </w:tcPr>
                <w:p w14:paraId="568D8469">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color w:val="auto"/>
                      <w:sz w:val="21"/>
                      <w:szCs w:val="21"/>
                    </w:rPr>
                  </w:pPr>
                  <w:r>
                    <w:rPr>
                      <w:color w:val="auto"/>
                      <w:spacing w:val="-4"/>
                      <w:sz w:val="21"/>
                      <w:szCs w:val="21"/>
                    </w:rPr>
                    <w:t>12419.5</w:t>
                  </w:r>
                </w:p>
              </w:tc>
              <w:tc>
                <w:tcPr>
                  <w:tcW w:w="2053" w:type="dxa"/>
                  <w:vAlign w:val="center"/>
                </w:tcPr>
                <w:p w14:paraId="023670A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w:t>
                  </w:r>
                  <w:r>
                    <w:rPr>
                      <w:rFonts w:ascii="宋体" w:hAnsi="宋体" w:eastAsia="宋体" w:cs="宋体"/>
                      <w:color w:val="auto"/>
                      <w:spacing w:val="-51"/>
                      <w:sz w:val="21"/>
                      <w:szCs w:val="21"/>
                    </w:rPr>
                    <w:t xml:space="preserve"> </w:t>
                  </w:r>
                  <w:r>
                    <w:rPr>
                      <w:color w:val="auto"/>
                      <w:spacing w:val="-2"/>
                      <w:sz w:val="21"/>
                      <w:szCs w:val="21"/>
                    </w:rPr>
                    <w:t xml:space="preserve">PU </w:t>
                  </w:r>
                  <w:r>
                    <w:rPr>
                      <w:rFonts w:ascii="宋体" w:hAnsi="宋体" w:eastAsia="宋体" w:cs="宋体"/>
                      <w:color w:val="auto"/>
                      <w:spacing w:val="-2"/>
                      <w:sz w:val="21"/>
                      <w:szCs w:val="21"/>
                    </w:rPr>
                    <w:t>装饰线条</w:t>
                  </w:r>
                  <w:r>
                    <w:rPr>
                      <w:rFonts w:ascii="宋体" w:hAnsi="宋体" w:eastAsia="宋体" w:cs="宋体"/>
                      <w:color w:val="auto"/>
                      <w:spacing w:val="-30"/>
                      <w:sz w:val="21"/>
                      <w:szCs w:val="21"/>
                    </w:rPr>
                    <w:t xml:space="preserve"> </w:t>
                  </w:r>
                  <w:r>
                    <w:rPr>
                      <w:color w:val="auto"/>
                      <w:spacing w:val="-2"/>
                      <w:sz w:val="21"/>
                      <w:szCs w:val="21"/>
                    </w:rPr>
                    <w:t>1300</w:t>
                  </w:r>
                  <w:r>
                    <w:rPr>
                      <w:color w:val="auto"/>
                      <w:spacing w:val="19"/>
                      <w:sz w:val="21"/>
                      <w:szCs w:val="21"/>
                    </w:rPr>
                    <w:t xml:space="preserve"> </w:t>
                  </w:r>
                  <w:r>
                    <w:rPr>
                      <w:rFonts w:ascii="宋体" w:hAnsi="宋体" w:eastAsia="宋体" w:cs="宋体"/>
                      <w:color w:val="auto"/>
                      <w:spacing w:val="-2"/>
                      <w:sz w:val="21"/>
                      <w:szCs w:val="21"/>
                    </w:rPr>
                    <w:t>吨、聚氨酯装饰制品</w:t>
                  </w:r>
                  <w:r>
                    <w:rPr>
                      <w:rFonts w:ascii="宋体" w:hAnsi="宋体" w:eastAsia="宋体" w:cs="宋体"/>
                      <w:color w:val="auto"/>
                      <w:spacing w:val="-48"/>
                      <w:sz w:val="21"/>
                      <w:szCs w:val="21"/>
                    </w:rPr>
                    <w:t xml:space="preserve"> </w:t>
                  </w:r>
                  <w:r>
                    <w:rPr>
                      <w:color w:val="auto"/>
                      <w:spacing w:val="-2"/>
                      <w:sz w:val="21"/>
                      <w:szCs w:val="21"/>
                    </w:rPr>
                    <w:t>2</w:t>
                  </w:r>
                  <w:r>
                    <w:rPr>
                      <w:color w:val="auto"/>
                      <w:spacing w:val="-3"/>
                      <w:sz w:val="21"/>
                      <w:szCs w:val="21"/>
                    </w:rPr>
                    <w:t>00</w:t>
                  </w:r>
                  <w:r>
                    <w:rPr>
                      <w:color w:val="auto"/>
                      <w:spacing w:val="18"/>
                      <w:w w:val="101"/>
                      <w:sz w:val="21"/>
                      <w:szCs w:val="21"/>
                    </w:rPr>
                    <w:t xml:space="preserve"> </w:t>
                  </w:r>
                  <w:r>
                    <w:rPr>
                      <w:rFonts w:ascii="宋体" w:hAnsi="宋体" w:eastAsia="宋体" w:cs="宋体"/>
                      <w:color w:val="auto"/>
                      <w:spacing w:val="-3"/>
                      <w:sz w:val="21"/>
                      <w:szCs w:val="21"/>
                    </w:rPr>
                    <w:t>吨</w:t>
                  </w:r>
                </w:p>
              </w:tc>
              <w:tc>
                <w:tcPr>
                  <w:tcW w:w="1878" w:type="dxa"/>
                  <w:vAlign w:val="center"/>
                </w:tcPr>
                <w:p w14:paraId="7E4CF4D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乐环审</w:t>
                  </w:r>
                  <w:r>
                    <w:rPr>
                      <w:color w:val="auto"/>
                      <w:spacing w:val="-4"/>
                      <w:sz w:val="21"/>
                      <w:szCs w:val="21"/>
                    </w:rPr>
                    <w:t>[</w:t>
                  </w:r>
                  <w:r>
                    <w:rPr>
                      <w:color w:val="auto"/>
                      <w:sz w:val="21"/>
                      <w:szCs w:val="21"/>
                    </w:rPr>
                    <w:fldChar w:fldCharType="begin"/>
                  </w:r>
                  <w:r>
                    <w:rPr>
                      <w:color w:val="auto"/>
                      <w:sz w:val="21"/>
                      <w:szCs w:val="21"/>
                    </w:rPr>
                    <w:instrText xml:space="preserve"> HYPERLINK \l "bookmark257" </w:instrText>
                  </w:r>
                  <w:r>
                    <w:rPr>
                      <w:color w:val="auto"/>
                      <w:sz w:val="21"/>
                      <w:szCs w:val="21"/>
                    </w:rPr>
                    <w:fldChar w:fldCharType="separate"/>
                  </w:r>
                  <w:r>
                    <w:rPr>
                      <w:color w:val="auto"/>
                      <w:spacing w:val="-4"/>
                      <w:sz w:val="21"/>
                      <w:szCs w:val="21"/>
                    </w:rPr>
                    <w:t>2018</w:t>
                  </w:r>
                  <w:r>
                    <w:rPr>
                      <w:color w:val="auto"/>
                      <w:spacing w:val="-4"/>
                      <w:sz w:val="21"/>
                      <w:szCs w:val="21"/>
                    </w:rPr>
                    <w:fldChar w:fldCharType="end"/>
                  </w:r>
                  <w:r>
                    <w:rPr>
                      <w:color w:val="auto"/>
                      <w:spacing w:val="-4"/>
                      <w:sz w:val="21"/>
                      <w:szCs w:val="21"/>
                    </w:rPr>
                    <w:t>]</w:t>
                  </w:r>
                  <w:r>
                    <w:rPr>
                      <w:color w:val="auto"/>
                      <w:spacing w:val="-19"/>
                      <w:sz w:val="21"/>
                      <w:szCs w:val="21"/>
                    </w:rPr>
                    <w:t xml:space="preserve"> </w:t>
                  </w:r>
                  <w:r>
                    <w:rPr>
                      <w:color w:val="auto"/>
                      <w:spacing w:val="-4"/>
                      <w:sz w:val="21"/>
                      <w:szCs w:val="21"/>
                    </w:rPr>
                    <w:t>15</w:t>
                  </w:r>
                  <w:r>
                    <w:rPr>
                      <w:color w:val="auto"/>
                      <w:spacing w:val="14"/>
                      <w:w w:val="101"/>
                      <w:sz w:val="21"/>
                      <w:szCs w:val="21"/>
                    </w:rPr>
                    <w:t xml:space="preserve"> </w:t>
                  </w:r>
                  <w:r>
                    <w:rPr>
                      <w:rFonts w:ascii="宋体" w:hAnsi="宋体" w:eastAsia="宋体" w:cs="宋体"/>
                      <w:color w:val="auto"/>
                      <w:spacing w:val="-4"/>
                      <w:sz w:val="21"/>
                      <w:szCs w:val="21"/>
                    </w:rPr>
                    <w:t>号</w:t>
                  </w:r>
                </w:p>
              </w:tc>
            </w:tr>
            <w:tr w14:paraId="77CDF0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311" w:type="dxa"/>
                  <w:vAlign w:val="center"/>
                </w:tcPr>
                <w:p w14:paraId="7DAF78A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6"/>
                      <w:sz w:val="21"/>
                      <w:szCs w:val="21"/>
                    </w:rPr>
                    <w:t>101</w:t>
                  </w:r>
                </w:p>
              </w:tc>
              <w:tc>
                <w:tcPr>
                  <w:tcW w:w="961" w:type="dxa"/>
                  <w:vAlign w:val="center"/>
                </w:tcPr>
                <w:p w14:paraId="703E7EA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韶关盖邦建材有限公司</w:t>
                  </w:r>
                </w:p>
              </w:tc>
              <w:tc>
                <w:tcPr>
                  <w:tcW w:w="600" w:type="dxa"/>
                  <w:vAlign w:val="center"/>
                </w:tcPr>
                <w:p w14:paraId="6F0B63FB">
                  <w:pPr>
                    <w:keepNext w:val="0"/>
                    <w:keepLines w:val="0"/>
                    <w:pageBreakBefore w:val="0"/>
                    <w:widowControl/>
                    <w:kinsoku w:val="0"/>
                    <w:wordWrap/>
                    <w:overflowPunct/>
                    <w:topLinePunct w:val="0"/>
                    <w:autoSpaceDE w:val="0"/>
                    <w:autoSpaceDN w:val="0"/>
                    <w:bidi w:val="0"/>
                    <w:adjustRightInd w:val="0"/>
                    <w:snapToGrid w:val="0"/>
                    <w:spacing w:line="240" w:lineRule="auto"/>
                    <w:ind w:right="0" w:firstLine="0" w:firstLineChars="0"/>
                    <w:jc w:val="center"/>
                    <w:textAlignment w:val="baseline"/>
                    <w:rPr>
                      <w:rFonts w:ascii="宋体" w:hAnsi="宋体" w:eastAsia="宋体" w:cs="宋体"/>
                      <w:color w:val="auto"/>
                      <w:sz w:val="21"/>
                      <w:szCs w:val="21"/>
                    </w:rPr>
                  </w:pPr>
                  <w:r>
                    <w:rPr>
                      <w:rFonts w:hint="eastAsia" w:ascii="宋体" w:hAnsi="宋体" w:eastAsia="宋体" w:cs="宋体"/>
                      <w:color w:val="auto"/>
                      <w:sz w:val="21"/>
                      <w:szCs w:val="21"/>
                      <w:lang w:val="en-US" w:eastAsia="zh-CN"/>
                    </w:rPr>
                    <w:t>已批未建</w:t>
                  </w:r>
                </w:p>
              </w:tc>
              <w:tc>
                <w:tcPr>
                  <w:tcW w:w="915" w:type="dxa"/>
                  <w:vAlign w:val="center"/>
                </w:tcPr>
                <w:p w14:paraId="7830A73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3878360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color w:val="auto"/>
                      <w:sz w:val="21"/>
                      <w:szCs w:val="21"/>
                    </w:rPr>
                  </w:pPr>
                  <w:r>
                    <w:rPr>
                      <w:color w:val="auto"/>
                      <w:spacing w:val="-4"/>
                      <w:sz w:val="21"/>
                      <w:szCs w:val="21"/>
                    </w:rPr>
                    <w:t>10000</w:t>
                  </w:r>
                </w:p>
              </w:tc>
              <w:tc>
                <w:tcPr>
                  <w:tcW w:w="2053" w:type="dxa"/>
                  <w:vAlign w:val="center"/>
                </w:tcPr>
                <w:p w14:paraId="5A2E878B">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年产</w:t>
                  </w:r>
                  <w:r>
                    <w:rPr>
                      <w:rFonts w:ascii="宋体" w:hAnsi="宋体" w:eastAsia="宋体" w:cs="宋体"/>
                      <w:color w:val="auto"/>
                      <w:spacing w:val="-41"/>
                      <w:sz w:val="21"/>
                      <w:szCs w:val="21"/>
                    </w:rPr>
                    <w:t xml:space="preserve"> </w:t>
                  </w:r>
                  <w:r>
                    <w:rPr>
                      <w:color w:val="auto"/>
                      <w:spacing w:val="-1"/>
                      <w:sz w:val="21"/>
                      <w:szCs w:val="21"/>
                    </w:rPr>
                    <w:t xml:space="preserve">6000 </w:t>
                  </w:r>
                  <w:r>
                    <w:rPr>
                      <w:rFonts w:ascii="宋体" w:hAnsi="宋体" w:eastAsia="宋体" w:cs="宋体"/>
                      <w:color w:val="auto"/>
                      <w:spacing w:val="-1"/>
                      <w:sz w:val="21"/>
                      <w:szCs w:val="21"/>
                    </w:rPr>
                    <w:t>个不锈钢井盖、排水沟盖板</w:t>
                  </w:r>
                </w:p>
              </w:tc>
              <w:tc>
                <w:tcPr>
                  <w:tcW w:w="1878" w:type="dxa"/>
                  <w:vAlign w:val="center"/>
                </w:tcPr>
                <w:p w14:paraId="488B895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乐环审〔</w:t>
                  </w:r>
                  <w:r>
                    <w:rPr>
                      <w:color w:val="auto"/>
                      <w:spacing w:val="-1"/>
                      <w:sz w:val="21"/>
                      <w:szCs w:val="21"/>
                    </w:rPr>
                    <w:t>2019</w:t>
                  </w:r>
                  <w:r>
                    <w:rPr>
                      <w:rFonts w:ascii="宋体" w:hAnsi="宋体" w:eastAsia="宋体" w:cs="宋体"/>
                      <w:color w:val="auto"/>
                      <w:spacing w:val="-1"/>
                      <w:sz w:val="21"/>
                      <w:szCs w:val="21"/>
                    </w:rPr>
                    <w:t>〕</w:t>
                  </w:r>
                  <w:r>
                    <w:rPr>
                      <w:color w:val="auto"/>
                      <w:spacing w:val="-1"/>
                      <w:sz w:val="21"/>
                      <w:szCs w:val="21"/>
                    </w:rPr>
                    <w:t xml:space="preserve">33 </w:t>
                  </w:r>
                  <w:r>
                    <w:rPr>
                      <w:rFonts w:ascii="宋体" w:hAnsi="宋体" w:eastAsia="宋体" w:cs="宋体"/>
                      <w:color w:val="auto"/>
                      <w:spacing w:val="-1"/>
                      <w:sz w:val="21"/>
                      <w:szCs w:val="21"/>
                    </w:rPr>
                    <w:t>号</w:t>
                  </w:r>
                </w:p>
              </w:tc>
            </w:tr>
            <w:tr w14:paraId="24E1B8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46E6C4D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6"/>
                      <w:sz w:val="21"/>
                      <w:szCs w:val="21"/>
                    </w:rPr>
                    <w:t>102</w:t>
                  </w:r>
                </w:p>
              </w:tc>
              <w:tc>
                <w:tcPr>
                  <w:tcW w:w="961" w:type="dxa"/>
                  <w:vAlign w:val="center"/>
                </w:tcPr>
                <w:p w14:paraId="5EBE5D9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广东力齐铝模科技有限公司</w:t>
                  </w:r>
                </w:p>
              </w:tc>
              <w:tc>
                <w:tcPr>
                  <w:tcW w:w="600" w:type="dxa"/>
                  <w:vAlign w:val="center"/>
                </w:tcPr>
                <w:p w14:paraId="111583D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停产</w:t>
                  </w:r>
                </w:p>
              </w:tc>
              <w:tc>
                <w:tcPr>
                  <w:tcW w:w="915" w:type="dxa"/>
                  <w:vAlign w:val="center"/>
                </w:tcPr>
                <w:p w14:paraId="3C3F9B73">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3036864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color w:val="auto"/>
                      <w:sz w:val="21"/>
                      <w:szCs w:val="21"/>
                    </w:rPr>
                  </w:pPr>
                  <w:r>
                    <w:rPr>
                      <w:color w:val="auto"/>
                      <w:spacing w:val="-1"/>
                      <w:sz w:val="21"/>
                      <w:szCs w:val="21"/>
                    </w:rPr>
                    <w:t>32404.8</w:t>
                  </w:r>
                </w:p>
              </w:tc>
              <w:tc>
                <w:tcPr>
                  <w:tcW w:w="2053" w:type="dxa"/>
                  <w:vAlign w:val="center"/>
                </w:tcPr>
                <w:p w14:paraId="48F544B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年产铝合金建筑模板</w:t>
                  </w:r>
                  <w:r>
                    <w:rPr>
                      <w:rFonts w:ascii="宋体" w:hAnsi="宋体" w:eastAsia="宋体" w:cs="宋体"/>
                      <w:color w:val="auto"/>
                      <w:spacing w:val="-44"/>
                      <w:sz w:val="21"/>
                      <w:szCs w:val="21"/>
                    </w:rPr>
                    <w:t xml:space="preserve"> </w:t>
                  </w:r>
                  <w:r>
                    <w:rPr>
                      <w:color w:val="auto"/>
                      <w:spacing w:val="-1"/>
                      <w:sz w:val="21"/>
                      <w:szCs w:val="21"/>
                    </w:rPr>
                    <w:t xml:space="preserve">24 </w:t>
                  </w:r>
                  <w:r>
                    <w:rPr>
                      <w:rFonts w:ascii="宋体" w:hAnsi="宋体" w:eastAsia="宋体" w:cs="宋体"/>
                      <w:color w:val="auto"/>
                      <w:spacing w:val="-1"/>
                      <w:sz w:val="21"/>
                      <w:szCs w:val="21"/>
                    </w:rPr>
                    <w:t>万平方米，年处理结构件</w:t>
                  </w:r>
                  <w:r>
                    <w:rPr>
                      <w:rFonts w:ascii="宋体" w:hAnsi="宋体" w:eastAsia="宋体" w:cs="宋体"/>
                      <w:color w:val="auto"/>
                      <w:spacing w:val="-43"/>
                      <w:sz w:val="21"/>
                      <w:szCs w:val="21"/>
                    </w:rPr>
                    <w:t xml:space="preserve"> </w:t>
                  </w:r>
                  <w:r>
                    <w:rPr>
                      <w:color w:val="auto"/>
                      <w:spacing w:val="-1"/>
                      <w:sz w:val="21"/>
                      <w:szCs w:val="21"/>
                    </w:rPr>
                    <w:t>6630</w:t>
                  </w:r>
                  <w:r>
                    <w:rPr>
                      <w:color w:val="auto"/>
                      <w:spacing w:val="18"/>
                      <w:sz w:val="21"/>
                      <w:szCs w:val="21"/>
                    </w:rPr>
                    <w:t xml:space="preserve"> </w:t>
                  </w:r>
                  <w:r>
                    <w:rPr>
                      <w:rFonts w:ascii="宋体" w:hAnsi="宋体" w:eastAsia="宋体" w:cs="宋体"/>
                      <w:color w:val="auto"/>
                      <w:spacing w:val="-1"/>
                      <w:sz w:val="21"/>
                      <w:szCs w:val="21"/>
                    </w:rPr>
                    <w:t>吨</w:t>
                  </w:r>
                </w:p>
              </w:tc>
              <w:tc>
                <w:tcPr>
                  <w:tcW w:w="1878" w:type="dxa"/>
                  <w:vAlign w:val="center"/>
                </w:tcPr>
                <w:p w14:paraId="4B078E1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乐环审〔</w:t>
                  </w:r>
                  <w:r>
                    <w:rPr>
                      <w:color w:val="auto"/>
                      <w:spacing w:val="-1"/>
                      <w:sz w:val="21"/>
                      <w:szCs w:val="21"/>
                    </w:rPr>
                    <w:t>2020</w:t>
                  </w:r>
                  <w:r>
                    <w:rPr>
                      <w:rFonts w:ascii="宋体" w:hAnsi="宋体" w:eastAsia="宋体" w:cs="宋体"/>
                      <w:color w:val="auto"/>
                      <w:spacing w:val="-1"/>
                      <w:sz w:val="21"/>
                      <w:szCs w:val="21"/>
                    </w:rPr>
                    <w:t>〕</w:t>
                  </w:r>
                  <w:r>
                    <w:rPr>
                      <w:color w:val="auto"/>
                      <w:spacing w:val="-1"/>
                      <w:sz w:val="21"/>
                      <w:szCs w:val="21"/>
                    </w:rPr>
                    <w:t xml:space="preserve">31 </w:t>
                  </w:r>
                  <w:r>
                    <w:rPr>
                      <w:rFonts w:ascii="宋体" w:hAnsi="宋体" w:eastAsia="宋体" w:cs="宋体"/>
                      <w:color w:val="auto"/>
                      <w:spacing w:val="-1"/>
                      <w:sz w:val="21"/>
                      <w:szCs w:val="21"/>
                    </w:rPr>
                    <w:t>号、韶环乐审</w:t>
                  </w:r>
                </w:p>
                <w:p w14:paraId="0462548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w:t>
                  </w:r>
                  <w:r>
                    <w:rPr>
                      <w:color w:val="auto"/>
                      <w:spacing w:val="-4"/>
                      <w:sz w:val="21"/>
                      <w:szCs w:val="21"/>
                    </w:rPr>
                    <w:t>2022</w:t>
                  </w:r>
                  <w:r>
                    <w:rPr>
                      <w:rFonts w:ascii="宋体" w:hAnsi="宋体" w:eastAsia="宋体" w:cs="宋体"/>
                      <w:color w:val="auto"/>
                      <w:spacing w:val="-4"/>
                      <w:sz w:val="21"/>
                      <w:szCs w:val="21"/>
                    </w:rPr>
                    <w:t>〕</w:t>
                  </w:r>
                  <w:r>
                    <w:rPr>
                      <w:color w:val="auto"/>
                      <w:spacing w:val="-4"/>
                      <w:sz w:val="21"/>
                      <w:szCs w:val="21"/>
                    </w:rPr>
                    <w:t>08</w:t>
                  </w:r>
                  <w:r>
                    <w:rPr>
                      <w:color w:val="auto"/>
                      <w:spacing w:val="17"/>
                      <w:sz w:val="21"/>
                      <w:szCs w:val="21"/>
                    </w:rPr>
                    <w:t xml:space="preserve"> </w:t>
                  </w:r>
                  <w:r>
                    <w:rPr>
                      <w:rFonts w:ascii="宋体" w:hAnsi="宋体" w:eastAsia="宋体" w:cs="宋体"/>
                      <w:color w:val="auto"/>
                      <w:spacing w:val="-4"/>
                      <w:sz w:val="21"/>
                      <w:szCs w:val="21"/>
                    </w:rPr>
                    <w:t>号</w:t>
                  </w:r>
                </w:p>
              </w:tc>
            </w:tr>
            <w:tr w14:paraId="740A92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2" w:hRule="atLeast"/>
                <w:jc w:val="center"/>
              </w:trPr>
              <w:tc>
                <w:tcPr>
                  <w:tcW w:w="311" w:type="dxa"/>
                  <w:vAlign w:val="center"/>
                </w:tcPr>
                <w:p w14:paraId="335CD359">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6"/>
                      <w:sz w:val="21"/>
                      <w:szCs w:val="21"/>
                    </w:rPr>
                    <w:t>103</w:t>
                  </w:r>
                </w:p>
              </w:tc>
              <w:tc>
                <w:tcPr>
                  <w:tcW w:w="961" w:type="dxa"/>
                  <w:vAlign w:val="center"/>
                </w:tcPr>
                <w:p w14:paraId="57B303E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乐昌市吉焱实业有限公司</w:t>
                  </w:r>
                </w:p>
              </w:tc>
              <w:tc>
                <w:tcPr>
                  <w:tcW w:w="600" w:type="dxa"/>
                  <w:vAlign w:val="center"/>
                </w:tcPr>
                <w:p w14:paraId="302BDD3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停产</w:t>
                  </w:r>
                </w:p>
              </w:tc>
              <w:tc>
                <w:tcPr>
                  <w:tcW w:w="915" w:type="dxa"/>
                  <w:vAlign w:val="center"/>
                </w:tcPr>
                <w:p w14:paraId="217B693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橡胶和塑料制品业</w:t>
                  </w:r>
                </w:p>
              </w:tc>
              <w:tc>
                <w:tcPr>
                  <w:tcW w:w="1140" w:type="dxa"/>
                  <w:vAlign w:val="center"/>
                </w:tcPr>
                <w:p w14:paraId="699739F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24875.4</w:t>
                  </w:r>
                </w:p>
              </w:tc>
              <w:tc>
                <w:tcPr>
                  <w:tcW w:w="2053" w:type="dxa"/>
                  <w:vAlign w:val="center"/>
                </w:tcPr>
                <w:p w14:paraId="06C8A39C">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w:t>
                  </w:r>
                  <w:r>
                    <w:rPr>
                      <w:rFonts w:ascii="宋体" w:hAnsi="宋体" w:eastAsia="宋体" w:cs="宋体"/>
                      <w:color w:val="auto"/>
                      <w:spacing w:val="-51"/>
                      <w:sz w:val="21"/>
                      <w:szCs w:val="21"/>
                    </w:rPr>
                    <w:t xml:space="preserve"> </w:t>
                  </w:r>
                  <w:r>
                    <w:rPr>
                      <w:color w:val="auto"/>
                      <w:spacing w:val="-2"/>
                      <w:sz w:val="21"/>
                      <w:szCs w:val="21"/>
                    </w:rPr>
                    <w:t xml:space="preserve">PU </w:t>
                  </w:r>
                  <w:r>
                    <w:rPr>
                      <w:rFonts w:ascii="宋体" w:hAnsi="宋体" w:eastAsia="宋体" w:cs="宋体"/>
                      <w:color w:val="auto"/>
                      <w:spacing w:val="-2"/>
                      <w:sz w:val="21"/>
                      <w:szCs w:val="21"/>
                    </w:rPr>
                    <w:t>装饰线条</w:t>
                  </w:r>
                  <w:r>
                    <w:rPr>
                      <w:rFonts w:ascii="宋体" w:hAnsi="宋体" w:eastAsia="宋体" w:cs="宋体"/>
                      <w:color w:val="auto"/>
                      <w:spacing w:val="-30"/>
                      <w:sz w:val="21"/>
                      <w:szCs w:val="21"/>
                    </w:rPr>
                    <w:t xml:space="preserve"> </w:t>
                  </w:r>
                  <w:r>
                    <w:rPr>
                      <w:color w:val="auto"/>
                      <w:spacing w:val="-2"/>
                      <w:sz w:val="21"/>
                      <w:szCs w:val="21"/>
                    </w:rPr>
                    <w:t>1500</w:t>
                  </w:r>
                  <w:r>
                    <w:rPr>
                      <w:color w:val="auto"/>
                      <w:spacing w:val="19"/>
                      <w:sz w:val="21"/>
                      <w:szCs w:val="21"/>
                    </w:rPr>
                    <w:t xml:space="preserve"> </w:t>
                  </w:r>
                  <w:r>
                    <w:rPr>
                      <w:rFonts w:ascii="宋体" w:hAnsi="宋体" w:eastAsia="宋体" w:cs="宋体"/>
                      <w:color w:val="auto"/>
                      <w:spacing w:val="-2"/>
                      <w:sz w:val="21"/>
                      <w:szCs w:val="21"/>
                    </w:rPr>
                    <w:t>吨、聚氨酯装饰制品</w:t>
                  </w:r>
                  <w:r>
                    <w:rPr>
                      <w:rFonts w:ascii="宋体" w:hAnsi="宋体" w:eastAsia="宋体" w:cs="宋体"/>
                      <w:color w:val="auto"/>
                      <w:spacing w:val="-48"/>
                      <w:sz w:val="21"/>
                      <w:szCs w:val="21"/>
                    </w:rPr>
                    <w:t xml:space="preserve"> </w:t>
                  </w:r>
                  <w:r>
                    <w:rPr>
                      <w:color w:val="auto"/>
                      <w:spacing w:val="-2"/>
                      <w:sz w:val="21"/>
                      <w:szCs w:val="21"/>
                    </w:rPr>
                    <w:t>2</w:t>
                  </w:r>
                  <w:r>
                    <w:rPr>
                      <w:color w:val="auto"/>
                      <w:spacing w:val="-3"/>
                      <w:sz w:val="21"/>
                      <w:szCs w:val="21"/>
                    </w:rPr>
                    <w:t>50</w:t>
                  </w:r>
                  <w:r>
                    <w:rPr>
                      <w:color w:val="auto"/>
                      <w:spacing w:val="18"/>
                      <w:w w:val="101"/>
                      <w:sz w:val="21"/>
                      <w:szCs w:val="21"/>
                    </w:rPr>
                    <w:t xml:space="preserve"> </w:t>
                  </w:r>
                  <w:r>
                    <w:rPr>
                      <w:rFonts w:ascii="宋体" w:hAnsi="宋体" w:eastAsia="宋体" w:cs="宋体"/>
                      <w:color w:val="auto"/>
                      <w:spacing w:val="-3"/>
                      <w:sz w:val="21"/>
                      <w:szCs w:val="21"/>
                    </w:rPr>
                    <w:t>吨</w:t>
                  </w:r>
                </w:p>
              </w:tc>
              <w:tc>
                <w:tcPr>
                  <w:tcW w:w="1878" w:type="dxa"/>
                  <w:vAlign w:val="center"/>
                </w:tcPr>
                <w:p w14:paraId="3D48A75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乐环审</w:t>
                  </w:r>
                  <w:r>
                    <w:rPr>
                      <w:color w:val="auto"/>
                      <w:spacing w:val="-4"/>
                      <w:sz w:val="21"/>
                      <w:szCs w:val="21"/>
                    </w:rPr>
                    <w:t>[</w:t>
                  </w:r>
                  <w:r>
                    <w:rPr>
                      <w:color w:val="auto"/>
                      <w:sz w:val="21"/>
                      <w:szCs w:val="21"/>
                    </w:rPr>
                    <w:fldChar w:fldCharType="begin"/>
                  </w:r>
                  <w:r>
                    <w:rPr>
                      <w:color w:val="auto"/>
                      <w:sz w:val="21"/>
                      <w:szCs w:val="21"/>
                    </w:rPr>
                    <w:instrText xml:space="preserve"> HYPERLINK \l "bookmark258" </w:instrText>
                  </w:r>
                  <w:r>
                    <w:rPr>
                      <w:color w:val="auto"/>
                      <w:sz w:val="21"/>
                      <w:szCs w:val="21"/>
                    </w:rPr>
                    <w:fldChar w:fldCharType="separate"/>
                  </w:r>
                  <w:r>
                    <w:rPr>
                      <w:color w:val="auto"/>
                      <w:spacing w:val="-4"/>
                      <w:sz w:val="21"/>
                      <w:szCs w:val="21"/>
                    </w:rPr>
                    <w:t>2018</w:t>
                  </w:r>
                  <w:r>
                    <w:rPr>
                      <w:color w:val="auto"/>
                      <w:spacing w:val="-4"/>
                      <w:sz w:val="21"/>
                      <w:szCs w:val="21"/>
                    </w:rPr>
                    <w:fldChar w:fldCharType="end"/>
                  </w:r>
                  <w:r>
                    <w:rPr>
                      <w:color w:val="auto"/>
                      <w:spacing w:val="-4"/>
                      <w:sz w:val="21"/>
                      <w:szCs w:val="21"/>
                    </w:rPr>
                    <w:t>]</w:t>
                  </w:r>
                  <w:r>
                    <w:rPr>
                      <w:color w:val="auto"/>
                      <w:spacing w:val="-19"/>
                      <w:sz w:val="21"/>
                      <w:szCs w:val="21"/>
                    </w:rPr>
                    <w:t xml:space="preserve"> </w:t>
                  </w:r>
                  <w:r>
                    <w:rPr>
                      <w:color w:val="auto"/>
                      <w:spacing w:val="-4"/>
                      <w:sz w:val="21"/>
                      <w:szCs w:val="21"/>
                    </w:rPr>
                    <w:t>14</w:t>
                  </w:r>
                  <w:r>
                    <w:rPr>
                      <w:color w:val="auto"/>
                      <w:spacing w:val="14"/>
                      <w:w w:val="101"/>
                      <w:sz w:val="21"/>
                      <w:szCs w:val="21"/>
                    </w:rPr>
                    <w:t xml:space="preserve"> </w:t>
                  </w:r>
                  <w:r>
                    <w:rPr>
                      <w:rFonts w:ascii="宋体" w:hAnsi="宋体" w:eastAsia="宋体" w:cs="宋体"/>
                      <w:color w:val="auto"/>
                      <w:spacing w:val="-4"/>
                      <w:sz w:val="21"/>
                      <w:szCs w:val="21"/>
                    </w:rPr>
                    <w:t>号</w:t>
                  </w:r>
                </w:p>
              </w:tc>
            </w:tr>
            <w:tr w14:paraId="42A35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311" w:type="dxa"/>
                  <w:vAlign w:val="center"/>
                </w:tcPr>
                <w:p w14:paraId="5BD387E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6"/>
                      <w:sz w:val="21"/>
                      <w:szCs w:val="21"/>
                    </w:rPr>
                    <w:t>104</w:t>
                  </w:r>
                </w:p>
              </w:tc>
              <w:tc>
                <w:tcPr>
                  <w:tcW w:w="961" w:type="dxa"/>
                  <w:vAlign w:val="center"/>
                </w:tcPr>
                <w:p w14:paraId="623F5A1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广东省嘉上实业有限公司</w:t>
                  </w:r>
                </w:p>
              </w:tc>
              <w:tc>
                <w:tcPr>
                  <w:tcW w:w="600" w:type="dxa"/>
                  <w:vAlign w:val="center"/>
                </w:tcPr>
                <w:p w14:paraId="2AA98E9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停产</w:t>
                  </w:r>
                </w:p>
              </w:tc>
              <w:tc>
                <w:tcPr>
                  <w:tcW w:w="915" w:type="dxa"/>
                  <w:vAlign w:val="center"/>
                </w:tcPr>
                <w:p w14:paraId="62D2045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橡胶和塑料制品业</w:t>
                  </w:r>
                </w:p>
              </w:tc>
              <w:tc>
                <w:tcPr>
                  <w:tcW w:w="1140" w:type="dxa"/>
                  <w:vAlign w:val="center"/>
                </w:tcPr>
                <w:p w14:paraId="4576878C">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3"/>
                      <w:sz w:val="21"/>
                      <w:szCs w:val="21"/>
                    </w:rPr>
                    <w:t>12926.42</w:t>
                  </w:r>
                </w:p>
              </w:tc>
              <w:tc>
                <w:tcPr>
                  <w:tcW w:w="2053" w:type="dxa"/>
                  <w:vAlign w:val="center"/>
                </w:tcPr>
                <w:p w14:paraId="0584F8CA">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年产塑胶桶</w:t>
                  </w:r>
                  <w:r>
                    <w:rPr>
                      <w:rFonts w:ascii="宋体" w:hAnsi="宋体" w:eastAsia="宋体" w:cs="宋体"/>
                      <w:color w:val="auto"/>
                      <w:spacing w:val="-42"/>
                      <w:sz w:val="21"/>
                      <w:szCs w:val="21"/>
                    </w:rPr>
                    <w:t xml:space="preserve"> </w:t>
                  </w:r>
                  <w:r>
                    <w:rPr>
                      <w:color w:val="auto"/>
                      <w:spacing w:val="-1"/>
                      <w:sz w:val="21"/>
                      <w:szCs w:val="21"/>
                    </w:rPr>
                    <w:t xml:space="preserve">500 </w:t>
                  </w:r>
                  <w:r>
                    <w:rPr>
                      <w:rFonts w:ascii="宋体" w:hAnsi="宋体" w:eastAsia="宋体" w:cs="宋体"/>
                      <w:color w:val="auto"/>
                      <w:spacing w:val="-1"/>
                      <w:sz w:val="21"/>
                      <w:szCs w:val="21"/>
                    </w:rPr>
                    <w:t>万个</w:t>
                  </w:r>
                </w:p>
              </w:tc>
              <w:tc>
                <w:tcPr>
                  <w:tcW w:w="1878" w:type="dxa"/>
                  <w:vAlign w:val="center"/>
                </w:tcPr>
                <w:p w14:paraId="0DE24DCA">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z w:val="21"/>
                      <w:szCs w:val="21"/>
                    </w:rPr>
                    <w:t>韶环乐审</w:t>
                  </w:r>
                  <w:r>
                    <w:rPr>
                      <w:color w:val="auto"/>
                      <w:sz w:val="21"/>
                      <w:szCs w:val="21"/>
                    </w:rPr>
                    <w:t>[</w:t>
                  </w:r>
                  <w:r>
                    <w:rPr>
                      <w:color w:val="auto"/>
                      <w:sz w:val="21"/>
                      <w:szCs w:val="21"/>
                    </w:rPr>
                    <w:fldChar w:fldCharType="begin"/>
                  </w:r>
                  <w:r>
                    <w:rPr>
                      <w:color w:val="auto"/>
                      <w:sz w:val="21"/>
                      <w:szCs w:val="21"/>
                    </w:rPr>
                    <w:instrText xml:space="preserve"> HYPERLINK \l "bookmark259" </w:instrText>
                  </w:r>
                  <w:r>
                    <w:rPr>
                      <w:color w:val="auto"/>
                      <w:sz w:val="21"/>
                      <w:szCs w:val="21"/>
                    </w:rPr>
                    <w:fldChar w:fldCharType="separate"/>
                  </w:r>
                  <w:r>
                    <w:rPr>
                      <w:color w:val="auto"/>
                      <w:sz w:val="21"/>
                      <w:szCs w:val="21"/>
                    </w:rPr>
                    <w:t>2022</w:t>
                  </w:r>
                  <w:r>
                    <w:rPr>
                      <w:color w:val="auto"/>
                      <w:sz w:val="21"/>
                      <w:szCs w:val="21"/>
                    </w:rPr>
                    <w:fldChar w:fldCharType="end"/>
                  </w:r>
                  <w:r>
                    <w:rPr>
                      <w:color w:val="auto"/>
                      <w:sz w:val="21"/>
                      <w:szCs w:val="21"/>
                    </w:rPr>
                    <w:t xml:space="preserve">]21 </w:t>
                  </w:r>
                  <w:r>
                    <w:rPr>
                      <w:rFonts w:ascii="宋体" w:hAnsi="宋体" w:eastAsia="宋体" w:cs="宋体"/>
                      <w:color w:val="auto"/>
                      <w:sz w:val="21"/>
                      <w:szCs w:val="21"/>
                    </w:rPr>
                    <w:t>号</w:t>
                  </w:r>
                </w:p>
              </w:tc>
            </w:tr>
            <w:tr w14:paraId="66EDDC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jc w:val="center"/>
              </w:trPr>
              <w:tc>
                <w:tcPr>
                  <w:tcW w:w="311" w:type="dxa"/>
                  <w:vAlign w:val="center"/>
                </w:tcPr>
                <w:p w14:paraId="1ECFC6F2">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6"/>
                      <w:sz w:val="21"/>
                      <w:szCs w:val="21"/>
                    </w:rPr>
                    <w:t>105</w:t>
                  </w:r>
                </w:p>
              </w:tc>
              <w:tc>
                <w:tcPr>
                  <w:tcW w:w="961" w:type="dxa"/>
                  <w:vAlign w:val="center"/>
                </w:tcPr>
                <w:p w14:paraId="3E5AE02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溢拓新能源</w:t>
                  </w:r>
                  <w:r>
                    <w:rPr>
                      <w:color w:val="auto"/>
                      <w:spacing w:val="-1"/>
                      <w:sz w:val="21"/>
                      <w:szCs w:val="21"/>
                    </w:rPr>
                    <w:t>(</w:t>
                  </w:r>
                  <w:r>
                    <w:rPr>
                      <w:rFonts w:ascii="宋体" w:hAnsi="宋体" w:eastAsia="宋体" w:cs="宋体"/>
                      <w:color w:val="auto"/>
                      <w:spacing w:val="-1"/>
                      <w:sz w:val="21"/>
                      <w:szCs w:val="21"/>
                    </w:rPr>
                    <w:t>广东</w:t>
                  </w:r>
                  <w:r>
                    <w:rPr>
                      <w:color w:val="auto"/>
                      <w:spacing w:val="-1"/>
                      <w:sz w:val="21"/>
                      <w:szCs w:val="21"/>
                    </w:rPr>
                    <w:t>)</w:t>
                  </w:r>
                  <w:r>
                    <w:rPr>
                      <w:rFonts w:ascii="宋体" w:hAnsi="宋体" w:eastAsia="宋体" w:cs="宋体"/>
                      <w:color w:val="auto"/>
                      <w:spacing w:val="-1"/>
                      <w:sz w:val="21"/>
                      <w:szCs w:val="21"/>
                    </w:rPr>
                    <w:t>有限公司</w:t>
                  </w:r>
                </w:p>
              </w:tc>
              <w:tc>
                <w:tcPr>
                  <w:tcW w:w="600" w:type="dxa"/>
                  <w:vAlign w:val="center"/>
                </w:tcPr>
                <w:p w14:paraId="20DF632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停产</w:t>
                  </w:r>
                </w:p>
              </w:tc>
              <w:tc>
                <w:tcPr>
                  <w:tcW w:w="915" w:type="dxa"/>
                  <w:vAlign w:val="center"/>
                </w:tcPr>
                <w:p w14:paraId="56584570">
                  <w:pPr>
                    <w:keepNext w:val="0"/>
                    <w:keepLines w:val="0"/>
                    <w:pageBreakBefore w:val="0"/>
                    <w:widowControl/>
                    <w:kinsoku w:val="0"/>
                    <w:wordWrap/>
                    <w:overflowPunct/>
                    <w:topLinePunct w:val="0"/>
                    <w:autoSpaceDE w:val="0"/>
                    <w:autoSpaceDN w:val="0"/>
                    <w:bidi w:val="0"/>
                    <w:adjustRightInd w:val="0"/>
                    <w:snapToGrid w:val="0"/>
                    <w:spacing w:line="240" w:lineRule="auto"/>
                    <w:ind w:left="0" w:right="132" w:hanging="603"/>
                    <w:jc w:val="center"/>
                    <w:textAlignment w:val="baseline"/>
                    <w:rPr>
                      <w:rFonts w:ascii="宋体" w:hAnsi="宋体" w:eastAsia="宋体" w:cs="宋体"/>
                      <w:color w:val="auto"/>
                      <w:sz w:val="21"/>
                      <w:szCs w:val="21"/>
                    </w:rPr>
                  </w:pPr>
                  <w:r>
                    <w:rPr>
                      <w:rFonts w:ascii="宋体" w:hAnsi="宋体" w:eastAsia="宋体" w:cs="宋体"/>
                      <w:color w:val="auto"/>
                      <w:spacing w:val="-4"/>
                      <w:sz w:val="21"/>
                      <w:szCs w:val="21"/>
                    </w:rPr>
                    <w:t>电气机械和器材制</w:t>
                  </w:r>
                  <w:r>
                    <w:rPr>
                      <w:rFonts w:ascii="宋体" w:hAnsi="宋体" w:eastAsia="宋体" w:cs="宋体"/>
                      <w:color w:val="auto"/>
                      <w:spacing w:val="-2"/>
                      <w:sz w:val="21"/>
                      <w:szCs w:val="21"/>
                    </w:rPr>
                    <w:t>造业</w:t>
                  </w:r>
                </w:p>
              </w:tc>
              <w:tc>
                <w:tcPr>
                  <w:tcW w:w="1140" w:type="dxa"/>
                  <w:vAlign w:val="center"/>
                </w:tcPr>
                <w:p w14:paraId="4DCC7FD8">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6"/>
                      <w:sz w:val="21"/>
                      <w:szCs w:val="21"/>
                    </w:rPr>
                    <w:t>11000</w:t>
                  </w:r>
                </w:p>
              </w:tc>
              <w:tc>
                <w:tcPr>
                  <w:tcW w:w="2053" w:type="dxa"/>
                  <w:vAlign w:val="center"/>
                </w:tcPr>
                <w:p w14:paraId="13C8E8FB">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w:t>
                  </w:r>
                  <w:r>
                    <w:rPr>
                      <w:rFonts w:ascii="宋体" w:hAnsi="宋体" w:eastAsia="宋体" w:cs="宋体"/>
                      <w:color w:val="auto"/>
                      <w:spacing w:val="-30"/>
                      <w:sz w:val="21"/>
                      <w:szCs w:val="21"/>
                    </w:rPr>
                    <w:t xml:space="preserve"> </w:t>
                  </w:r>
                  <w:r>
                    <w:rPr>
                      <w:color w:val="auto"/>
                      <w:spacing w:val="-2"/>
                      <w:sz w:val="21"/>
                      <w:szCs w:val="21"/>
                    </w:rPr>
                    <w:t>300</w:t>
                  </w:r>
                  <w:r>
                    <w:rPr>
                      <w:color w:val="auto"/>
                      <w:spacing w:val="14"/>
                      <w:sz w:val="21"/>
                      <w:szCs w:val="21"/>
                    </w:rPr>
                    <w:t xml:space="preserve"> </w:t>
                  </w:r>
                  <w:r>
                    <w:rPr>
                      <w:rFonts w:ascii="宋体" w:hAnsi="宋体" w:eastAsia="宋体" w:cs="宋体"/>
                      <w:color w:val="auto"/>
                      <w:spacing w:val="-2"/>
                      <w:sz w:val="21"/>
                      <w:szCs w:val="21"/>
                    </w:rPr>
                    <w:t>万件星空灯、</w:t>
                  </w:r>
                  <w:r>
                    <w:rPr>
                      <w:color w:val="auto"/>
                      <w:spacing w:val="-2"/>
                      <w:sz w:val="21"/>
                      <w:szCs w:val="21"/>
                    </w:rPr>
                    <w:t xml:space="preserve">20 </w:t>
                  </w:r>
                  <w:r>
                    <w:rPr>
                      <w:rFonts w:ascii="宋体" w:hAnsi="宋体" w:eastAsia="宋体" w:cs="宋体"/>
                      <w:color w:val="auto"/>
                      <w:spacing w:val="-2"/>
                      <w:sz w:val="21"/>
                      <w:szCs w:val="21"/>
                    </w:rPr>
                    <w:t>万件防触电排插、</w:t>
                  </w:r>
                  <w:r>
                    <w:rPr>
                      <w:color w:val="auto"/>
                      <w:spacing w:val="-2"/>
                      <w:sz w:val="21"/>
                      <w:szCs w:val="21"/>
                    </w:rPr>
                    <w:t>12</w:t>
                  </w:r>
                  <w:r>
                    <w:rPr>
                      <w:color w:val="auto"/>
                      <w:spacing w:val="13"/>
                      <w:w w:val="101"/>
                      <w:sz w:val="21"/>
                      <w:szCs w:val="21"/>
                    </w:rPr>
                    <w:t xml:space="preserve"> </w:t>
                  </w:r>
                  <w:r>
                    <w:rPr>
                      <w:rFonts w:ascii="宋体" w:hAnsi="宋体" w:eastAsia="宋体" w:cs="宋体"/>
                      <w:color w:val="auto"/>
                      <w:spacing w:val="-2"/>
                      <w:sz w:val="21"/>
                      <w:szCs w:val="21"/>
                    </w:rPr>
                    <w:t>万件擦窗机</w:t>
                  </w:r>
                </w:p>
              </w:tc>
              <w:tc>
                <w:tcPr>
                  <w:tcW w:w="1878" w:type="dxa"/>
                  <w:vAlign w:val="center"/>
                </w:tcPr>
                <w:p w14:paraId="3FB4CA6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韶环乐审〔</w:t>
                  </w:r>
                  <w:r>
                    <w:rPr>
                      <w:color w:val="auto"/>
                      <w:spacing w:val="-2"/>
                      <w:sz w:val="21"/>
                      <w:szCs w:val="21"/>
                    </w:rPr>
                    <w:t>2025</w:t>
                  </w:r>
                  <w:r>
                    <w:rPr>
                      <w:rFonts w:ascii="宋体" w:hAnsi="宋体" w:eastAsia="宋体" w:cs="宋体"/>
                      <w:color w:val="auto"/>
                      <w:spacing w:val="-2"/>
                      <w:sz w:val="21"/>
                      <w:szCs w:val="21"/>
                    </w:rPr>
                    <w:t>〕</w:t>
                  </w:r>
                  <w:r>
                    <w:rPr>
                      <w:color w:val="auto"/>
                      <w:spacing w:val="-2"/>
                      <w:sz w:val="21"/>
                      <w:szCs w:val="21"/>
                    </w:rPr>
                    <w:t>11</w:t>
                  </w:r>
                  <w:r>
                    <w:rPr>
                      <w:color w:val="auto"/>
                      <w:spacing w:val="24"/>
                      <w:sz w:val="21"/>
                      <w:szCs w:val="21"/>
                    </w:rPr>
                    <w:t xml:space="preserve"> </w:t>
                  </w:r>
                  <w:r>
                    <w:rPr>
                      <w:rFonts w:ascii="宋体" w:hAnsi="宋体" w:eastAsia="宋体" w:cs="宋体"/>
                      <w:color w:val="auto"/>
                      <w:spacing w:val="-2"/>
                      <w:sz w:val="21"/>
                      <w:szCs w:val="21"/>
                    </w:rPr>
                    <w:t>号</w:t>
                  </w:r>
                </w:p>
              </w:tc>
            </w:tr>
            <w:tr w14:paraId="4A5D7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311" w:type="dxa"/>
                  <w:vAlign w:val="center"/>
                </w:tcPr>
                <w:p w14:paraId="3236317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6"/>
                      <w:sz w:val="21"/>
                      <w:szCs w:val="21"/>
                    </w:rPr>
                    <w:t>106</w:t>
                  </w:r>
                </w:p>
              </w:tc>
              <w:tc>
                <w:tcPr>
                  <w:tcW w:w="961" w:type="dxa"/>
                  <w:vAlign w:val="center"/>
                </w:tcPr>
                <w:p w14:paraId="09F3083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乐昌皓强科技有限公司</w:t>
                  </w:r>
                </w:p>
              </w:tc>
              <w:tc>
                <w:tcPr>
                  <w:tcW w:w="600" w:type="dxa"/>
                  <w:vAlign w:val="center"/>
                </w:tcPr>
                <w:p w14:paraId="0D2C519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停产</w:t>
                  </w:r>
                </w:p>
              </w:tc>
              <w:tc>
                <w:tcPr>
                  <w:tcW w:w="915" w:type="dxa"/>
                  <w:vAlign w:val="center"/>
                </w:tcPr>
                <w:p w14:paraId="4C20F49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橡胶和塑料制品业</w:t>
                  </w:r>
                </w:p>
              </w:tc>
              <w:tc>
                <w:tcPr>
                  <w:tcW w:w="1140" w:type="dxa"/>
                  <w:vAlign w:val="center"/>
                </w:tcPr>
                <w:p w14:paraId="14AF553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9600</w:t>
                  </w:r>
                </w:p>
              </w:tc>
              <w:tc>
                <w:tcPr>
                  <w:tcW w:w="2053" w:type="dxa"/>
                  <w:vAlign w:val="center"/>
                </w:tcPr>
                <w:p w14:paraId="13662A0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w:t>
                  </w:r>
                  <w:r>
                    <w:rPr>
                      <w:rFonts w:ascii="宋体" w:hAnsi="宋体" w:eastAsia="宋体" w:cs="宋体"/>
                      <w:color w:val="auto"/>
                      <w:spacing w:val="-27"/>
                      <w:sz w:val="21"/>
                      <w:szCs w:val="21"/>
                    </w:rPr>
                    <w:t xml:space="preserve"> </w:t>
                  </w:r>
                  <w:r>
                    <w:rPr>
                      <w:color w:val="auto"/>
                      <w:spacing w:val="-2"/>
                      <w:sz w:val="21"/>
                      <w:szCs w:val="21"/>
                    </w:rPr>
                    <w:t>106</w:t>
                  </w:r>
                  <w:r>
                    <w:rPr>
                      <w:color w:val="auto"/>
                      <w:spacing w:val="13"/>
                      <w:w w:val="101"/>
                      <w:sz w:val="21"/>
                      <w:szCs w:val="21"/>
                    </w:rPr>
                    <w:t xml:space="preserve"> </w:t>
                  </w:r>
                  <w:r>
                    <w:rPr>
                      <w:rFonts w:ascii="宋体" w:hAnsi="宋体" w:eastAsia="宋体" w:cs="宋体"/>
                      <w:color w:val="auto"/>
                      <w:spacing w:val="-2"/>
                      <w:sz w:val="21"/>
                      <w:szCs w:val="21"/>
                    </w:rPr>
                    <w:t>万平方米新型先进复合建筑塑料</w:t>
                  </w:r>
                  <w:r>
                    <w:rPr>
                      <w:rFonts w:ascii="宋体" w:hAnsi="宋体" w:eastAsia="宋体" w:cs="宋体"/>
                      <w:color w:val="auto"/>
                      <w:spacing w:val="-3"/>
                      <w:sz w:val="21"/>
                      <w:szCs w:val="21"/>
                    </w:rPr>
                    <w:t>模板</w:t>
                  </w:r>
                </w:p>
              </w:tc>
              <w:tc>
                <w:tcPr>
                  <w:tcW w:w="1878" w:type="dxa"/>
                  <w:vAlign w:val="center"/>
                </w:tcPr>
                <w:p w14:paraId="6A53D32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2022</w:t>
                  </w:r>
                  <w:r>
                    <w:rPr>
                      <w:rFonts w:ascii="宋体" w:hAnsi="宋体" w:eastAsia="宋体" w:cs="宋体"/>
                      <w:color w:val="auto"/>
                      <w:spacing w:val="-1"/>
                      <w:sz w:val="21"/>
                      <w:szCs w:val="21"/>
                    </w:rPr>
                    <w:t>〕</w:t>
                  </w:r>
                  <w:r>
                    <w:rPr>
                      <w:color w:val="auto"/>
                      <w:spacing w:val="-1"/>
                      <w:sz w:val="21"/>
                      <w:szCs w:val="21"/>
                    </w:rPr>
                    <w:t>02</w:t>
                  </w:r>
                  <w:r>
                    <w:rPr>
                      <w:color w:val="auto"/>
                      <w:spacing w:val="18"/>
                      <w:sz w:val="21"/>
                      <w:szCs w:val="21"/>
                    </w:rPr>
                    <w:t xml:space="preserve"> </w:t>
                  </w:r>
                  <w:r>
                    <w:rPr>
                      <w:rFonts w:ascii="宋体" w:hAnsi="宋体" w:eastAsia="宋体" w:cs="宋体"/>
                      <w:color w:val="auto"/>
                      <w:spacing w:val="-1"/>
                      <w:sz w:val="21"/>
                      <w:szCs w:val="21"/>
                    </w:rPr>
                    <w:t>号</w:t>
                  </w:r>
                </w:p>
              </w:tc>
            </w:tr>
            <w:tr w14:paraId="7888FB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7086E69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6"/>
                      <w:sz w:val="21"/>
                      <w:szCs w:val="21"/>
                    </w:rPr>
                    <w:t>107</w:t>
                  </w:r>
                </w:p>
              </w:tc>
              <w:tc>
                <w:tcPr>
                  <w:tcW w:w="961" w:type="dxa"/>
                  <w:vAlign w:val="center"/>
                </w:tcPr>
                <w:p w14:paraId="7956404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乐昌市保利发矿山机械配件</w:t>
                  </w:r>
                </w:p>
                <w:p w14:paraId="65150BB3">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有限公司</w:t>
                  </w:r>
                </w:p>
              </w:tc>
              <w:tc>
                <w:tcPr>
                  <w:tcW w:w="600" w:type="dxa"/>
                  <w:vAlign w:val="center"/>
                </w:tcPr>
                <w:p w14:paraId="3CC0B3E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停产</w:t>
                  </w:r>
                </w:p>
              </w:tc>
              <w:tc>
                <w:tcPr>
                  <w:tcW w:w="915" w:type="dxa"/>
                  <w:vAlign w:val="center"/>
                </w:tcPr>
                <w:p w14:paraId="3508C07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4CCD7F1C">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4050</w:t>
                  </w:r>
                </w:p>
              </w:tc>
              <w:tc>
                <w:tcPr>
                  <w:tcW w:w="2053" w:type="dxa"/>
                  <w:vAlign w:val="center"/>
                </w:tcPr>
                <w:p w14:paraId="0E1DF8F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年产破碎机边板</w:t>
                  </w:r>
                  <w:r>
                    <w:rPr>
                      <w:rFonts w:ascii="宋体" w:hAnsi="宋体" w:eastAsia="宋体" w:cs="宋体"/>
                      <w:color w:val="auto"/>
                      <w:spacing w:val="-43"/>
                      <w:sz w:val="21"/>
                      <w:szCs w:val="21"/>
                    </w:rPr>
                    <w:t xml:space="preserve"> </w:t>
                  </w:r>
                  <w:r>
                    <w:rPr>
                      <w:color w:val="auto"/>
                      <w:spacing w:val="-2"/>
                      <w:sz w:val="21"/>
                      <w:szCs w:val="21"/>
                    </w:rPr>
                    <w:t>3000</w:t>
                  </w:r>
                  <w:r>
                    <w:rPr>
                      <w:color w:val="auto"/>
                      <w:spacing w:val="18"/>
                      <w:w w:val="101"/>
                      <w:sz w:val="21"/>
                      <w:szCs w:val="21"/>
                    </w:rPr>
                    <w:t xml:space="preserve"> </w:t>
                  </w:r>
                  <w:r>
                    <w:rPr>
                      <w:rFonts w:ascii="宋体" w:hAnsi="宋体" w:eastAsia="宋体" w:cs="宋体"/>
                      <w:color w:val="auto"/>
                      <w:spacing w:val="-2"/>
                      <w:sz w:val="21"/>
                      <w:szCs w:val="21"/>
                    </w:rPr>
                    <w:t>吨、锤头</w:t>
                  </w:r>
                  <w:r>
                    <w:rPr>
                      <w:rFonts w:ascii="宋体" w:hAnsi="宋体" w:eastAsia="宋体" w:cs="宋体"/>
                      <w:color w:val="auto"/>
                      <w:spacing w:val="-48"/>
                      <w:sz w:val="21"/>
                      <w:szCs w:val="21"/>
                    </w:rPr>
                    <w:t xml:space="preserve"> </w:t>
                  </w:r>
                  <w:r>
                    <w:rPr>
                      <w:color w:val="auto"/>
                      <w:spacing w:val="-2"/>
                      <w:sz w:val="21"/>
                      <w:szCs w:val="21"/>
                    </w:rPr>
                    <w:t>2000</w:t>
                  </w:r>
                  <w:r>
                    <w:rPr>
                      <w:color w:val="auto"/>
                      <w:spacing w:val="16"/>
                      <w:w w:val="101"/>
                      <w:sz w:val="21"/>
                      <w:szCs w:val="21"/>
                    </w:rPr>
                    <w:t xml:space="preserve"> </w:t>
                  </w:r>
                  <w:r>
                    <w:rPr>
                      <w:rFonts w:ascii="宋体" w:hAnsi="宋体" w:eastAsia="宋体" w:cs="宋体"/>
                      <w:color w:val="auto"/>
                      <w:spacing w:val="-2"/>
                      <w:sz w:val="21"/>
                      <w:szCs w:val="21"/>
                    </w:rPr>
                    <w:t>吨</w:t>
                  </w:r>
                  <w:r>
                    <w:rPr>
                      <w:rFonts w:ascii="宋体" w:hAnsi="宋体" w:eastAsia="宋体" w:cs="宋体"/>
                      <w:color w:val="auto"/>
                      <w:spacing w:val="-3"/>
                      <w:sz w:val="21"/>
                      <w:szCs w:val="21"/>
                    </w:rPr>
                    <w:t>、配件</w:t>
                  </w:r>
                  <w:r>
                    <w:rPr>
                      <w:rFonts w:ascii="宋体" w:hAnsi="宋体" w:eastAsia="宋体" w:cs="宋体"/>
                      <w:color w:val="auto"/>
                      <w:spacing w:val="-45"/>
                      <w:sz w:val="21"/>
                      <w:szCs w:val="21"/>
                    </w:rPr>
                    <w:t xml:space="preserve"> </w:t>
                  </w:r>
                  <w:r>
                    <w:rPr>
                      <w:color w:val="auto"/>
                      <w:spacing w:val="-3"/>
                      <w:sz w:val="21"/>
                      <w:szCs w:val="21"/>
                    </w:rPr>
                    <w:t>5000</w:t>
                  </w:r>
                  <w:r>
                    <w:rPr>
                      <w:color w:val="auto"/>
                      <w:spacing w:val="16"/>
                      <w:w w:val="101"/>
                      <w:sz w:val="21"/>
                      <w:szCs w:val="21"/>
                    </w:rPr>
                    <w:t xml:space="preserve"> </w:t>
                  </w:r>
                  <w:r>
                    <w:rPr>
                      <w:rFonts w:ascii="宋体" w:hAnsi="宋体" w:eastAsia="宋体" w:cs="宋体"/>
                      <w:color w:val="auto"/>
                      <w:spacing w:val="-3"/>
                      <w:sz w:val="21"/>
                      <w:szCs w:val="21"/>
                    </w:rPr>
                    <w:t>吨</w:t>
                  </w:r>
                </w:p>
              </w:tc>
              <w:tc>
                <w:tcPr>
                  <w:tcW w:w="1878" w:type="dxa"/>
                  <w:vAlign w:val="center"/>
                </w:tcPr>
                <w:p w14:paraId="29F5501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乐环审</w:t>
                  </w:r>
                  <w:r>
                    <w:rPr>
                      <w:color w:val="auto"/>
                      <w:spacing w:val="-2"/>
                      <w:sz w:val="21"/>
                      <w:szCs w:val="21"/>
                    </w:rPr>
                    <w:t>[</w:t>
                  </w:r>
                  <w:r>
                    <w:rPr>
                      <w:color w:val="auto"/>
                      <w:sz w:val="21"/>
                      <w:szCs w:val="21"/>
                    </w:rPr>
                    <w:fldChar w:fldCharType="begin"/>
                  </w:r>
                  <w:r>
                    <w:rPr>
                      <w:color w:val="auto"/>
                      <w:sz w:val="21"/>
                      <w:szCs w:val="21"/>
                    </w:rPr>
                    <w:instrText xml:space="preserve"> HYPERLINK \l "bookmark260" </w:instrText>
                  </w:r>
                  <w:r>
                    <w:rPr>
                      <w:color w:val="auto"/>
                      <w:sz w:val="21"/>
                      <w:szCs w:val="21"/>
                    </w:rPr>
                    <w:fldChar w:fldCharType="separate"/>
                  </w:r>
                  <w:r>
                    <w:rPr>
                      <w:color w:val="auto"/>
                      <w:spacing w:val="-2"/>
                      <w:sz w:val="21"/>
                      <w:szCs w:val="21"/>
                    </w:rPr>
                    <w:t>2018</w:t>
                  </w:r>
                  <w:r>
                    <w:rPr>
                      <w:color w:val="auto"/>
                      <w:spacing w:val="-2"/>
                      <w:sz w:val="21"/>
                      <w:szCs w:val="21"/>
                    </w:rPr>
                    <w:fldChar w:fldCharType="end"/>
                  </w:r>
                  <w:r>
                    <w:rPr>
                      <w:color w:val="auto"/>
                      <w:spacing w:val="-2"/>
                      <w:sz w:val="21"/>
                      <w:szCs w:val="21"/>
                    </w:rPr>
                    <w:t>]29</w:t>
                  </w:r>
                  <w:r>
                    <w:rPr>
                      <w:color w:val="auto"/>
                      <w:spacing w:val="20"/>
                      <w:sz w:val="21"/>
                      <w:szCs w:val="21"/>
                    </w:rPr>
                    <w:t xml:space="preserve"> </w:t>
                  </w:r>
                  <w:r>
                    <w:rPr>
                      <w:rFonts w:ascii="宋体" w:hAnsi="宋体" w:eastAsia="宋体" w:cs="宋体"/>
                      <w:color w:val="auto"/>
                      <w:spacing w:val="-2"/>
                      <w:sz w:val="21"/>
                      <w:szCs w:val="21"/>
                    </w:rPr>
                    <w:t>号、韶环乐审</w:t>
                  </w:r>
                </w:p>
                <w:p w14:paraId="5D480CB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color w:val="auto"/>
                      <w:spacing w:val="-5"/>
                      <w:sz w:val="21"/>
                      <w:szCs w:val="21"/>
                    </w:rPr>
                    <w:t>[</w:t>
                  </w:r>
                  <w:r>
                    <w:rPr>
                      <w:color w:val="auto"/>
                      <w:sz w:val="21"/>
                      <w:szCs w:val="21"/>
                    </w:rPr>
                    <w:fldChar w:fldCharType="begin"/>
                  </w:r>
                  <w:r>
                    <w:rPr>
                      <w:color w:val="auto"/>
                      <w:sz w:val="21"/>
                      <w:szCs w:val="21"/>
                    </w:rPr>
                    <w:instrText xml:space="preserve"> HYPERLINK \l "bookmark261" </w:instrText>
                  </w:r>
                  <w:r>
                    <w:rPr>
                      <w:color w:val="auto"/>
                      <w:sz w:val="21"/>
                      <w:szCs w:val="21"/>
                    </w:rPr>
                    <w:fldChar w:fldCharType="separate"/>
                  </w:r>
                  <w:r>
                    <w:rPr>
                      <w:color w:val="auto"/>
                      <w:spacing w:val="-5"/>
                      <w:sz w:val="21"/>
                      <w:szCs w:val="21"/>
                    </w:rPr>
                    <w:t>2022</w:t>
                  </w:r>
                  <w:r>
                    <w:rPr>
                      <w:color w:val="auto"/>
                      <w:spacing w:val="-5"/>
                      <w:sz w:val="21"/>
                      <w:szCs w:val="21"/>
                    </w:rPr>
                    <w:fldChar w:fldCharType="end"/>
                  </w:r>
                  <w:r>
                    <w:rPr>
                      <w:color w:val="auto"/>
                      <w:spacing w:val="-5"/>
                      <w:sz w:val="21"/>
                      <w:szCs w:val="21"/>
                    </w:rPr>
                    <w:t>]</w:t>
                  </w:r>
                  <w:r>
                    <w:rPr>
                      <w:color w:val="auto"/>
                      <w:spacing w:val="-23"/>
                      <w:sz w:val="21"/>
                      <w:szCs w:val="21"/>
                    </w:rPr>
                    <w:t xml:space="preserve"> </w:t>
                  </w:r>
                  <w:r>
                    <w:rPr>
                      <w:color w:val="auto"/>
                      <w:spacing w:val="-5"/>
                      <w:sz w:val="21"/>
                      <w:szCs w:val="21"/>
                    </w:rPr>
                    <w:t>16</w:t>
                  </w:r>
                  <w:r>
                    <w:rPr>
                      <w:color w:val="auto"/>
                      <w:spacing w:val="11"/>
                      <w:sz w:val="21"/>
                      <w:szCs w:val="21"/>
                    </w:rPr>
                    <w:t xml:space="preserve"> </w:t>
                  </w:r>
                  <w:r>
                    <w:rPr>
                      <w:rFonts w:ascii="宋体" w:hAnsi="宋体" w:eastAsia="宋体" w:cs="宋体"/>
                      <w:color w:val="auto"/>
                      <w:spacing w:val="-5"/>
                      <w:sz w:val="21"/>
                      <w:szCs w:val="21"/>
                    </w:rPr>
                    <w:t>号</w:t>
                  </w:r>
                </w:p>
              </w:tc>
            </w:tr>
            <w:tr w14:paraId="6E3ED2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1FBD94D8">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6"/>
                      <w:sz w:val="21"/>
                      <w:szCs w:val="21"/>
                    </w:rPr>
                    <w:t>108</w:t>
                  </w:r>
                </w:p>
              </w:tc>
              <w:tc>
                <w:tcPr>
                  <w:tcW w:w="961" w:type="dxa"/>
                  <w:vAlign w:val="center"/>
                </w:tcPr>
                <w:p w14:paraId="1F64553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乐昌市第二污水处理厂</w:t>
                  </w:r>
                </w:p>
              </w:tc>
              <w:tc>
                <w:tcPr>
                  <w:tcW w:w="600" w:type="dxa"/>
                  <w:vAlign w:val="center"/>
                </w:tcPr>
                <w:p w14:paraId="2CF9FE5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626DB68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污水处理及其再生</w:t>
                  </w:r>
                  <w:r>
                    <w:rPr>
                      <w:rFonts w:ascii="宋体" w:hAnsi="宋体" w:eastAsia="宋体" w:cs="宋体"/>
                      <w:color w:val="auto"/>
                      <w:spacing w:val="-2"/>
                      <w:sz w:val="21"/>
                      <w:szCs w:val="21"/>
                    </w:rPr>
                    <w:t>利用业</w:t>
                  </w:r>
                </w:p>
              </w:tc>
              <w:tc>
                <w:tcPr>
                  <w:tcW w:w="1140" w:type="dxa"/>
                  <w:vAlign w:val="center"/>
                </w:tcPr>
                <w:p w14:paraId="540DF37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56850</w:t>
                  </w:r>
                </w:p>
              </w:tc>
              <w:tc>
                <w:tcPr>
                  <w:tcW w:w="2053" w:type="dxa"/>
                  <w:vAlign w:val="center"/>
                </w:tcPr>
                <w:p w14:paraId="3A53CE0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处理量</w:t>
                  </w:r>
                  <w:r>
                    <w:rPr>
                      <w:rFonts w:ascii="宋体" w:hAnsi="宋体" w:eastAsia="宋体" w:cs="宋体"/>
                      <w:color w:val="auto"/>
                      <w:spacing w:val="-34"/>
                      <w:sz w:val="21"/>
                      <w:szCs w:val="21"/>
                    </w:rPr>
                    <w:t xml:space="preserve"> </w:t>
                  </w:r>
                  <w:r>
                    <w:rPr>
                      <w:color w:val="auto"/>
                      <w:spacing w:val="-2"/>
                      <w:sz w:val="21"/>
                      <w:szCs w:val="21"/>
                    </w:rPr>
                    <w:t xml:space="preserve">30000 </w:t>
                  </w:r>
                  <w:r>
                    <w:rPr>
                      <w:rFonts w:ascii="宋体" w:hAnsi="宋体" w:eastAsia="宋体" w:cs="宋体"/>
                      <w:color w:val="auto"/>
                      <w:spacing w:val="-2"/>
                      <w:sz w:val="21"/>
                      <w:szCs w:val="21"/>
                    </w:rPr>
                    <w:t>立方米</w:t>
                  </w:r>
                  <w:r>
                    <w:rPr>
                      <w:color w:val="auto"/>
                      <w:spacing w:val="-2"/>
                      <w:sz w:val="21"/>
                      <w:szCs w:val="21"/>
                    </w:rPr>
                    <w:t>/</w:t>
                  </w:r>
                  <w:r>
                    <w:rPr>
                      <w:rFonts w:ascii="宋体" w:hAnsi="宋体" w:eastAsia="宋体" w:cs="宋体"/>
                      <w:color w:val="auto"/>
                      <w:spacing w:val="-2"/>
                      <w:sz w:val="21"/>
                      <w:szCs w:val="21"/>
                    </w:rPr>
                    <w:t>天</w:t>
                  </w:r>
                </w:p>
              </w:tc>
              <w:tc>
                <w:tcPr>
                  <w:tcW w:w="1878" w:type="dxa"/>
                  <w:vAlign w:val="center"/>
                </w:tcPr>
                <w:p w14:paraId="03DB93D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2021</w:t>
                  </w:r>
                  <w:r>
                    <w:rPr>
                      <w:rFonts w:ascii="宋体" w:hAnsi="宋体" w:eastAsia="宋体" w:cs="宋体"/>
                      <w:color w:val="auto"/>
                      <w:spacing w:val="-1"/>
                      <w:sz w:val="21"/>
                      <w:szCs w:val="21"/>
                    </w:rPr>
                    <w:t>〕</w:t>
                  </w:r>
                  <w:r>
                    <w:rPr>
                      <w:color w:val="auto"/>
                      <w:spacing w:val="-1"/>
                      <w:sz w:val="21"/>
                      <w:szCs w:val="21"/>
                    </w:rPr>
                    <w:t>07</w:t>
                  </w:r>
                  <w:r>
                    <w:rPr>
                      <w:color w:val="auto"/>
                      <w:spacing w:val="18"/>
                      <w:sz w:val="21"/>
                      <w:szCs w:val="21"/>
                    </w:rPr>
                    <w:t xml:space="preserve"> </w:t>
                  </w:r>
                  <w:r>
                    <w:rPr>
                      <w:rFonts w:ascii="宋体" w:hAnsi="宋体" w:eastAsia="宋体" w:cs="宋体"/>
                      <w:color w:val="auto"/>
                      <w:spacing w:val="-1"/>
                      <w:sz w:val="21"/>
                      <w:szCs w:val="21"/>
                    </w:rPr>
                    <w:t>号</w:t>
                  </w:r>
                </w:p>
              </w:tc>
            </w:tr>
            <w:tr w14:paraId="4D2323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5411FC52">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6"/>
                      <w:sz w:val="21"/>
                      <w:szCs w:val="21"/>
                    </w:rPr>
                    <w:t>109</w:t>
                  </w:r>
                </w:p>
              </w:tc>
              <w:tc>
                <w:tcPr>
                  <w:tcW w:w="961" w:type="dxa"/>
                  <w:vAlign w:val="center"/>
                </w:tcPr>
                <w:p w14:paraId="043F57E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乐昌市芬乐制衣有限公司</w:t>
                  </w:r>
                </w:p>
              </w:tc>
              <w:tc>
                <w:tcPr>
                  <w:tcW w:w="600" w:type="dxa"/>
                  <w:vAlign w:val="center"/>
                </w:tcPr>
                <w:p w14:paraId="75BAA01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1218CFE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纺织业</w:t>
                  </w:r>
                </w:p>
              </w:tc>
              <w:tc>
                <w:tcPr>
                  <w:tcW w:w="1140" w:type="dxa"/>
                  <w:vAlign w:val="center"/>
                </w:tcPr>
                <w:p w14:paraId="144FE675">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40000</w:t>
                  </w:r>
                </w:p>
              </w:tc>
              <w:tc>
                <w:tcPr>
                  <w:tcW w:w="2053" w:type="dxa"/>
                  <w:vAlign w:val="center"/>
                </w:tcPr>
                <w:p w14:paraId="6DAAD64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服装、内衣裤、卫生用品类（纸内裤）、纺织品、第二类医疗</w:t>
                  </w:r>
                </w:p>
                <w:p w14:paraId="1BB1D0A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6"/>
                      <w:sz w:val="21"/>
                      <w:szCs w:val="21"/>
                    </w:rPr>
                    <w:t>器械（医用口罩、防护服）、日用罩（非医用）</w:t>
                  </w:r>
                </w:p>
              </w:tc>
              <w:tc>
                <w:tcPr>
                  <w:tcW w:w="1878" w:type="dxa"/>
                  <w:vAlign w:val="center"/>
                </w:tcPr>
                <w:p w14:paraId="16104428">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z w:val="21"/>
                      <w:szCs w:val="21"/>
                    </w:rPr>
                  </w:pPr>
                  <w:r>
                    <w:rPr>
                      <w:color w:val="auto"/>
                      <w:spacing w:val="-1"/>
                      <w:sz w:val="21"/>
                      <w:szCs w:val="21"/>
                    </w:rPr>
                    <w:t>202044028100000158</w:t>
                  </w:r>
                </w:p>
              </w:tc>
            </w:tr>
            <w:tr w14:paraId="761CDC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311" w:type="dxa"/>
                  <w:vAlign w:val="center"/>
                </w:tcPr>
                <w:p w14:paraId="787CA08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0"/>
                      <w:sz w:val="21"/>
                      <w:szCs w:val="21"/>
                    </w:rPr>
                    <w:t>110</w:t>
                  </w:r>
                </w:p>
              </w:tc>
              <w:tc>
                <w:tcPr>
                  <w:tcW w:w="961" w:type="dxa"/>
                  <w:vAlign w:val="center"/>
                </w:tcPr>
                <w:p w14:paraId="170E1E33">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乐昌市瑞昊机械厂</w:t>
                  </w:r>
                </w:p>
              </w:tc>
              <w:tc>
                <w:tcPr>
                  <w:tcW w:w="600" w:type="dxa"/>
                  <w:vAlign w:val="center"/>
                </w:tcPr>
                <w:p w14:paraId="2D68676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0FA60F7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6B74C17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2"/>
                      <w:sz w:val="21"/>
                      <w:szCs w:val="21"/>
                    </w:rPr>
                    <w:t>600</w:t>
                  </w:r>
                </w:p>
              </w:tc>
              <w:tc>
                <w:tcPr>
                  <w:tcW w:w="2053" w:type="dxa"/>
                  <w:vAlign w:val="center"/>
                </w:tcPr>
                <w:p w14:paraId="7D61E40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年加工金属机械零部件</w:t>
                  </w:r>
                  <w:r>
                    <w:rPr>
                      <w:rFonts w:ascii="宋体" w:hAnsi="宋体" w:eastAsia="宋体" w:cs="宋体"/>
                      <w:color w:val="auto"/>
                      <w:spacing w:val="-35"/>
                      <w:sz w:val="21"/>
                      <w:szCs w:val="21"/>
                    </w:rPr>
                    <w:t xml:space="preserve"> </w:t>
                  </w:r>
                  <w:r>
                    <w:rPr>
                      <w:color w:val="auto"/>
                      <w:spacing w:val="-2"/>
                      <w:sz w:val="21"/>
                      <w:szCs w:val="21"/>
                    </w:rPr>
                    <w:t>360</w:t>
                  </w:r>
                  <w:r>
                    <w:rPr>
                      <w:color w:val="auto"/>
                      <w:spacing w:val="18"/>
                      <w:w w:val="101"/>
                      <w:sz w:val="21"/>
                      <w:szCs w:val="21"/>
                    </w:rPr>
                    <w:t xml:space="preserve"> </w:t>
                  </w:r>
                  <w:r>
                    <w:rPr>
                      <w:rFonts w:ascii="宋体" w:hAnsi="宋体" w:eastAsia="宋体" w:cs="宋体"/>
                      <w:color w:val="auto"/>
                      <w:spacing w:val="-2"/>
                      <w:sz w:val="21"/>
                      <w:szCs w:val="21"/>
                    </w:rPr>
                    <w:t>吨</w:t>
                  </w:r>
                </w:p>
              </w:tc>
              <w:tc>
                <w:tcPr>
                  <w:tcW w:w="1878" w:type="dxa"/>
                  <w:vAlign w:val="center"/>
                </w:tcPr>
                <w:p w14:paraId="55CDC54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z w:val="21"/>
                      <w:szCs w:val="21"/>
                    </w:rPr>
                  </w:pPr>
                  <w:r>
                    <w:rPr>
                      <w:color w:val="auto"/>
                      <w:spacing w:val="-1"/>
                      <w:sz w:val="21"/>
                      <w:szCs w:val="21"/>
                    </w:rPr>
                    <w:t>201744028100000317</w:t>
                  </w:r>
                </w:p>
              </w:tc>
            </w:tr>
            <w:tr w14:paraId="6F1387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44B1F566">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9"/>
                      <w:sz w:val="21"/>
                      <w:szCs w:val="21"/>
                    </w:rPr>
                    <w:t>111</w:t>
                  </w:r>
                </w:p>
              </w:tc>
              <w:tc>
                <w:tcPr>
                  <w:tcW w:w="961" w:type="dxa"/>
                  <w:vAlign w:val="center"/>
                </w:tcPr>
                <w:p w14:paraId="61525D4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广东创睿极光光电有限公司</w:t>
                  </w:r>
                </w:p>
              </w:tc>
              <w:tc>
                <w:tcPr>
                  <w:tcW w:w="600" w:type="dxa"/>
                  <w:vAlign w:val="center"/>
                </w:tcPr>
                <w:p w14:paraId="43A436D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3CCBF21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计算机、通信和其他电子设备制造业</w:t>
                  </w:r>
                </w:p>
              </w:tc>
              <w:tc>
                <w:tcPr>
                  <w:tcW w:w="1140" w:type="dxa"/>
                  <w:vAlign w:val="center"/>
                </w:tcPr>
                <w:p w14:paraId="4A02D68D">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5"/>
                      <w:sz w:val="21"/>
                      <w:szCs w:val="21"/>
                    </w:rPr>
                    <w:t>1735</w:t>
                  </w:r>
                </w:p>
              </w:tc>
              <w:tc>
                <w:tcPr>
                  <w:tcW w:w="2053" w:type="dxa"/>
                  <w:vAlign w:val="center"/>
                </w:tcPr>
                <w:p w14:paraId="3D24C72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年产约</w:t>
                  </w:r>
                  <w:r>
                    <w:rPr>
                      <w:rFonts w:ascii="宋体" w:hAnsi="宋体" w:eastAsia="宋体" w:cs="宋体"/>
                      <w:color w:val="auto"/>
                      <w:spacing w:val="-44"/>
                      <w:sz w:val="21"/>
                      <w:szCs w:val="21"/>
                    </w:rPr>
                    <w:t xml:space="preserve"> </w:t>
                  </w:r>
                  <w:r>
                    <w:rPr>
                      <w:color w:val="auto"/>
                      <w:spacing w:val="-2"/>
                      <w:sz w:val="21"/>
                      <w:szCs w:val="21"/>
                    </w:rPr>
                    <w:t>2000</w:t>
                  </w:r>
                  <w:r>
                    <w:rPr>
                      <w:color w:val="auto"/>
                      <w:spacing w:val="14"/>
                      <w:sz w:val="21"/>
                      <w:szCs w:val="21"/>
                    </w:rPr>
                    <w:t xml:space="preserve"> </w:t>
                  </w:r>
                  <w:r>
                    <w:rPr>
                      <w:rFonts w:ascii="宋体" w:hAnsi="宋体" w:eastAsia="宋体" w:cs="宋体"/>
                      <w:color w:val="auto"/>
                      <w:spacing w:val="-2"/>
                      <w:sz w:val="21"/>
                      <w:szCs w:val="21"/>
                    </w:rPr>
                    <w:t>万条</w:t>
                  </w:r>
                  <w:r>
                    <w:rPr>
                      <w:rFonts w:ascii="宋体" w:hAnsi="宋体" w:eastAsia="宋体" w:cs="宋体"/>
                      <w:color w:val="auto"/>
                      <w:spacing w:val="-48"/>
                      <w:sz w:val="21"/>
                      <w:szCs w:val="21"/>
                    </w:rPr>
                    <w:t xml:space="preserve"> </w:t>
                  </w:r>
                  <w:r>
                    <w:rPr>
                      <w:color w:val="auto"/>
                      <w:spacing w:val="-2"/>
                      <w:sz w:val="21"/>
                      <w:szCs w:val="21"/>
                    </w:rPr>
                    <w:t xml:space="preserve">LED </w:t>
                  </w:r>
                  <w:r>
                    <w:rPr>
                      <w:rFonts w:ascii="宋体" w:hAnsi="宋体" w:eastAsia="宋体" w:cs="宋体"/>
                      <w:color w:val="auto"/>
                      <w:spacing w:val="-2"/>
                      <w:sz w:val="21"/>
                      <w:szCs w:val="21"/>
                    </w:rPr>
                    <w:t>灯条</w:t>
                  </w:r>
                </w:p>
              </w:tc>
              <w:tc>
                <w:tcPr>
                  <w:tcW w:w="1878" w:type="dxa"/>
                  <w:vAlign w:val="center"/>
                </w:tcPr>
                <w:p w14:paraId="485F5278">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z w:val="21"/>
                      <w:szCs w:val="21"/>
                    </w:rPr>
                  </w:pPr>
                  <w:r>
                    <w:rPr>
                      <w:color w:val="auto"/>
                      <w:spacing w:val="-1"/>
                      <w:sz w:val="21"/>
                      <w:szCs w:val="21"/>
                    </w:rPr>
                    <w:t>201944028100000140</w:t>
                  </w:r>
                </w:p>
              </w:tc>
            </w:tr>
            <w:tr w14:paraId="0EFB72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 w:hRule="atLeast"/>
                <w:jc w:val="center"/>
              </w:trPr>
              <w:tc>
                <w:tcPr>
                  <w:tcW w:w="311" w:type="dxa"/>
                  <w:vAlign w:val="center"/>
                </w:tcPr>
                <w:p w14:paraId="6097FE0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Arial"/>
                      <w:color w:val="auto"/>
                      <w:sz w:val="21"/>
                      <w:szCs w:val="21"/>
                    </w:rPr>
                  </w:pPr>
                </w:p>
                <w:p w14:paraId="1F0D417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0"/>
                      <w:sz w:val="21"/>
                      <w:szCs w:val="21"/>
                    </w:rPr>
                    <w:t>112</w:t>
                  </w:r>
                </w:p>
              </w:tc>
              <w:tc>
                <w:tcPr>
                  <w:tcW w:w="961" w:type="dxa"/>
                  <w:vAlign w:val="center"/>
                </w:tcPr>
                <w:p w14:paraId="5D1D72E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昇翰科技（广东）有限公司</w:t>
                  </w:r>
                </w:p>
              </w:tc>
              <w:tc>
                <w:tcPr>
                  <w:tcW w:w="600" w:type="dxa"/>
                  <w:vAlign w:val="center"/>
                </w:tcPr>
                <w:p w14:paraId="09E3A6C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8"/>
                      <w:sz w:val="21"/>
                      <w:szCs w:val="21"/>
                    </w:rPr>
                    <w:t>已建</w:t>
                  </w:r>
                </w:p>
              </w:tc>
              <w:tc>
                <w:tcPr>
                  <w:tcW w:w="915" w:type="dxa"/>
                  <w:vAlign w:val="center"/>
                </w:tcPr>
                <w:p w14:paraId="6BAA164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7F2F943C">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5"/>
                      <w:sz w:val="21"/>
                      <w:szCs w:val="21"/>
                    </w:rPr>
                    <w:t>1700</w:t>
                  </w:r>
                </w:p>
              </w:tc>
              <w:tc>
                <w:tcPr>
                  <w:tcW w:w="2053" w:type="dxa"/>
                  <w:vAlign w:val="center"/>
                </w:tcPr>
                <w:p w14:paraId="7E39EAF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生产加工滚珠螺母、滚珠丝杆、梯形螺母、梯形</w:t>
                  </w:r>
                  <w:r>
                    <w:rPr>
                      <w:rFonts w:ascii="宋体" w:hAnsi="宋体" w:eastAsia="宋体" w:cs="宋体"/>
                      <w:color w:val="auto"/>
                      <w:spacing w:val="-1"/>
                      <w:sz w:val="21"/>
                      <w:szCs w:val="21"/>
                    </w:rPr>
                    <w:t>丝杆、传动</w:t>
                  </w:r>
                </w:p>
                <w:p w14:paraId="7B0387A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z w:val="21"/>
                      <w:szCs w:val="21"/>
                    </w:rPr>
                    <w:t>元件、直线导轨、直线滑块、自动化机械设备、</w:t>
                  </w:r>
                  <w:r>
                    <w:rPr>
                      <w:rFonts w:ascii="宋体" w:hAnsi="宋体" w:eastAsia="宋体" w:cs="宋体"/>
                      <w:color w:val="auto"/>
                      <w:spacing w:val="-1"/>
                      <w:sz w:val="21"/>
                      <w:szCs w:val="21"/>
                    </w:rPr>
                    <w:t>电子元件、</w:t>
                  </w:r>
                </w:p>
                <w:p w14:paraId="4A28B52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电子材料、五金材料、自动化软硬件、电子产品。</w:t>
                  </w:r>
                </w:p>
              </w:tc>
              <w:tc>
                <w:tcPr>
                  <w:tcW w:w="1878" w:type="dxa"/>
                  <w:vAlign w:val="center"/>
                </w:tcPr>
                <w:p w14:paraId="1C5C71BE">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z w:val="21"/>
                      <w:szCs w:val="21"/>
                    </w:rPr>
                  </w:pPr>
                  <w:r>
                    <w:rPr>
                      <w:color w:val="auto"/>
                      <w:spacing w:val="-1"/>
                      <w:sz w:val="21"/>
                      <w:szCs w:val="21"/>
                    </w:rPr>
                    <w:t>202044028100000048</w:t>
                  </w:r>
                </w:p>
              </w:tc>
            </w:tr>
            <w:tr w14:paraId="613F3C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311" w:type="dxa"/>
                  <w:vAlign w:val="center"/>
                </w:tcPr>
                <w:p w14:paraId="0E1E232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0"/>
                      <w:sz w:val="21"/>
                      <w:szCs w:val="21"/>
                    </w:rPr>
                    <w:t>113</w:t>
                  </w:r>
                </w:p>
              </w:tc>
              <w:tc>
                <w:tcPr>
                  <w:tcW w:w="961" w:type="dxa"/>
                  <w:vAlign w:val="center"/>
                </w:tcPr>
                <w:p w14:paraId="5F938E9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广东运南新材料有限公司</w:t>
                  </w:r>
                </w:p>
              </w:tc>
              <w:tc>
                <w:tcPr>
                  <w:tcW w:w="600" w:type="dxa"/>
                  <w:vAlign w:val="center"/>
                </w:tcPr>
                <w:p w14:paraId="5A56FB8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在建</w:t>
                  </w:r>
                </w:p>
              </w:tc>
              <w:tc>
                <w:tcPr>
                  <w:tcW w:w="915" w:type="dxa"/>
                  <w:vAlign w:val="center"/>
                </w:tcPr>
                <w:p w14:paraId="0B46B6C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废弃资源综合利用</w:t>
                  </w:r>
                  <w:r>
                    <w:rPr>
                      <w:rFonts w:ascii="宋体" w:hAnsi="宋体" w:eastAsia="宋体" w:cs="宋体"/>
                      <w:color w:val="auto"/>
                      <w:sz w:val="21"/>
                      <w:szCs w:val="21"/>
                    </w:rPr>
                    <w:t>业</w:t>
                  </w:r>
                </w:p>
              </w:tc>
              <w:tc>
                <w:tcPr>
                  <w:tcW w:w="1140" w:type="dxa"/>
                  <w:vAlign w:val="center"/>
                </w:tcPr>
                <w:p w14:paraId="7E5C014F">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37346.12</w:t>
                  </w:r>
                </w:p>
              </w:tc>
              <w:tc>
                <w:tcPr>
                  <w:tcW w:w="2053" w:type="dxa"/>
                  <w:vAlign w:val="center"/>
                </w:tcPr>
                <w:p w14:paraId="32E9368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年产破碎料</w:t>
                  </w:r>
                  <w:r>
                    <w:rPr>
                      <w:rFonts w:ascii="宋体" w:hAnsi="宋体" w:eastAsia="宋体" w:cs="宋体"/>
                      <w:color w:val="auto"/>
                      <w:spacing w:val="-43"/>
                      <w:sz w:val="21"/>
                      <w:szCs w:val="21"/>
                    </w:rPr>
                    <w:t xml:space="preserve"> </w:t>
                  </w:r>
                  <w:r>
                    <w:rPr>
                      <w:color w:val="auto"/>
                      <w:spacing w:val="-1"/>
                      <w:sz w:val="21"/>
                      <w:szCs w:val="21"/>
                    </w:rPr>
                    <w:t xml:space="preserve">7.1 </w:t>
                  </w:r>
                  <w:r>
                    <w:rPr>
                      <w:rFonts w:ascii="宋体" w:hAnsi="宋体" w:eastAsia="宋体" w:cs="宋体"/>
                      <w:color w:val="auto"/>
                      <w:spacing w:val="-1"/>
                      <w:sz w:val="21"/>
                      <w:szCs w:val="21"/>
                    </w:rPr>
                    <w:t>万吨</w:t>
                  </w:r>
                </w:p>
              </w:tc>
              <w:tc>
                <w:tcPr>
                  <w:tcW w:w="1878" w:type="dxa"/>
                  <w:vAlign w:val="center"/>
                </w:tcPr>
                <w:p w14:paraId="77F87B50">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2026</w:t>
                  </w:r>
                  <w:r>
                    <w:rPr>
                      <w:rFonts w:ascii="宋体" w:hAnsi="宋体" w:eastAsia="宋体" w:cs="宋体"/>
                      <w:color w:val="auto"/>
                      <w:spacing w:val="-1"/>
                      <w:sz w:val="21"/>
                      <w:szCs w:val="21"/>
                    </w:rPr>
                    <w:t>〕</w:t>
                  </w:r>
                  <w:r>
                    <w:rPr>
                      <w:color w:val="auto"/>
                      <w:spacing w:val="-1"/>
                      <w:sz w:val="21"/>
                      <w:szCs w:val="21"/>
                    </w:rPr>
                    <w:t>05</w:t>
                  </w:r>
                  <w:r>
                    <w:rPr>
                      <w:color w:val="auto"/>
                      <w:spacing w:val="18"/>
                      <w:sz w:val="21"/>
                      <w:szCs w:val="21"/>
                    </w:rPr>
                    <w:t xml:space="preserve"> </w:t>
                  </w:r>
                  <w:r>
                    <w:rPr>
                      <w:rFonts w:ascii="宋体" w:hAnsi="宋体" w:eastAsia="宋体" w:cs="宋体"/>
                      <w:color w:val="auto"/>
                      <w:spacing w:val="-1"/>
                      <w:sz w:val="21"/>
                      <w:szCs w:val="21"/>
                    </w:rPr>
                    <w:t>号</w:t>
                  </w:r>
                </w:p>
              </w:tc>
            </w:tr>
            <w:tr w14:paraId="4F613A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311" w:type="dxa"/>
                  <w:vAlign w:val="center"/>
                </w:tcPr>
                <w:p w14:paraId="62925573">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0"/>
                      <w:sz w:val="21"/>
                      <w:szCs w:val="21"/>
                    </w:rPr>
                    <w:t>114</w:t>
                  </w:r>
                </w:p>
              </w:tc>
              <w:tc>
                <w:tcPr>
                  <w:tcW w:w="961" w:type="dxa"/>
                  <w:vAlign w:val="center"/>
                </w:tcPr>
                <w:p w14:paraId="20DF946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韶关九为新材料有限公司</w:t>
                  </w:r>
                </w:p>
              </w:tc>
              <w:tc>
                <w:tcPr>
                  <w:tcW w:w="600" w:type="dxa"/>
                  <w:vAlign w:val="center"/>
                </w:tcPr>
                <w:p w14:paraId="37901D4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在建</w:t>
                  </w:r>
                </w:p>
              </w:tc>
              <w:tc>
                <w:tcPr>
                  <w:tcW w:w="915" w:type="dxa"/>
                  <w:vAlign w:val="center"/>
                </w:tcPr>
                <w:p w14:paraId="4A9D2E1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金属制品业</w:t>
                  </w:r>
                </w:p>
              </w:tc>
              <w:tc>
                <w:tcPr>
                  <w:tcW w:w="1140" w:type="dxa"/>
                  <w:vAlign w:val="center"/>
                </w:tcPr>
                <w:p w14:paraId="06FC0FC1">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z w:val="21"/>
                      <w:szCs w:val="21"/>
                    </w:rPr>
                  </w:pPr>
                  <w:r>
                    <w:rPr>
                      <w:color w:val="auto"/>
                      <w:spacing w:val="-1"/>
                      <w:sz w:val="21"/>
                      <w:szCs w:val="21"/>
                    </w:rPr>
                    <w:t>52810.91</w:t>
                  </w:r>
                </w:p>
              </w:tc>
              <w:tc>
                <w:tcPr>
                  <w:tcW w:w="2053" w:type="dxa"/>
                  <w:vAlign w:val="center"/>
                </w:tcPr>
                <w:p w14:paraId="200F976C">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宋体" w:hAnsi="宋体" w:eastAsia="宋体" w:cs="宋体"/>
                      <w:color w:val="auto"/>
                      <w:sz w:val="21"/>
                      <w:szCs w:val="21"/>
                    </w:rPr>
                  </w:pPr>
                  <w:r>
                    <w:rPr>
                      <w:rFonts w:ascii="宋体" w:hAnsi="宋体" w:eastAsia="宋体" w:cs="宋体"/>
                      <w:color w:val="auto"/>
                      <w:spacing w:val="-2"/>
                      <w:sz w:val="21"/>
                      <w:szCs w:val="21"/>
                    </w:rPr>
                    <w:t>年产铝模板</w:t>
                  </w:r>
                  <w:r>
                    <w:rPr>
                      <w:rFonts w:ascii="宋体" w:hAnsi="宋体" w:eastAsia="宋体" w:cs="宋体"/>
                      <w:color w:val="auto"/>
                      <w:spacing w:val="-36"/>
                      <w:sz w:val="21"/>
                      <w:szCs w:val="21"/>
                    </w:rPr>
                    <w:t xml:space="preserve"> </w:t>
                  </w:r>
                  <w:r>
                    <w:rPr>
                      <w:color w:val="auto"/>
                      <w:spacing w:val="-2"/>
                      <w:sz w:val="21"/>
                      <w:szCs w:val="21"/>
                    </w:rPr>
                    <w:t xml:space="preserve">50 </w:t>
                  </w:r>
                  <w:r>
                    <w:rPr>
                      <w:rFonts w:ascii="宋体" w:hAnsi="宋体" w:eastAsia="宋体" w:cs="宋体"/>
                      <w:color w:val="auto"/>
                      <w:spacing w:val="-2"/>
                      <w:sz w:val="21"/>
                      <w:szCs w:val="21"/>
                    </w:rPr>
                    <w:t>万平方米</w:t>
                  </w:r>
                </w:p>
              </w:tc>
              <w:tc>
                <w:tcPr>
                  <w:tcW w:w="1878" w:type="dxa"/>
                  <w:vAlign w:val="center"/>
                </w:tcPr>
                <w:p w14:paraId="31900AD4">
                  <w:pPr>
                    <w:pStyle w:val="12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color w:val="auto"/>
                      <w:sz w:val="21"/>
                      <w:szCs w:val="21"/>
                    </w:rPr>
                  </w:pPr>
                  <w:r>
                    <w:rPr>
                      <w:rFonts w:ascii="宋体" w:hAnsi="宋体" w:eastAsia="宋体" w:cs="宋体"/>
                      <w:color w:val="auto"/>
                      <w:spacing w:val="-1"/>
                      <w:sz w:val="21"/>
                      <w:szCs w:val="21"/>
                    </w:rPr>
                    <w:t>韶环乐审〔</w:t>
                  </w:r>
                  <w:r>
                    <w:rPr>
                      <w:color w:val="auto"/>
                      <w:spacing w:val="-1"/>
                      <w:sz w:val="21"/>
                      <w:szCs w:val="21"/>
                    </w:rPr>
                    <w:t>2025</w:t>
                  </w:r>
                  <w:r>
                    <w:rPr>
                      <w:rFonts w:ascii="宋体" w:hAnsi="宋体" w:eastAsia="宋体" w:cs="宋体"/>
                      <w:color w:val="auto"/>
                      <w:spacing w:val="-1"/>
                      <w:sz w:val="21"/>
                      <w:szCs w:val="21"/>
                    </w:rPr>
                    <w:t>〕</w:t>
                  </w:r>
                  <w:r>
                    <w:rPr>
                      <w:color w:val="auto"/>
                      <w:spacing w:val="-1"/>
                      <w:sz w:val="21"/>
                      <w:szCs w:val="21"/>
                    </w:rPr>
                    <w:t>26</w:t>
                  </w:r>
                  <w:r>
                    <w:rPr>
                      <w:color w:val="auto"/>
                      <w:spacing w:val="18"/>
                      <w:sz w:val="21"/>
                      <w:szCs w:val="21"/>
                    </w:rPr>
                    <w:t xml:space="preserve"> </w:t>
                  </w:r>
                  <w:r>
                    <w:rPr>
                      <w:rFonts w:ascii="宋体" w:hAnsi="宋体" w:eastAsia="宋体" w:cs="宋体"/>
                      <w:color w:val="auto"/>
                      <w:spacing w:val="-1"/>
                      <w:sz w:val="21"/>
                      <w:szCs w:val="21"/>
                    </w:rPr>
                    <w:t>号</w:t>
                  </w:r>
                </w:p>
              </w:tc>
            </w:tr>
          </w:tbl>
          <w:p w14:paraId="7D129E08">
            <w:pPr>
              <w:adjustRightInd w:val="0"/>
              <w:snapToGrid w:val="0"/>
              <w:ind w:firstLine="480" w:firstLineChars="200"/>
              <w:jc w:val="both"/>
              <w:rPr>
                <w:rFonts w:hint="default" w:ascii="Times New Roman" w:hAnsi="Times New Roman" w:cs="Times New Roman"/>
                <w:color w:val="auto"/>
                <w:sz w:val="24"/>
                <w:szCs w:val="24"/>
              </w:rPr>
            </w:pPr>
          </w:p>
          <w:p w14:paraId="763E1154">
            <w:pPr>
              <w:adjustRightInd w:val="0"/>
              <w:snapToGrid w:val="0"/>
              <w:spacing w:before="120" w:beforeLines="50" w:line="360" w:lineRule="auto"/>
              <w:ind w:firstLine="480" w:firstLineChars="200"/>
              <w:rPr>
                <w:b/>
                <w:color w:val="auto"/>
                <w:sz w:val="24"/>
                <w:szCs w:val="20"/>
              </w:rPr>
            </w:pPr>
            <w:r>
              <w:rPr>
                <w:b/>
                <w:color w:val="auto"/>
                <w:sz w:val="24"/>
                <w:szCs w:val="20"/>
              </w:rPr>
              <w:t>3.主要环境问题</w:t>
            </w:r>
          </w:p>
          <w:p w14:paraId="3FAC2D87">
            <w:pPr>
              <w:adjustRightInd/>
              <w:snapToGrid/>
              <w:ind w:firstLine="0" w:firstLineChars="0"/>
              <w:jc w:val="left"/>
              <w:rPr>
                <w:rFonts w:hint="eastAsia"/>
                <w:color w:val="auto"/>
                <w:sz w:val="24"/>
              </w:rPr>
            </w:pPr>
            <w:r>
              <w:rPr>
                <w:rFonts w:hint="eastAsia"/>
                <w:color w:val="auto"/>
                <w:sz w:val="24"/>
              </w:rPr>
              <w:t>本项目周边企业分布详见附图</w:t>
            </w:r>
            <w:r>
              <w:rPr>
                <w:rFonts w:hint="eastAsia"/>
                <w:color w:val="auto"/>
                <w:sz w:val="24"/>
                <w:lang w:val="en-US" w:eastAsia="zh-CN"/>
              </w:rPr>
              <w:t>2</w:t>
            </w:r>
            <w:r>
              <w:rPr>
                <w:rFonts w:hint="eastAsia"/>
                <w:color w:val="auto"/>
                <w:sz w:val="24"/>
              </w:rPr>
              <w:t>，项目</w:t>
            </w:r>
            <w:r>
              <w:rPr>
                <w:rFonts w:hint="default" w:ascii="Times New Roman" w:hAnsi="Times New Roman" w:cs="Times New Roman"/>
                <w:bCs/>
                <w:color w:val="auto"/>
                <w:highlight w:val="none"/>
                <w:lang w:val="en-US" w:eastAsia="zh-CN"/>
              </w:rPr>
              <w:t>南面</w:t>
            </w:r>
            <w:r>
              <w:rPr>
                <w:rFonts w:hint="eastAsia" w:cs="Times New Roman"/>
                <w:bCs/>
                <w:color w:val="auto"/>
                <w:highlight w:val="none"/>
                <w:lang w:eastAsia="zh-CN"/>
              </w:rPr>
              <w:t>、</w:t>
            </w:r>
            <w:r>
              <w:rPr>
                <w:rFonts w:hint="default" w:ascii="Times New Roman" w:hAnsi="Times New Roman" w:cs="Times New Roman"/>
                <w:bCs/>
                <w:color w:val="auto"/>
                <w:highlight w:val="none"/>
                <w:lang w:val="en-US" w:eastAsia="zh-CN"/>
              </w:rPr>
              <w:t>北面</w:t>
            </w:r>
            <w:r>
              <w:rPr>
                <w:rFonts w:hint="eastAsia" w:cs="Times New Roman"/>
                <w:bCs/>
                <w:color w:val="auto"/>
                <w:highlight w:val="none"/>
                <w:lang w:val="en-US" w:eastAsia="zh-CN"/>
              </w:rPr>
              <w:t>、</w:t>
            </w:r>
            <w:r>
              <w:rPr>
                <w:rFonts w:hint="default" w:ascii="Times New Roman" w:hAnsi="Times New Roman" w:cs="Times New Roman"/>
                <w:bCs/>
                <w:color w:val="auto"/>
                <w:highlight w:val="none"/>
                <w:lang w:val="en-US" w:eastAsia="zh-CN"/>
              </w:rPr>
              <w:t>西面</w:t>
            </w:r>
            <w:r>
              <w:rPr>
                <w:rFonts w:hint="eastAsia" w:cs="Times New Roman"/>
                <w:bCs/>
                <w:color w:val="auto"/>
                <w:highlight w:val="none"/>
                <w:lang w:val="en-US" w:eastAsia="zh-CN"/>
              </w:rPr>
              <w:t>、</w:t>
            </w:r>
            <w:r>
              <w:rPr>
                <w:rFonts w:hint="default" w:ascii="Times New Roman" w:hAnsi="Times New Roman" w:cs="Times New Roman"/>
                <w:bCs/>
                <w:color w:val="auto"/>
                <w:highlight w:val="none"/>
                <w:lang w:val="en-US" w:eastAsia="zh-CN"/>
              </w:rPr>
              <w:t>东面</w:t>
            </w:r>
            <w:r>
              <w:rPr>
                <w:rFonts w:hint="eastAsia" w:cs="Times New Roman"/>
                <w:bCs/>
                <w:color w:val="auto"/>
                <w:highlight w:val="none"/>
                <w:lang w:val="en-US" w:eastAsia="zh-CN"/>
              </w:rPr>
              <w:t>均为空厂房</w:t>
            </w:r>
            <w:r>
              <w:rPr>
                <w:rFonts w:hint="eastAsia"/>
                <w:color w:val="auto"/>
                <w:sz w:val="24"/>
              </w:rPr>
              <w:t>。从区域环境质量现状来看，项目所在区域各环境要素均能符合环境质量标准要求，环境质量良好，无突出环境问题。</w:t>
            </w:r>
          </w:p>
          <w:p w14:paraId="25D0BBEE">
            <w:pPr>
              <w:adjustRightInd w:val="0"/>
              <w:snapToGrid w:val="0"/>
              <w:ind w:firstLine="0" w:firstLineChars="0"/>
              <w:jc w:val="both"/>
              <w:rPr>
                <w:rFonts w:hint="default"/>
                <w:color w:val="auto"/>
                <w:sz w:val="24"/>
              </w:rPr>
            </w:pPr>
          </w:p>
        </w:tc>
      </w:tr>
      <w:bookmarkEnd w:id="0"/>
      <w:bookmarkEnd w:id="1"/>
    </w:tbl>
    <w:p w14:paraId="4FA22B1B">
      <w:pPr>
        <w:pStyle w:val="7"/>
        <w:numPr>
          <w:ilvl w:val="0"/>
          <w:numId w:val="0"/>
        </w:numPr>
        <w:tabs>
          <w:tab w:val="left" w:pos="4800"/>
        </w:tabs>
        <w:rPr>
          <w:rFonts w:hint="default" w:ascii="Times New Roman" w:hAnsi="Times New Roman" w:cs="Times New Roman"/>
          <w:color w:val="auto"/>
          <w:highlight w:val="none"/>
        </w:rPr>
      </w:pPr>
      <w:bookmarkStart w:id="34" w:name="_Toc17401"/>
      <w:bookmarkStart w:id="35" w:name="_Toc19392"/>
      <w:bookmarkStart w:id="36" w:name="_Toc29511"/>
      <w:r>
        <w:rPr>
          <w:rFonts w:hint="default" w:ascii="Times New Roman" w:hAnsi="Times New Roman" w:cs="Times New Roman"/>
          <w:color w:val="auto"/>
          <w:highlight w:val="none"/>
        </w:rPr>
        <w:t>三、区域环境质量现状、环境保护目标及评价标准</w:t>
      </w:r>
      <w:bookmarkEnd w:id="34"/>
      <w:bookmarkEnd w:id="35"/>
      <w:bookmarkEnd w:id="36"/>
    </w:p>
    <w:tbl>
      <w:tblPr>
        <w:tblStyle w:val="4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4"/>
        <w:gridCol w:w="8144"/>
      </w:tblGrid>
      <w:tr w14:paraId="7B0F3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267" w:type="pct"/>
            <w:vAlign w:val="center"/>
          </w:tcPr>
          <w:p w14:paraId="51D6B4A3">
            <w:pPr>
              <w:keepNext/>
              <w:keepLines w:val="0"/>
              <w:pageBreakBefore w:val="0"/>
              <w:widowControl/>
              <w:numPr>
                <w:ilvl w:val="1"/>
                <w:numId w:val="0"/>
              </w:numPr>
              <w:tabs>
                <w:tab w:val="left" w:pos="420"/>
              </w:tabs>
              <w:kinsoku/>
              <w:wordWrap/>
              <w:overflowPunct/>
              <w:topLinePunct w:val="0"/>
              <w:autoSpaceDE/>
              <w:autoSpaceDN/>
              <w:bidi w:val="0"/>
              <w:adjustRightInd/>
              <w:snapToGrid/>
              <w:textAlignment w:val="auto"/>
              <w:outlineLvl w:val="9"/>
              <w:rPr>
                <w:rFonts w:hint="default" w:ascii="Times New Roman" w:hAnsi="Times New Roman" w:cs="Times New Roman"/>
                <w:color w:val="auto"/>
                <w:highlight w:val="none"/>
              </w:rPr>
            </w:pPr>
            <w:bookmarkStart w:id="37" w:name="_Toc14318"/>
            <w:bookmarkStart w:id="38" w:name="_Toc11366"/>
            <w:bookmarkStart w:id="39" w:name="_Toc24283"/>
            <w:bookmarkStart w:id="40" w:name="_Toc21960"/>
            <w:bookmarkStart w:id="41" w:name="_Toc21642"/>
            <w:r>
              <w:rPr>
                <w:rFonts w:hint="default" w:ascii="Times New Roman" w:hAnsi="Times New Roman" w:cs="Times New Roman"/>
                <w:color w:val="auto"/>
                <w:highlight w:val="none"/>
              </w:rPr>
              <w:t>区域环境质量现状</w:t>
            </w:r>
            <w:bookmarkEnd w:id="37"/>
            <w:bookmarkEnd w:id="38"/>
            <w:bookmarkEnd w:id="39"/>
            <w:bookmarkEnd w:id="40"/>
            <w:bookmarkEnd w:id="41"/>
          </w:p>
        </w:tc>
        <w:tc>
          <w:tcPr>
            <w:tcW w:w="4732" w:type="pct"/>
          </w:tcPr>
          <w:p w14:paraId="1AD91608">
            <w:pPr>
              <w:pStyle w:val="9"/>
              <w:numPr>
                <w:ilvl w:val="2"/>
                <w:numId w:val="0"/>
              </w:numPr>
              <w:ind w:left="-2" w:firstLine="482"/>
              <w:rPr>
                <w:rFonts w:hint="default" w:ascii="Times New Roman" w:hAnsi="Times New Roman" w:cs="Times New Roman"/>
                <w:color w:val="auto"/>
                <w:highlight w:val="none"/>
              </w:rPr>
            </w:pPr>
            <w:r>
              <w:rPr>
                <w:rFonts w:hint="default" w:ascii="Times New Roman" w:hAnsi="Times New Roman" w:cs="Times New Roman"/>
                <w:color w:val="auto"/>
                <w:highlight w:val="none"/>
              </w:rPr>
              <w:t>一、环境空气质量现状</w:t>
            </w:r>
          </w:p>
          <w:p w14:paraId="5E520B03">
            <w:pPr>
              <w:pStyle w:val="2"/>
              <w:ind w:firstLine="480" w:firstLineChars="200"/>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（1）项目所在区域达标判定</w:t>
            </w:r>
          </w:p>
          <w:p w14:paraId="0163CBA9">
            <w:pPr>
              <w:pStyle w:val="2"/>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根据《韶关市生态环境保护战略规划（2020-2035）》，本项目选址周围空气环境质量功能区划为二类功能区，因此项目所在区域环境空气质量执行</w:t>
            </w:r>
            <w:r>
              <w:rPr>
                <w:rFonts w:hint="eastAsia" w:ascii="Times New Roman" w:cs="Times New Roman"/>
                <w:color w:val="auto"/>
                <w:highlight w:val="none"/>
                <w:lang w:eastAsia="zh-CN"/>
              </w:rPr>
              <w:t>《环境空气质</w:t>
            </w:r>
            <w:r>
              <w:rPr>
                <w:rFonts w:hint="eastAsia" w:ascii="Times New Roman" w:cs="Times New Roman"/>
                <w:color w:val="auto"/>
                <w:highlight w:val="none"/>
                <w:lang w:val="en-US" w:eastAsia="zh-CN"/>
              </w:rPr>
              <w:t>量</w:t>
            </w:r>
            <w:r>
              <w:rPr>
                <w:rFonts w:hint="eastAsia" w:ascii="Times New Roman" w:cs="Times New Roman"/>
                <w:color w:val="auto"/>
                <w:highlight w:val="none"/>
                <w:lang w:eastAsia="zh-CN"/>
              </w:rPr>
              <w:t>标准》(GB3095-2026)中表1环境空气污染物基本项目浓度限值过渡阶段的二级标准</w:t>
            </w:r>
            <w:r>
              <w:rPr>
                <w:rFonts w:hint="default" w:ascii="Times New Roman" w:hAnsi="Times New Roman" w:cs="Times New Roman"/>
                <w:color w:val="auto"/>
                <w:highlight w:val="none"/>
              </w:rPr>
              <w:t>。</w:t>
            </w:r>
          </w:p>
          <w:p w14:paraId="26DAF8F5">
            <w:pPr>
              <w:pStyle w:val="2"/>
              <w:ind w:firstLine="480" w:firstLineChars="20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根据《2024年韶关市生态环境状况公报》</w:t>
            </w:r>
            <w:r>
              <w:rPr>
                <w:rFonts w:hint="eastAsia" w:ascii="Times New Roman" w:cs="Times New Roman"/>
                <w:color w:val="auto"/>
                <w:highlight w:val="none"/>
                <w:lang w:eastAsia="zh-CN"/>
              </w:rPr>
              <w:t>，</w:t>
            </w:r>
            <w:r>
              <w:rPr>
                <w:rFonts w:hint="eastAsia" w:ascii="Times New Roman" w:cs="Times New Roman"/>
                <w:color w:val="auto"/>
                <w:highlight w:val="none"/>
                <w:lang w:val="en-US" w:eastAsia="zh-CN"/>
              </w:rPr>
              <w:t>项目所在区域空气质量数据详见下表。</w:t>
            </w:r>
          </w:p>
          <w:p w14:paraId="4FAC121F">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表3-1 区域空气质量现状评价表</w:t>
            </w:r>
          </w:p>
          <w:tbl>
            <w:tblPr>
              <w:tblStyle w:val="44"/>
              <w:tblW w:w="4998" w:type="pct"/>
              <w:tblInd w:w="-5" w:type="dxa"/>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autofit"/>
              <w:tblCellMar>
                <w:top w:w="0" w:type="dxa"/>
                <w:left w:w="0" w:type="dxa"/>
                <w:bottom w:w="0" w:type="dxa"/>
                <w:right w:w="0" w:type="dxa"/>
              </w:tblCellMar>
            </w:tblPr>
            <w:tblGrid>
              <w:gridCol w:w="988"/>
              <w:gridCol w:w="2502"/>
              <w:gridCol w:w="1056"/>
              <w:gridCol w:w="1067"/>
              <w:gridCol w:w="1273"/>
              <w:gridCol w:w="1029"/>
            </w:tblGrid>
            <w:tr w14:paraId="18EEC27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24" w:type="pct"/>
                  <w:vAlign w:val="center"/>
                </w:tcPr>
                <w:p w14:paraId="777A2497">
                  <w:pPr>
                    <w:keepNext w:val="0"/>
                    <w:keepLines w:val="0"/>
                    <w:pageBreakBefore w:val="0"/>
                    <w:kinsoku/>
                    <w:wordWrap/>
                    <w:overflowPunct/>
                    <w:topLinePunct w:val="0"/>
                    <w:autoSpaceDE w:val="0"/>
                    <w:autoSpaceDN w:val="0"/>
                    <w:bidi w:val="0"/>
                    <w:adjustRightInd w:val="0"/>
                    <w:spacing w:line="240" w:lineRule="auto"/>
                    <w:jc w:val="center"/>
                    <w:rPr>
                      <w:rFonts w:hint="default" w:ascii="Times New Roman" w:hAnsi="Times New Roman" w:cs="Times New Roman"/>
                      <w:b/>
                      <w:bCs/>
                      <w:color w:val="auto"/>
                      <w:kern w:val="0"/>
                      <w:position w:val="-3"/>
                      <w:sz w:val="21"/>
                      <w:szCs w:val="21"/>
                      <w:highlight w:val="none"/>
                    </w:rPr>
                  </w:pPr>
                  <w:r>
                    <w:rPr>
                      <w:rFonts w:hint="default" w:ascii="Times New Roman" w:hAnsi="Times New Roman" w:cs="Times New Roman"/>
                      <w:b/>
                      <w:bCs/>
                      <w:color w:val="auto"/>
                      <w:kern w:val="0"/>
                      <w:position w:val="-3"/>
                      <w:sz w:val="21"/>
                      <w:szCs w:val="21"/>
                      <w:highlight w:val="none"/>
                    </w:rPr>
                    <w:t>污染物</w:t>
                  </w:r>
                </w:p>
              </w:tc>
              <w:tc>
                <w:tcPr>
                  <w:tcW w:w="1580" w:type="pct"/>
                  <w:vAlign w:val="center"/>
                </w:tcPr>
                <w:p w14:paraId="3E8E6F2C">
                  <w:pPr>
                    <w:keepNext w:val="0"/>
                    <w:keepLines w:val="0"/>
                    <w:pageBreakBefore w:val="0"/>
                    <w:kinsoku/>
                    <w:wordWrap/>
                    <w:overflowPunct/>
                    <w:topLinePunct w:val="0"/>
                    <w:autoSpaceDE w:val="0"/>
                    <w:autoSpaceDN w:val="0"/>
                    <w:bidi w:val="0"/>
                    <w:adjustRightInd w:val="0"/>
                    <w:spacing w:line="240" w:lineRule="auto"/>
                    <w:jc w:val="center"/>
                    <w:rPr>
                      <w:rFonts w:hint="default" w:ascii="Times New Roman" w:hAnsi="Times New Roman" w:cs="Times New Roman"/>
                      <w:b/>
                      <w:bCs/>
                      <w:color w:val="auto"/>
                      <w:kern w:val="0"/>
                      <w:position w:val="-3"/>
                      <w:sz w:val="21"/>
                      <w:szCs w:val="21"/>
                      <w:highlight w:val="none"/>
                    </w:rPr>
                  </w:pPr>
                  <w:r>
                    <w:rPr>
                      <w:rFonts w:hint="default" w:ascii="Times New Roman" w:hAnsi="Times New Roman" w:cs="Times New Roman"/>
                      <w:b/>
                      <w:bCs/>
                      <w:color w:val="auto"/>
                      <w:kern w:val="0"/>
                      <w:position w:val="-3"/>
                      <w:sz w:val="21"/>
                      <w:szCs w:val="21"/>
                      <w:highlight w:val="none"/>
                    </w:rPr>
                    <w:t>年评价指标</w:t>
                  </w:r>
                </w:p>
              </w:tc>
              <w:tc>
                <w:tcPr>
                  <w:tcW w:w="667" w:type="pct"/>
                  <w:vAlign w:val="center"/>
                </w:tcPr>
                <w:p w14:paraId="32B28BBE">
                  <w:pPr>
                    <w:keepNext w:val="0"/>
                    <w:keepLines w:val="0"/>
                    <w:pageBreakBefore w:val="0"/>
                    <w:kinsoku/>
                    <w:wordWrap/>
                    <w:overflowPunct/>
                    <w:topLinePunct w:val="0"/>
                    <w:autoSpaceDE w:val="0"/>
                    <w:autoSpaceDN w:val="0"/>
                    <w:bidi w:val="0"/>
                    <w:adjustRightInd w:val="0"/>
                    <w:spacing w:line="240" w:lineRule="auto"/>
                    <w:jc w:val="center"/>
                    <w:rPr>
                      <w:rFonts w:hint="default" w:ascii="Times New Roman" w:hAnsi="Times New Roman" w:cs="Times New Roman"/>
                      <w:b/>
                      <w:bCs/>
                      <w:color w:val="auto"/>
                      <w:kern w:val="0"/>
                      <w:position w:val="-3"/>
                      <w:sz w:val="21"/>
                      <w:szCs w:val="21"/>
                      <w:highlight w:val="none"/>
                    </w:rPr>
                  </w:pPr>
                  <w:r>
                    <w:rPr>
                      <w:rFonts w:hint="default" w:ascii="Times New Roman" w:hAnsi="Times New Roman" w:cs="Times New Roman"/>
                      <w:b/>
                      <w:bCs/>
                      <w:color w:val="auto"/>
                      <w:kern w:val="0"/>
                      <w:position w:val="-3"/>
                      <w:sz w:val="21"/>
                      <w:szCs w:val="21"/>
                      <w:highlight w:val="none"/>
                    </w:rPr>
                    <w:t>现状浓度</w:t>
                  </w:r>
                </w:p>
              </w:tc>
              <w:tc>
                <w:tcPr>
                  <w:tcW w:w="674" w:type="pct"/>
                  <w:vAlign w:val="center"/>
                </w:tcPr>
                <w:p w14:paraId="31984D3D">
                  <w:pPr>
                    <w:keepNext w:val="0"/>
                    <w:keepLines w:val="0"/>
                    <w:pageBreakBefore w:val="0"/>
                    <w:kinsoku/>
                    <w:wordWrap/>
                    <w:overflowPunct/>
                    <w:topLinePunct w:val="0"/>
                    <w:autoSpaceDE w:val="0"/>
                    <w:autoSpaceDN w:val="0"/>
                    <w:bidi w:val="0"/>
                    <w:adjustRightInd w:val="0"/>
                    <w:spacing w:line="240" w:lineRule="auto"/>
                    <w:jc w:val="center"/>
                    <w:rPr>
                      <w:rFonts w:hint="default" w:ascii="Times New Roman" w:hAnsi="Times New Roman" w:cs="Times New Roman"/>
                      <w:b/>
                      <w:bCs/>
                      <w:color w:val="auto"/>
                      <w:kern w:val="0"/>
                      <w:position w:val="-3"/>
                      <w:sz w:val="21"/>
                      <w:szCs w:val="21"/>
                      <w:highlight w:val="none"/>
                    </w:rPr>
                  </w:pPr>
                  <w:r>
                    <w:rPr>
                      <w:rFonts w:hint="default" w:ascii="Times New Roman" w:hAnsi="Times New Roman" w:cs="Times New Roman"/>
                      <w:b/>
                      <w:bCs/>
                      <w:color w:val="auto"/>
                      <w:kern w:val="0"/>
                      <w:position w:val="-3"/>
                      <w:sz w:val="21"/>
                      <w:szCs w:val="21"/>
                      <w:highlight w:val="none"/>
                    </w:rPr>
                    <w:t>标准值</w:t>
                  </w:r>
                </w:p>
              </w:tc>
              <w:tc>
                <w:tcPr>
                  <w:tcW w:w="804" w:type="pct"/>
                  <w:vAlign w:val="center"/>
                </w:tcPr>
                <w:p w14:paraId="6F192700">
                  <w:pPr>
                    <w:keepNext w:val="0"/>
                    <w:keepLines w:val="0"/>
                    <w:pageBreakBefore w:val="0"/>
                    <w:kinsoku/>
                    <w:wordWrap/>
                    <w:overflowPunct/>
                    <w:topLinePunct w:val="0"/>
                    <w:autoSpaceDE w:val="0"/>
                    <w:autoSpaceDN w:val="0"/>
                    <w:bidi w:val="0"/>
                    <w:adjustRightInd w:val="0"/>
                    <w:spacing w:line="240" w:lineRule="auto"/>
                    <w:jc w:val="center"/>
                    <w:rPr>
                      <w:rFonts w:hint="default" w:ascii="Times New Roman" w:hAnsi="Times New Roman" w:cs="Times New Roman"/>
                      <w:b/>
                      <w:bCs/>
                      <w:color w:val="auto"/>
                      <w:kern w:val="0"/>
                      <w:position w:val="-3"/>
                      <w:sz w:val="21"/>
                      <w:szCs w:val="21"/>
                      <w:highlight w:val="none"/>
                    </w:rPr>
                  </w:pPr>
                  <w:r>
                    <w:rPr>
                      <w:rFonts w:hint="default" w:ascii="Times New Roman" w:hAnsi="Times New Roman" w:cs="Times New Roman"/>
                      <w:b/>
                      <w:bCs/>
                      <w:color w:val="auto"/>
                      <w:kern w:val="0"/>
                      <w:position w:val="-3"/>
                      <w:sz w:val="21"/>
                      <w:szCs w:val="21"/>
                      <w:highlight w:val="none"/>
                    </w:rPr>
                    <w:t>占标率%</w:t>
                  </w:r>
                </w:p>
              </w:tc>
              <w:tc>
                <w:tcPr>
                  <w:tcW w:w="650" w:type="pct"/>
                  <w:vAlign w:val="center"/>
                </w:tcPr>
                <w:p w14:paraId="687EB232">
                  <w:pPr>
                    <w:keepNext w:val="0"/>
                    <w:keepLines w:val="0"/>
                    <w:pageBreakBefore w:val="0"/>
                    <w:kinsoku/>
                    <w:wordWrap/>
                    <w:overflowPunct/>
                    <w:topLinePunct w:val="0"/>
                    <w:autoSpaceDE w:val="0"/>
                    <w:autoSpaceDN w:val="0"/>
                    <w:bidi w:val="0"/>
                    <w:adjustRightInd w:val="0"/>
                    <w:spacing w:line="240" w:lineRule="auto"/>
                    <w:jc w:val="center"/>
                    <w:rPr>
                      <w:rFonts w:hint="default" w:ascii="Times New Roman" w:hAnsi="Times New Roman" w:cs="Times New Roman"/>
                      <w:b/>
                      <w:bCs/>
                      <w:color w:val="auto"/>
                      <w:kern w:val="0"/>
                      <w:position w:val="-3"/>
                      <w:sz w:val="21"/>
                      <w:szCs w:val="21"/>
                      <w:highlight w:val="none"/>
                    </w:rPr>
                  </w:pPr>
                  <w:r>
                    <w:rPr>
                      <w:rFonts w:hint="default" w:ascii="Times New Roman" w:hAnsi="Times New Roman" w:cs="Times New Roman"/>
                      <w:b/>
                      <w:bCs/>
                      <w:color w:val="auto"/>
                      <w:kern w:val="0"/>
                      <w:position w:val="-3"/>
                      <w:sz w:val="21"/>
                      <w:szCs w:val="21"/>
                      <w:highlight w:val="none"/>
                    </w:rPr>
                    <w:t>达标情况</w:t>
                  </w:r>
                </w:p>
              </w:tc>
            </w:tr>
            <w:tr w14:paraId="1881B77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24" w:type="pct"/>
                  <w:vAlign w:val="center"/>
                </w:tcPr>
                <w:p w14:paraId="0CF031C9">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auto"/>
                      <w:sz w:val="21"/>
                      <w:szCs w:val="21"/>
                      <w:highlight w:val="none"/>
                      <w:vertAlign w:val="subscript"/>
                    </w:rPr>
                  </w:pPr>
                  <w:r>
                    <w:rPr>
                      <w:rFonts w:hint="default" w:ascii="Times New Roman" w:hAnsi="Times New Roman" w:cs="Times New Roman"/>
                      <w:color w:val="auto"/>
                      <w:sz w:val="21"/>
                      <w:szCs w:val="21"/>
                      <w:highlight w:val="none"/>
                    </w:rPr>
                    <w:t>SO</w:t>
                  </w:r>
                  <w:r>
                    <w:rPr>
                      <w:rFonts w:hint="default" w:ascii="Times New Roman" w:hAnsi="Times New Roman" w:cs="Times New Roman"/>
                      <w:color w:val="auto"/>
                      <w:sz w:val="21"/>
                      <w:szCs w:val="21"/>
                      <w:highlight w:val="none"/>
                      <w:vertAlign w:val="subscript"/>
                    </w:rPr>
                    <w:t>2</w:t>
                  </w:r>
                </w:p>
              </w:tc>
              <w:tc>
                <w:tcPr>
                  <w:tcW w:w="1580" w:type="pct"/>
                  <w:vAlign w:val="center"/>
                </w:tcPr>
                <w:p w14:paraId="06ACA4F3">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年</w:t>
                  </w:r>
                  <w:r>
                    <w:rPr>
                      <w:rFonts w:hint="default" w:ascii="Times New Roman" w:hAnsi="Times New Roman" w:cs="Times New Roman"/>
                      <w:color w:val="auto"/>
                      <w:sz w:val="21"/>
                      <w:szCs w:val="21"/>
                      <w:highlight w:val="none"/>
                    </w:rPr>
                    <w:t>平均质量浓度</w:t>
                  </w:r>
                </w:p>
              </w:tc>
              <w:tc>
                <w:tcPr>
                  <w:tcW w:w="667" w:type="pct"/>
                  <w:vAlign w:val="center"/>
                </w:tcPr>
                <w:p w14:paraId="5A9EDCFD">
                  <w:pPr>
                    <w:pStyle w:val="20"/>
                    <w:keepNext w:val="0"/>
                    <w:keepLines w:val="0"/>
                    <w:pageBreakBefore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6</w:t>
                  </w:r>
                  <w:r>
                    <w:rPr>
                      <w:rFonts w:hint="default" w:ascii="Times New Roman" w:hAnsi="Times New Roman" w:cs="Times New Roman"/>
                      <w:color w:val="auto"/>
                      <w:sz w:val="21"/>
                      <w:szCs w:val="21"/>
                      <w:highlight w:val="none"/>
                      <w:lang w:val="en-US" w:eastAsia="zh-CN"/>
                    </w:rPr>
                    <w:t>μ</w:t>
                  </w:r>
                  <w:r>
                    <w:rPr>
                      <w:rFonts w:hint="default" w:ascii="Times New Roman" w:hAnsi="Times New Roman" w:cs="Times New Roman"/>
                      <w:color w:val="auto"/>
                      <w:sz w:val="21"/>
                      <w:szCs w:val="21"/>
                      <w:highlight w:val="none"/>
                    </w:rPr>
                    <w:t>g/m</w:t>
                  </w:r>
                  <w:r>
                    <w:rPr>
                      <w:rFonts w:hint="default" w:ascii="Times New Roman" w:hAnsi="Times New Roman" w:cs="Times New Roman"/>
                      <w:color w:val="auto"/>
                      <w:sz w:val="21"/>
                      <w:szCs w:val="21"/>
                      <w:highlight w:val="none"/>
                      <w:vertAlign w:val="superscript"/>
                      <w:lang w:val="en-US" w:eastAsia="zh-CN"/>
                    </w:rPr>
                    <w:t>3</w:t>
                  </w:r>
                </w:p>
              </w:tc>
              <w:tc>
                <w:tcPr>
                  <w:tcW w:w="674" w:type="pct"/>
                  <w:vAlign w:val="center"/>
                </w:tcPr>
                <w:p w14:paraId="726EE88C">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60</w:t>
                  </w:r>
                  <w:r>
                    <w:rPr>
                      <w:rFonts w:hint="default" w:ascii="Times New Roman" w:hAnsi="Times New Roman" w:cs="Times New Roman"/>
                      <w:color w:val="auto"/>
                      <w:sz w:val="21"/>
                      <w:szCs w:val="21"/>
                      <w:highlight w:val="none"/>
                      <w:lang w:val="en-US" w:eastAsia="zh-CN"/>
                    </w:rPr>
                    <w:t>μ</w:t>
                  </w:r>
                  <w:r>
                    <w:rPr>
                      <w:rFonts w:hint="default" w:ascii="Times New Roman" w:hAnsi="Times New Roman" w:cs="Times New Roman"/>
                      <w:color w:val="auto"/>
                      <w:sz w:val="21"/>
                      <w:szCs w:val="21"/>
                      <w:highlight w:val="none"/>
                    </w:rPr>
                    <w:t>g/m</w:t>
                  </w:r>
                  <w:r>
                    <w:rPr>
                      <w:rFonts w:hint="default" w:ascii="Times New Roman" w:hAnsi="Times New Roman" w:cs="Times New Roman"/>
                      <w:color w:val="auto"/>
                      <w:sz w:val="21"/>
                      <w:szCs w:val="21"/>
                      <w:highlight w:val="none"/>
                      <w:vertAlign w:val="superscript"/>
                    </w:rPr>
                    <w:t>3</w:t>
                  </w:r>
                </w:p>
              </w:tc>
              <w:tc>
                <w:tcPr>
                  <w:tcW w:w="1274" w:type="dxa"/>
                  <w:vAlign w:val="center"/>
                </w:tcPr>
                <w:p w14:paraId="6F9D7560">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10%</w:t>
                  </w:r>
                </w:p>
              </w:tc>
              <w:tc>
                <w:tcPr>
                  <w:tcW w:w="650" w:type="pct"/>
                  <w:vAlign w:val="center"/>
                </w:tcPr>
                <w:p w14:paraId="3A5F2A24">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306D3DE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24" w:type="pct"/>
                  <w:vAlign w:val="center"/>
                </w:tcPr>
                <w:p w14:paraId="2E6CC947">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NO</w:t>
                  </w:r>
                  <w:r>
                    <w:rPr>
                      <w:rFonts w:hint="default" w:ascii="Times New Roman" w:hAnsi="Times New Roman" w:cs="Times New Roman"/>
                      <w:color w:val="auto"/>
                      <w:sz w:val="21"/>
                      <w:szCs w:val="21"/>
                      <w:highlight w:val="none"/>
                      <w:vertAlign w:val="subscript"/>
                    </w:rPr>
                    <w:t>2</w:t>
                  </w:r>
                </w:p>
              </w:tc>
              <w:tc>
                <w:tcPr>
                  <w:tcW w:w="1580" w:type="pct"/>
                  <w:vAlign w:val="center"/>
                </w:tcPr>
                <w:p w14:paraId="79F52019">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年</w:t>
                  </w:r>
                  <w:r>
                    <w:rPr>
                      <w:rFonts w:hint="default" w:ascii="Times New Roman" w:hAnsi="Times New Roman" w:cs="Times New Roman"/>
                      <w:color w:val="auto"/>
                      <w:sz w:val="21"/>
                      <w:szCs w:val="21"/>
                      <w:highlight w:val="none"/>
                    </w:rPr>
                    <w:t>平均质量浓度</w:t>
                  </w:r>
                </w:p>
              </w:tc>
              <w:tc>
                <w:tcPr>
                  <w:tcW w:w="667" w:type="pct"/>
                  <w:vAlign w:val="center"/>
                </w:tcPr>
                <w:p w14:paraId="24E9E595">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12</w:t>
                  </w:r>
                  <w:r>
                    <w:rPr>
                      <w:rFonts w:hint="default" w:ascii="Times New Roman" w:hAnsi="Times New Roman" w:cs="Times New Roman"/>
                      <w:color w:val="auto"/>
                      <w:sz w:val="21"/>
                      <w:szCs w:val="21"/>
                      <w:highlight w:val="none"/>
                      <w:lang w:val="en-US" w:eastAsia="zh-CN"/>
                    </w:rPr>
                    <w:t>μ</w:t>
                  </w:r>
                  <w:r>
                    <w:rPr>
                      <w:rFonts w:hint="default" w:ascii="Times New Roman" w:hAnsi="Times New Roman" w:cs="Times New Roman"/>
                      <w:color w:val="auto"/>
                      <w:sz w:val="21"/>
                      <w:szCs w:val="21"/>
                      <w:highlight w:val="none"/>
                    </w:rPr>
                    <w:t>g/m</w:t>
                  </w:r>
                  <w:r>
                    <w:rPr>
                      <w:rFonts w:hint="default" w:ascii="Times New Roman" w:hAnsi="Times New Roman" w:cs="Times New Roman"/>
                      <w:color w:val="auto"/>
                      <w:sz w:val="21"/>
                      <w:szCs w:val="21"/>
                      <w:highlight w:val="none"/>
                      <w:vertAlign w:val="superscript"/>
                    </w:rPr>
                    <w:t>3</w:t>
                  </w:r>
                </w:p>
              </w:tc>
              <w:tc>
                <w:tcPr>
                  <w:tcW w:w="674" w:type="pct"/>
                  <w:vAlign w:val="center"/>
                </w:tcPr>
                <w:p w14:paraId="0D6344DC">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w:t>
                  </w:r>
                  <w:r>
                    <w:rPr>
                      <w:rFonts w:hint="default" w:ascii="Times New Roman" w:hAnsi="Times New Roman" w:cs="Times New Roman"/>
                      <w:color w:val="auto"/>
                      <w:sz w:val="21"/>
                      <w:szCs w:val="21"/>
                      <w:highlight w:val="none"/>
                      <w:lang w:val="en-US" w:eastAsia="zh-CN"/>
                    </w:rPr>
                    <w:t>μ</w:t>
                  </w:r>
                  <w:r>
                    <w:rPr>
                      <w:rFonts w:hint="default" w:ascii="Times New Roman" w:hAnsi="Times New Roman" w:cs="Times New Roman"/>
                      <w:color w:val="auto"/>
                      <w:sz w:val="21"/>
                      <w:szCs w:val="21"/>
                      <w:highlight w:val="none"/>
                    </w:rPr>
                    <w:t>g/m</w:t>
                  </w:r>
                  <w:r>
                    <w:rPr>
                      <w:rFonts w:hint="default" w:ascii="Times New Roman" w:hAnsi="Times New Roman" w:cs="Times New Roman"/>
                      <w:color w:val="auto"/>
                      <w:sz w:val="21"/>
                      <w:szCs w:val="21"/>
                      <w:highlight w:val="none"/>
                      <w:vertAlign w:val="superscript"/>
                    </w:rPr>
                    <w:t>3</w:t>
                  </w:r>
                </w:p>
              </w:tc>
              <w:tc>
                <w:tcPr>
                  <w:tcW w:w="1274" w:type="dxa"/>
                  <w:vAlign w:val="center"/>
                </w:tcPr>
                <w:p w14:paraId="4D8AF7A8">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30%</w:t>
                  </w:r>
                </w:p>
              </w:tc>
              <w:tc>
                <w:tcPr>
                  <w:tcW w:w="650" w:type="pct"/>
                  <w:vAlign w:val="center"/>
                </w:tcPr>
                <w:p w14:paraId="0D87195E">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759D676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24" w:type="pct"/>
                  <w:vAlign w:val="center"/>
                </w:tcPr>
                <w:p w14:paraId="3E937DB8">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PM</w:t>
                  </w:r>
                  <w:r>
                    <w:rPr>
                      <w:rFonts w:hint="default" w:ascii="Times New Roman" w:hAnsi="Times New Roman" w:cs="Times New Roman"/>
                      <w:color w:val="auto"/>
                      <w:sz w:val="21"/>
                      <w:szCs w:val="21"/>
                      <w:highlight w:val="none"/>
                      <w:vertAlign w:val="subscript"/>
                    </w:rPr>
                    <w:t>10</w:t>
                  </w:r>
                </w:p>
              </w:tc>
              <w:tc>
                <w:tcPr>
                  <w:tcW w:w="1580" w:type="pct"/>
                  <w:vAlign w:val="center"/>
                </w:tcPr>
                <w:p w14:paraId="775128EE">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年</w:t>
                  </w:r>
                  <w:r>
                    <w:rPr>
                      <w:rFonts w:hint="default" w:ascii="Times New Roman" w:hAnsi="Times New Roman" w:cs="Times New Roman"/>
                      <w:color w:val="auto"/>
                      <w:sz w:val="21"/>
                      <w:szCs w:val="21"/>
                      <w:highlight w:val="none"/>
                    </w:rPr>
                    <w:t>平均质量浓度</w:t>
                  </w:r>
                </w:p>
              </w:tc>
              <w:tc>
                <w:tcPr>
                  <w:tcW w:w="667" w:type="pct"/>
                  <w:vAlign w:val="center"/>
                </w:tcPr>
                <w:p w14:paraId="6A88CCA9">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31</w:t>
                  </w:r>
                  <w:r>
                    <w:rPr>
                      <w:rFonts w:hint="default" w:ascii="Times New Roman" w:hAnsi="Times New Roman" w:cs="Times New Roman"/>
                      <w:color w:val="auto"/>
                      <w:sz w:val="21"/>
                      <w:szCs w:val="21"/>
                      <w:highlight w:val="none"/>
                      <w:lang w:val="en-US" w:eastAsia="zh-CN"/>
                    </w:rPr>
                    <w:t>μ</w:t>
                  </w:r>
                  <w:r>
                    <w:rPr>
                      <w:rFonts w:hint="default" w:ascii="Times New Roman" w:hAnsi="Times New Roman" w:cs="Times New Roman"/>
                      <w:color w:val="auto"/>
                      <w:sz w:val="21"/>
                      <w:szCs w:val="21"/>
                      <w:highlight w:val="none"/>
                    </w:rPr>
                    <w:t>g/m</w:t>
                  </w:r>
                  <w:r>
                    <w:rPr>
                      <w:rFonts w:hint="default" w:ascii="Times New Roman" w:hAnsi="Times New Roman" w:cs="Times New Roman"/>
                      <w:color w:val="auto"/>
                      <w:sz w:val="21"/>
                      <w:szCs w:val="21"/>
                      <w:highlight w:val="none"/>
                      <w:vertAlign w:val="superscript"/>
                    </w:rPr>
                    <w:t>3</w:t>
                  </w:r>
                </w:p>
              </w:tc>
              <w:tc>
                <w:tcPr>
                  <w:tcW w:w="674" w:type="pct"/>
                  <w:vAlign w:val="center"/>
                </w:tcPr>
                <w:p w14:paraId="0065433C">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6</w:t>
                  </w:r>
                  <w:r>
                    <w:rPr>
                      <w:rFonts w:hint="default" w:ascii="Times New Roman" w:hAnsi="Times New Roman" w:cs="Times New Roman"/>
                      <w:color w:val="auto"/>
                      <w:sz w:val="21"/>
                      <w:szCs w:val="21"/>
                      <w:highlight w:val="none"/>
                    </w:rPr>
                    <w:t>0</w:t>
                  </w:r>
                  <w:r>
                    <w:rPr>
                      <w:rFonts w:hint="default" w:ascii="Times New Roman" w:hAnsi="Times New Roman" w:cs="Times New Roman"/>
                      <w:color w:val="auto"/>
                      <w:sz w:val="21"/>
                      <w:szCs w:val="21"/>
                      <w:highlight w:val="none"/>
                      <w:lang w:val="en-US" w:eastAsia="zh-CN"/>
                    </w:rPr>
                    <w:t>μ</w:t>
                  </w:r>
                  <w:r>
                    <w:rPr>
                      <w:rFonts w:hint="default" w:ascii="Times New Roman" w:hAnsi="Times New Roman" w:cs="Times New Roman"/>
                      <w:color w:val="auto"/>
                      <w:sz w:val="21"/>
                      <w:szCs w:val="21"/>
                      <w:highlight w:val="none"/>
                    </w:rPr>
                    <w:t>g/m</w:t>
                  </w:r>
                  <w:r>
                    <w:rPr>
                      <w:rFonts w:hint="default" w:ascii="Times New Roman" w:hAnsi="Times New Roman" w:cs="Times New Roman"/>
                      <w:color w:val="auto"/>
                      <w:sz w:val="21"/>
                      <w:szCs w:val="21"/>
                      <w:highlight w:val="none"/>
                      <w:vertAlign w:val="superscript"/>
                    </w:rPr>
                    <w:t>3</w:t>
                  </w:r>
                </w:p>
              </w:tc>
              <w:tc>
                <w:tcPr>
                  <w:tcW w:w="1274" w:type="dxa"/>
                  <w:vAlign w:val="center"/>
                </w:tcPr>
                <w:p w14:paraId="094C016F">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i w:val="0"/>
                      <w:iCs w:val="0"/>
                      <w:color w:val="auto"/>
                      <w:kern w:val="0"/>
                      <w:sz w:val="21"/>
                      <w:szCs w:val="21"/>
                      <w:highlight w:val="none"/>
                      <w:u w:val="none"/>
                      <w:lang w:val="en-US" w:eastAsia="zh-CN"/>
                    </w:rPr>
                    <w:t>51.7</w:t>
                  </w:r>
                  <w:r>
                    <w:rPr>
                      <w:rFonts w:hint="default" w:ascii="Times New Roman" w:hAnsi="Times New Roman" w:eastAsia="宋体" w:cs="Times New Roman"/>
                      <w:i w:val="0"/>
                      <w:iCs w:val="0"/>
                      <w:color w:val="auto"/>
                      <w:kern w:val="0"/>
                      <w:sz w:val="21"/>
                      <w:szCs w:val="21"/>
                      <w:highlight w:val="none"/>
                      <w:u w:val="none"/>
                      <w:lang w:val="en-US" w:eastAsia="zh-CN"/>
                    </w:rPr>
                    <w:t>%</w:t>
                  </w:r>
                </w:p>
              </w:tc>
              <w:tc>
                <w:tcPr>
                  <w:tcW w:w="650" w:type="pct"/>
                  <w:vAlign w:val="center"/>
                </w:tcPr>
                <w:p w14:paraId="7ABADC66">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16523A2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24" w:type="pct"/>
                  <w:vAlign w:val="center"/>
                </w:tcPr>
                <w:p w14:paraId="2D96C352">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PM</w:t>
                  </w:r>
                  <w:r>
                    <w:rPr>
                      <w:rFonts w:hint="default" w:ascii="Times New Roman" w:hAnsi="Times New Roman" w:cs="Times New Roman"/>
                      <w:color w:val="auto"/>
                      <w:sz w:val="21"/>
                      <w:szCs w:val="21"/>
                      <w:highlight w:val="none"/>
                      <w:vertAlign w:val="subscript"/>
                    </w:rPr>
                    <w:t>2.5</w:t>
                  </w:r>
                </w:p>
              </w:tc>
              <w:tc>
                <w:tcPr>
                  <w:tcW w:w="1580" w:type="pct"/>
                  <w:vAlign w:val="center"/>
                </w:tcPr>
                <w:p w14:paraId="70F9981D">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年</w:t>
                  </w:r>
                  <w:r>
                    <w:rPr>
                      <w:rFonts w:hint="default" w:ascii="Times New Roman" w:hAnsi="Times New Roman" w:cs="Times New Roman"/>
                      <w:color w:val="auto"/>
                      <w:sz w:val="21"/>
                      <w:szCs w:val="21"/>
                      <w:highlight w:val="none"/>
                    </w:rPr>
                    <w:t>平均质量浓度</w:t>
                  </w:r>
                </w:p>
              </w:tc>
              <w:tc>
                <w:tcPr>
                  <w:tcW w:w="667" w:type="pct"/>
                  <w:vAlign w:val="center"/>
                </w:tcPr>
                <w:p w14:paraId="36DB28B1">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21</w:t>
                  </w:r>
                  <w:r>
                    <w:rPr>
                      <w:rFonts w:hint="default" w:ascii="Times New Roman" w:hAnsi="Times New Roman" w:cs="Times New Roman"/>
                      <w:color w:val="auto"/>
                      <w:sz w:val="21"/>
                      <w:szCs w:val="21"/>
                      <w:highlight w:val="none"/>
                      <w:lang w:val="en-US" w:eastAsia="zh-CN"/>
                    </w:rPr>
                    <w:t>μ</w:t>
                  </w:r>
                  <w:r>
                    <w:rPr>
                      <w:rFonts w:hint="default" w:ascii="Times New Roman" w:hAnsi="Times New Roman" w:cs="Times New Roman"/>
                      <w:color w:val="auto"/>
                      <w:sz w:val="21"/>
                      <w:szCs w:val="21"/>
                      <w:highlight w:val="none"/>
                    </w:rPr>
                    <w:t>g/m</w:t>
                  </w:r>
                  <w:r>
                    <w:rPr>
                      <w:rFonts w:hint="default" w:ascii="Times New Roman" w:hAnsi="Times New Roman" w:cs="Times New Roman"/>
                      <w:color w:val="auto"/>
                      <w:sz w:val="21"/>
                      <w:szCs w:val="21"/>
                      <w:highlight w:val="none"/>
                      <w:vertAlign w:val="superscript"/>
                    </w:rPr>
                    <w:t>3</w:t>
                  </w:r>
                </w:p>
              </w:tc>
              <w:tc>
                <w:tcPr>
                  <w:tcW w:w="674" w:type="pct"/>
                  <w:vAlign w:val="center"/>
                </w:tcPr>
                <w:p w14:paraId="6522D92A">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r>
                    <w:rPr>
                      <w:rFonts w:hint="eastAsia" w:cs="Times New Roman"/>
                      <w:color w:val="auto"/>
                      <w:sz w:val="21"/>
                      <w:szCs w:val="21"/>
                      <w:highlight w:val="none"/>
                      <w:lang w:val="en-US" w:eastAsia="zh-CN"/>
                    </w:rPr>
                    <w:t>0</w:t>
                  </w:r>
                  <w:r>
                    <w:rPr>
                      <w:rFonts w:hint="default" w:ascii="Times New Roman" w:hAnsi="Times New Roman" w:cs="Times New Roman"/>
                      <w:color w:val="auto"/>
                      <w:sz w:val="21"/>
                      <w:szCs w:val="21"/>
                      <w:highlight w:val="none"/>
                      <w:lang w:val="en-US" w:eastAsia="zh-CN"/>
                    </w:rPr>
                    <w:t>μ</w:t>
                  </w:r>
                  <w:r>
                    <w:rPr>
                      <w:rFonts w:hint="default" w:ascii="Times New Roman" w:hAnsi="Times New Roman" w:cs="Times New Roman"/>
                      <w:color w:val="auto"/>
                      <w:sz w:val="21"/>
                      <w:szCs w:val="21"/>
                      <w:highlight w:val="none"/>
                    </w:rPr>
                    <w:t>g/m</w:t>
                  </w:r>
                  <w:r>
                    <w:rPr>
                      <w:rFonts w:hint="default" w:ascii="Times New Roman" w:hAnsi="Times New Roman" w:cs="Times New Roman"/>
                      <w:color w:val="auto"/>
                      <w:sz w:val="21"/>
                      <w:szCs w:val="21"/>
                      <w:highlight w:val="none"/>
                      <w:vertAlign w:val="superscript"/>
                    </w:rPr>
                    <w:t>3</w:t>
                  </w:r>
                </w:p>
              </w:tc>
              <w:tc>
                <w:tcPr>
                  <w:tcW w:w="1274" w:type="dxa"/>
                  <w:vAlign w:val="center"/>
                </w:tcPr>
                <w:p w14:paraId="2358E3B5">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i w:val="0"/>
                      <w:iCs w:val="0"/>
                      <w:color w:val="auto"/>
                      <w:kern w:val="0"/>
                      <w:sz w:val="21"/>
                      <w:szCs w:val="21"/>
                      <w:highlight w:val="none"/>
                      <w:u w:val="none"/>
                      <w:lang w:val="en-US" w:eastAsia="zh-CN"/>
                    </w:rPr>
                    <w:t>7</w:t>
                  </w:r>
                  <w:r>
                    <w:rPr>
                      <w:rFonts w:hint="default" w:ascii="Times New Roman" w:hAnsi="Times New Roman" w:eastAsia="宋体" w:cs="Times New Roman"/>
                      <w:i w:val="0"/>
                      <w:iCs w:val="0"/>
                      <w:color w:val="auto"/>
                      <w:kern w:val="0"/>
                      <w:sz w:val="21"/>
                      <w:szCs w:val="21"/>
                      <w:highlight w:val="none"/>
                      <w:u w:val="none"/>
                      <w:lang w:val="en-US" w:eastAsia="zh-CN"/>
                    </w:rPr>
                    <w:t>0%</w:t>
                  </w:r>
                </w:p>
              </w:tc>
              <w:tc>
                <w:tcPr>
                  <w:tcW w:w="650" w:type="pct"/>
                  <w:vAlign w:val="center"/>
                </w:tcPr>
                <w:p w14:paraId="2D4CC989">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64BF1FE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24" w:type="pct"/>
                  <w:vAlign w:val="center"/>
                </w:tcPr>
                <w:p w14:paraId="0453582D">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CO</w:t>
                  </w:r>
                </w:p>
              </w:tc>
              <w:tc>
                <w:tcPr>
                  <w:tcW w:w="1580" w:type="pct"/>
                  <w:vAlign w:val="center"/>
                </w:tcPr>
                <w:p w14:paraId="5A2C0872">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24小时均值第95百分位数</w:t>
                  </w:r>
                </w:p>
              </w:tc>
              <w:tc>
                <w:tcPr>
                  <w:tcW w:w="667" w:type="pct"/>
                  <w:vAlign w:val="center"/>
                </w:tcPr>
                <w:p w14:paraId="7BD520A2">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mg/m</w:t>
                  </w:r>
                  <w:r>
                    <w:rPr>
                      <w:rFonts w:hint="default" w:ascii="Times New Roman" w:hAnsi="Times New Roman" w:cs="Times New Roman"/>
                      <w:color w:val="auto"/>
                      <w:sz w:val="21"/>
                      <w:szCs w:val="21"/>
                      <w:highlight w:val="none"/>
                      <w:vertAlign w:val="superscript"/>
                    </w:rPr>
                    <w:t>3</w:t>
                  </w:r>
                </w:p>
              </w:tc>
              <w:tc>
                <w:tcPr>
                  <w:tcW w:w="674" w:type="pct"/>
                  <w:vAlign w:val="center"/>
                </w:tcPr>
                <w:p w14:paraId="640518C5">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4mg/m</w:t>
                  </w:r>
                  <w:r>
                    <w:rPr>
                      <w:rFonts w:hint="default" w:ascii="Times New Roman" w:hAnsi="Times New Roman" w:cs="Times New Roman"/>
                      <w:color w:val="auto"/>
                      <w:sz w:val="21"/>
                      <w:szCs w:val="21"/>
                      <w:highlight w:val="none"/>
                      <w:vertAlign w:val="superscript"/>
                    </w:rPr>
                    <w:t>3</w:t>
                  </w:r>
                </w:p>
              </w:tc>
              <w:tc>
                <w:tcPr>
                  <w:tcW w:w="1274" w:type="dxa"/>
                  <w:vAlign w:val="center"/>
                </w:tcPr>
                <w:p w14:paraId="534FE257">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25%</w:t>
                  </w:r>
                </w:p>
              </w:tc>
              <w:tc>
                <w:tcPr>
                  <w:tcW w:w="650" w:type="pct"/>
                  <w:vAlign w:val="center"/>
                </w:tcPr>
                <w:p w14:paraId="0452260E">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7588D15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24" w:type="pct"/>
                  <w:vAlign w:val="center"/>
                </w:tcPr>
                <w:p w14:paraId="32F1D5DF">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O</w:t>
                  </w:r>
                  <w:r>
                    <w:rPr>
                      <w:rFonts w:hint="default" w:ascii="Times New Roman" w:hAnsi="Times New Roman" w:cs="Times New Roman"/>
                      <w:color w:val="auto"/>
                      <w:sz w:val="21"/>
                      <w:szCs w:val="21"/>
                      <w:highlight w:val="none"/>
                      <w:vertAlign w:val="subscript"/>
                    </w:rPr>
                    <w:t>3</w:t>
                  </w:r>
                </w:p>
              </w:tc>
              <w:tc>
                <w:tcPr>
                  <w:tcW w:w="1580" w:type="pct"/>
                  <w:vAlign w:val="center"/>
                </w:tcPr>
                <w:p w14:paraId="74D83CB7">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最大8小时值第90百分位数</w:t>
                  </w:r>
                </w:p>
              </w:tc>
              <w:tc>
                <w:tcPr>
                  <w:tcW w:w="667" w:type="pct"/>
                  <w:vAlign w:val="center"/>
                </w:tcPr>
                <w:p w14:paraId="641A28A5">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108μ</w:t>
                  </w:r>
                  <w:r>
                    <w:rPr>
                      <w:rFonts w:hint="default" w:ascii="Times New Roman" w:hAnsi="Times New Roman" w:cs="Times New Roman"/>
                      <w:color w:val="auto"/>
                      <w:sz w:val="21"/>
                      <w:szCs w:val="21"/>
                      <w:highlight w:val="none"/>
                    </w:rPr>
                    <w:t>g/m</w:t>
                  </w:r>
                  <w:r>
                    <w:rPr>
                      <w:rFonts w:hint="default" w:ascii="Times New Roman" w:hAnsi="Times New Roman" w:cs="Times New Roman"/>
                      <w:color w:val="auto"/>
                      <w:sz w:val="21"/>
                      <w:szCs w:val="21"/>
                      <w:highlight w:val="none"/>
                      <w:vertAlign w:val="superscript"/>
                    </w:rPr>
                    <w:t>3</w:t>
                  </w:r>
                </w:p>
              </w:tc>
              <w:tc>
                <w:tcPr>
                  <w:tcW w:w="674" w:type="pct"/>
                  <w:vAlign w:val="center"/>
                </w:tcPr>
                <w:p w14:paraId="598B1B67">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160</w:t>
                  </w:r>
                  <w:r>
                    <w:rPr>
                      <w:rFonts w:hint="default" w:ascii="Times New Roman" w:hAnsi="Times New Roman" w:cs="Times New Roman"/>
                      <w:color w:val="auto"/>
                      <w:sz w:val="21"/>
                      <w:szCs w:val="21"/>
                      <w:highlight w:val="none"/>
                      <w:lang w:val="en-US" w:eastAsia="zh-CN"/>
                    </w:rPr>
                    <w:t>μ</w:t>
                  </w:r>
                  <w:r>
                    <w:rPr>
                      <w:rFonts w:hint="default" w:ascii="Times New Roman" w:hAnsi="Times New Roman" w:cs="Times New Roman"/>
                      <w:color w:val="auto"/>
                      <w:sz w:val="21"/>
                      <w:szCs w:val="21"/>
                      <w:highlight w:val="none"/>
                    </w:rPr>
                    <w:t>g/m</w:t>
                  </w:r>
                  <w:r>
                    <w:rPr>
                      <w:rFonts w:hint="default" w:ascii="Times New Roman" w:hAnsi="Times New Roman" w:cs="Times New Roman"/>
                      <w:color w:val="auto"/>
                      <w:sz w:val="21"/>
                      <w:szCs w:val="21"/>
                      <w:highlight w:val="none"/>
                      <w:vertAlign w:val="superscript"/>
                    </w:rPr>
                    <w:t>3</w:t>
                  </w:r>
                </w:p>
              </w:tc>
              <w:tc>
                <w:tcPr>
                  <w:tcW w:w="1274" w:type="dxa"/>
                  <w:vAlign w:val="center"/>
                </w:tcPr>
                <w:p w14:paraId="7F2EB564">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6</w:t>
                  </w:r>
                  <w:r>
                    <w:rPr>
                      <w:rFonts w:hint="eastAsia" w:cs="Times New Roman"/>
                      <w:i w:val="0"/>
                      <w:iCs w:val="0"/>
                      <w:color w:val="auto"/>
                      <w:kern w:val="0"/>
                      <w:sz w:val="21"/>
                      <w:szCs w:val="21"/>
                      <w:highlight w:val="none"/>
                      <w:u w:val="none"/>
                      <w:lang w:val="en-US" w:eastAsia="zh-CN"/>
                    </w:rPr>
                    <w:t>7.5</w:t>
                  </w:r>
                  <w:r>
                    <w:rPr>
                      <w:rFonts w:hint="default" w:ascii="Times New Roman" w:hAnsi="Times New Roman" w:eastAsia="宋体" w:cs="Times New Roman"/>
                      <w:i w:val="0"/>
                      <w:iCs w:val="0"/>
                      <w:color w:val="auto"/>
                      <w:kern w:val="0"/>
                      <w:sz w:val="21"/>
                      <w:szCs w:val="21"/>
                      <w:highlight w:val="none"/>
                      <w:u w:val="none"/>
                      <w:lang w:val="en-US" w:eastAsia="zh-CN"/>
                    </w:rPr>
                    <w:t>%</w:t>
                  </w:r>
                </w:p>
              </w:tc>
              <w:tc>
                <w:tcPr>
                  <w:tcW w:w="650" w:type="pct"/>
                  <w:vAlign w:val="center"/>
                </w:tcPr>
                <w:p w14:paraId="52E212FF">
                  <w:pPr>
                    <w:keepNext w:val="0"/>
                    <w:keepLines w:val="0"/>
                    <w:pageBreakBefore w:val="0"/>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bl>
          <w:p w14:paraId="13EE5D36">
            <w:pPr>
              <w:keepNext w:val="0"/>
              <w:keepLines w:val="0"/>
              <w:widowControl/>
              <w:suppressLineNumbers w:val="0"/>
              <w:ind w:firstLine="480" w:firstLineChars="200"/>
              <w:jc w:val="left"/>
              <w:rPr>
                <w:rFonts w:hint="default" w:ascii="Times New Roman" w:hAnsi="Times New Roman" w:cs="Times New Roman"/>
                <w:color w:val="auto"/>
                <w:highlight w:val="none"/>
              </w:rPr>
            </w:pPr>
            <w:r>
              <w:rPr>
                <w:rFonts w:hint="default" w:ascii="Times New Roman" w:hAnsi="Times New Roman" w:eastAsia="宋体" w:cs="Times New Roman"/>
                <w:bCs/>
                <w:color w:val="auto"/>
                <w:sz w:val="24"/>
                <w:szCs w:val="24"/>
                <w:highlight w:val="none"/>
                <w:lang w:val="en-US" w:eastAsia="zh-CN"/>
              </w:rPr>
              <w:t>由上统计可知，项目所在区域空气环境能满足</w:t>
            </w:r>
            <w:r>
              <w:rPr>
                <w:rFonts w:hint="eastAsia" w:ascii="Times New Roman" w:cs="Times New Roman"/>
                <w:color w:val="auto"/>
                <w:highlight w:val="none"/>
                <w:lang w:eastAsia="zh-CN"/>
              </w:rPr>
              <w:t>《环境空气质</w:t>
            </w:r>
            <w:r>
              <w:rPr>
                <w:rFonts w:hint="eastAsia" w:ascii="Times New Roman" w:cs="Times New Roman"/>
                <w:color w:val="auto"/>
                <w:highlight w:val="none"/>
                <w:lang w:val="en-US" w:eastAsia="zh-CN"/>
              </w:rPr>
              <w:t>量</w:t>
            </w:r>
            <w:r>
              <w:rPr>
                <w:rFonts w:hint="eastAsia" w:ascii="Times New Roman" w:cs="Times New Roman"/>
                <w:color w:val="auto"/>
                <w:highlight w:val="none"/>
                <w:lang w:eastAsia="zh-CN"/>
              </w:rPr>
              <w:t>标准》(GB3095-2026)中表1环境空气污染物基本项目浓度限值过渡阶段的二级标准</w:t>
            </w:r>
            <w:r>
              <w:rPr>
                <w:rFonts w:hint="default" w:ascii="Times New Roman" w:hAnsi="Times New Roman" w:cs="Times New Roman"/>
                <w:color w:val="auto"/>
                <w:highlight w:val="none"/>
              </w:rPr>
              <w:t>。</w:t>
            </w:r>
            <w:r>
              <w:rPr>
                <w:rFonts w:hint="default" w:ascii="Times New Roman" w:hAnsi="Times New Roman" w:eastAsia="宋体" w:cs="Times New Roman"/>
                <w:bCs/>
                <w:color w:val="auto"/>
                <w:sz w:val="24"/>
                <w:szCs w:val="24"/>
                <w:highlight w:val="none"/>
                <w:lang w:val="en-US" w:eastAsia="zh-CN"/>
              </w:rPr>
              <w:t>本项目所在区域属于环境空气达标区。</w:t>
            </w:r>
          </w:p>
          <w:p w14:paraId="4D60CD50">
            <w:pPr>
              <w:keepNext w:val="0"/>
              <w:keepLines w:val="0"/>
              <w:pageBreakBefore w:val="0"/>
              <w:widowControl w:val="0"/>
              <w:kinsoku/>
              <w:wordWrap/>
              <w:overflowPunct/>
              <w:topLinePunct w:val="0"/>
              <w:autoSpaceDE/>
              <w:autoSpaceDN/>
              <w:bidi w:val="0"/>
              <w:adjustRightInd/>
              <w:snapToGrid/>
              <w:spacing w:before="0"/>
              <w:ind w:firstLine="48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b/>
                <w:bCs/>
                <w:color w:val="auto"/>
                <w:highlight w:val="none"/>
              </w:rPr>
              <w:t>（</w:t>
            </w:r>
            <w:r>
              <w:rPr>
                <w:rFonts w:hint="default" w:ascii="Times New Roman" w:hAnsi="Times New Roman" w:cs="Times New Roman"/>
                <w:b/>
                <w:bCs/>
                <w:color w:val="auto"/>
                <w:highlight w:val="none"/>
                <w:lang w:val="en-US" w:eastAsia="zh-CN"/>
              </w:rPr>
              <w:t>2</w:t>
            </w:r>
            <w:r>
              <w:rPr>
                <w:rFonts w:hint="default" w:ascii="Times New Roman" w:hAnsi="Times New Roman" w:cs="Times New Roman"/>
                <w:b/>
                <w:bCs/>
                <w:color w:val="auto"/>
                <w:highlight w:val="none"/>
              </w:rPr>
              <w:t>）特征因子补充监测</w:t>
            </w:r>
          </w:p>
          <w:p w14:paraId="32F7969E">
            <w:pPr>
              <w:pageBreakBefore w:val="0"/>
              <w:widowControl w:val="0"/>
              <w:kinsoku/>
              <w:overflowPunct/>
              <w:topLinePunct w:val="0"/>
              <w:bidi w:val="0"/>
              <w:ind w:firstLine="480" w:firstLineChars="200"/>
              <w:jc w:val="left"/>
              <w:textAlignment w:val="auto"/>
              <w:outlineLvl w:val="9"/>
              <w:rPr>
                <w:rFonts w:hint="default" w:ascii="Times New Roman" w:hAnsi="Times New Roman" w:cs="Times New Roman"/>
                <w:bCs/>
                <w:color w:val="auto"/>
                <w:szCs w:val="22"/>
                <w:highlight w:val="none"/>
              </w:rPr>
            </w:pPr>
            <w:r>
              <w:rPr>
                <w:rFonts w:hint="default" w:ascii="Times New Roman" w:hAnsi="Times New Roman" w:cs="Times New Roman"/>
                <w:bCs/>
                <w:color w:val="auto"/>
                <w:szCs w:val="22"/>
                <w:highlight w:val="none"/>
              </w:rPr>
              <w:t>根据《建设项目环境影响报告表编制技术指南（污染影响类）》（试行）：排放国家、地方环境空气质量标准中有标准限值要求的特征污染物时，引用建设项目周边5千米范围内近3年的现有监测数据。本项目需补充监测的特征污染因子为TSP。</w:t>
            </w:r>
          </w:p>
          <w:p w14:paraId="3E8A61FA">
            <w:pPr>
              <w:pageBreakBefore w:val="0"/>
              <w:widowControl w:val="0"/>
              <w:kinsoku/>
              <w:overflowPunct/>
              <w:topLinePunct w:val="0"/>
              <w:bidi w:val="0"/>
              <w:ind w:firstLine="480" w:firstLineChars="200"/>
              <w:jc w:val="left"/>
              <w:textAlignment w:val="auto"/>
              <w:outlineLvl w:val="9"/>
              <w:rPr>
                <w:rFonts w:hint="default" w:ascii="Times New Roman" w:hAnsi="Times New Roman" w:cs="Times New Roman"/>
                <w:b/>
                <w:bCs/>
                <w:color w:val="auto"/>
                <w:sz w:val="21"/>
                <w:szCs w:val="21"/>
                <w:highlight w:val="none"/>
              </w:rPr>
            </w:pPr>
            <w:r>
              <w:rPr>
                <w:rFonts w:hint="default" w:ascii="Times New Roman" w:hAnsi="Times New Roman" w:cs="Times New Roman"/>
                <w:bCs/>
                <w:color w:val="auto"/>
                <w:szCs w:val="22"/>
                <w:highlight w:val="none"/>
              </w:rPr>
              <w:t>本项目引用《2023年度乐昌产业转移工业园环境管理状况评估报告》中的监测数据，用于评价TSP现状：深圳市清华环科检测技术有限公司于2023年12月19日-2023年12月25日，在本项目南侧</w:t>
            </w:r>
            <w:r>
              <w:rPr>
                <w:rFonts w:hint="eastAsia" w:cs="Times New Roman"/>
                <w:bCs/>
                <w:color w:val="auto"/>
                <w:szCs w:val="22"/>
                <w:highlight w:val="none"/>
                <w:lang w:val="en-US" w:eastAsia="zh-CN"/>
              </w:rPr>
              <w:t>3703</w:t>
            </w:r>
            <w:r>
              <w:rPr>
                <w:rFonts w:hint="default" w:ascii="Times New Roman" w:hAnsi="Times New Roman" w:cs="Times New Roman"/>
                <w:bCs/>
                <w:color w:val="auto"/>
                <w:szCs w:val="22"/>
                <w:highlight w:val="none"/>
              </w:rPr>
              <w:t>m处G1和村进行采样监测（引用点位位置图见附图</w:t>
            </w:r>
            <w:r>
              <w:rPr>
                <w:rFonts w:hint="eastAsia" w:cs="Times New Roman"/>
                <w:bCs/>
                <w:color w:val="auto"/>
                <w:szCs w:val="22"/>
                <w:highlight w:val="none"/>
                <w:lang w:val="en-US" w:eastAsia="zh-CN"/>
              </w:rPr>
              <w:t>15</w:t>
            </w:r>
            <w:r>
              <w:rPr>
                <w:rFonts w:hint="default" w:ascii="Times New Roman" w:hAnsi="Times New Roman" w:cs="Times New Roman"/>
                <w:bCs/>
                <w:color w:val="auto"/>
                <w:szCs w:val="22"/>
                <w:highlight w:val="none"/>
              </w:rPr>
              <w:t>），连续监测7天。本项目其他污染物补充监测点位基本信息见表3-2，监测结果见表3-3。。</w:t>
            </w:r>
          </w:p>
          <w:p w14:paraId="373E0FF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b/>
                <w:bCs/>
                <w:color w:val="auto"/>
                <w:sz w:val="21"/>
                <w:szCs w:val="21"/>
                <w:highlight w:val="none"/>
              </w:rPr>
            </w:pPr>
            <w:bookmarkStart w:id="42" w:name="_Toc8230"/>
            <w:bookmarkStart w:id="43" w:name="_Toc8763"/>
            <w:bookmarkStart w:id="44" w:name="_Toc6616"/>
            <w:bookmarkStart w:id="45" w:name="_Toc20439"/>
            <w:bookmarkStart w:id="46" w:name="_Toc17582"/>
            <w:r>
              <w:rPr>
                <w:rFonts w:hint="default" w:ascii="Times New Roman" w:hAnsi="Times New Roman" w:cs="Times New Roman"/>
                <w:b/>
                <w:bCs/>
                <w:color w:val="auto"/>
                <w:sz w:val="21"/>
                <w:szCs w:val="21"/>
                <w:highlight w:val="none"/>
                <w:lang w:val="en-GB"/>
              </w:rPr>
              <w:t>表</w:t>
            </w:r>
            <w:r>
              <w:rPr>
                <w:rFonts w:hint="default" w:ascii="Times New Roman" w:hAnsi="Times New Roman" w:cs="Times New Roman"/>
                <w:b/>
                <w:bCs/>
                <w:color w:val="auto"/>
                <w:sz w:val="21"/>
                <w:szCs w:val="21"/>
                <w:highlight w:val="none"/>
              </w:rPr>
              <w:t>3-2其他污染物补充监测点位基本信息</w:t>
            </w:r>
            <w:bookmarkEnd w:id="42"/>
            <w:bookmarkEnd w:id="43"/>
            <w:bookmarkEnd w:id="44"/>
            <w:bookmarkEnd w:id="45"/>
            <w:bookmarkEnd w:id="46"/>
          </w:p>
          <w:tbl>
            <w:tblPr>
              <w:tblStyle w:val="44"/>
              <w:tblW w:w="4993" w:type="pct"/>
              <w:tblInd w:w="-23"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1090"/>
              <w:gridCol w:w="1064"/>
              <w:gridCol w:w="903"/>
              <w:gridCol w:w="1079"/>
              <w:gridCol w:w="1757"/>
              <w:gridCol w:w="965"/>
              <w:gridCol w:w="1044"/>
            </w:tblGrid>
            <w:tr w14:paraId="750716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97" w:hRule="atLeast"/>
              </w:trPr>
              <w:tc>
                <w:tcPr>
                  <w:tcW w:w="690" w:type="pct"/>
                  <w:vMerge w:val="restart"/>
                  <w:tcBorders>
                    <w:tl2br w:val="nil"/>
                    <w:tr2bl w:val="nil"/>
                  </w:tcBorders>
                  <w:vAlign w:val="center"/>
                </w:tcPr>
                <w:p w14:paraId="5CD12B1B">
                  <w:pPr>
                    <w:pStyle w:val="115"/>
                    <w:pageBreakBefore w:val="0"/>
                    <w:wordWrap w:val="0"/>
                    <w:bidi w:val="0"/>
                    <w:spacing w:line="240" w:lineRule="auto"/>
                    <w:jc w:val="center"/>
                    <w:rPr>
                      <w:rFonts w:hint="default" w:ascii="Times New Roman" w:hAnsi="Times New Roman" w:cs="Times New Roman"/>
                      <w:b/>
                      <w:bCs/>
                      <w:color w:val="auto"/>
                      <w:kern w:val="2"/>
                      <w:sz w:val="21"/>
                      <w:szCs w:val="21"/>
                      <w:lang w:eastAsia="zh-CN" w:bidi="zh-CN"/>
                    </w:rPr>
                  </w:pPr>
                  <w:bookmarkStart w:id="47" w:name="_Toc21186"/>
                  <w:bookmarkStart w:id="48" w:name="_Toc698"/>
                  <w:bookmarkStart w:id="49" w:name="_Toc21557"/>
                  <w:bookmarkStart w:id="50" w:name="_Toc14154"/>
                  <w:bookmarkStart w:id="51" w:name="_Toc4447"/>
                  <w:r>
                    <w:rPr>
                      <w:rFonts w:hint="default" w:ascii="Times New Roman" w:hAnsi="Times New Roman" w:cs="Times New Roman"/>
                      <w:b/>
                      <w:bCs/>
                      <w:color w:val="auto"/>
                      <w:kern w:val="2"/>
                      <w:sz w:val="21"/>
                      <w:szCs w:val="21"/>
                      <w:lang w:eastAsia="zh-CN" w:bidi="zh-CN"/>
                    </w:rPr>
                    <w:t>监测点名称</w:t>
                  </w:r>
                </w:p>
              </w:tc>
              <w:tc>
                <w:tcPr>
                  <w:tcW w:w="1244" w:type="pct"/>
                  <w:gridSpan w:val="2"/>
                  <w:tcBorders>
                    <w:tl2br w:val="nil"/>
                    <w:tr2bl w:val="nil"/>
                  </w:tcBorders>
                  <w:vAlign w:val="center"/>
                </w:tcPr>
                <w:p w14:paraId="640C9F47">
                  <w:pPr>
                    <w:pStyle w:val="115"/>
                    <w:pageBreakBefore w:val="0"/>
                    <w:wordWrap w:val="0"/>
                    <w:bidi w:val="0"/>
                    <w:spacing w:line="240" w:lineRule="auto"/>
                    <w:jc w:val="center"/>
                    <w:rPr>
                      <w:rFonts w:hint="default" w:ascii="Times New Roman" w:hAnsi="Times New Roman" w:cs="Times New Roman"/>
                      <w:b/>
                      <w:bCs/>
                      <w:color w:val="auto"/>
                      <w:kern w:val="2"/>
                      <w:sz w:val="21"/>
                      <w:szCs w:val="21"/>
                      <w:lang w:val="en-US" w:eastAsia="zh-CN" w:bidi="zh-CN"/>
                    </w:rPr>
                  </w:pPr>
                  <w:r>
                    <w:rPr>
                      <w:rFonts w:hint="default" w:ascii="Times New Roman" w:hAnsi="Times New Roman" w:cs="Times New Roman"/>
                      <w:b/>
                      <w:bCs/>
                      <w:color w:val="auto"/>
                      <w:kern w:val="2"/>
                      <w:sz w:val="21"/>
                      <w:szCs w:val="21"/>
                      <w:lang w:eastAsia="zh-CN" w:bidi="zh-CN"/>
                    </w:rPr>
                    <w:t>监测点坐标</w:t>
                  </w:r>
                  <w:r>
                    <w:rPr>
                      <w:rFonts w:hint="eastAsia" w:ascii="Times New Roman" w:hAnsi="Times New Roman" w:cs="Times New Roman"/>
                      <w:b/>
                      <w:bCs/>
                      <w:color w:val="auto"/>
                      <w:kern w:val="2"/>
                      <w:sz w:val="21"/>
                      <w:szCs w:val="21"/>
                      <w:lang w:val="en-US" w:eastAsia="zh-CN" w:bidi="zh-CN"/>
                    </w:rPr>
                    <w:t>/m</w:t>
                  </w:r>
                </w:p>
              </w:tc>
              <w:tc>
                <w:tcPr>
                  <w:tcW w:w="682" w:type="pct"/>
                  <w:vMerge w:val="restart"/>
                  <w:tcBorders>
                    <w:tl2br w:val="nil"/>
                    <w:tr2bl w:val="nil"/>
                  </w:tcBorders>
                  <w:vAlign w:val="center"/>
                </w:tcPr>
                <w:p w14:paraId="349688C2">
                  <w:pPr>
                    <w:pStyle w:val="115"/>
                    <w:pageBreakBefore w:val="0"/>
                    <w:wordWrap w:val="0"/>
                    <w:bidi w:val="0"/>
                    <w:spacing w:line="240" w:lineRule="auto"/>
                    <w:jc w:val="center"/>
                    <w:rPr>
                      <w:rFonts w:hint="default" w:ascii="Times New Roman" w:hAnsi="Times New Roman" w:cs="Times New Roman"/>
                      <w:b/>
                      <w:bCs/>
                      <w:color w:val="auto"/>
                      <w:kern w:val="2"/>
                      <w:sz w:val="21"/>
                      <w:szCs w:val="21"/>
                      <w:lang w:eastAsia="zh-CN" w:bidi="zh-CN"/>
                    </w:rPr>
                  </w:pPr>
                  <w:r>
                    <w:rPr>
                      <w:rFonts w:hint="default" w:ascii="Times New Roman" w:hAnsi="Times New Roman" w:cs="Times New Roman"/>
                      <w:b/>
                      <w:bCs/>
                      <w:color w:val="auto"/>
                      <w:kern w:val="2"/>
                      <w:sz w:val="21"/>
                      <w:szCs w:val="21"/>
                      <w:lang w:eastAsia="zh-CN" w:bidi="zh-CN"/>
                    </w:rPr>
                    <w:t>监测因子</w:t>
                  </w:r>
                </w:p>
              </w:tc>
              <w:tc>
                <w:tcPr>
                  <w:tcW w:w="1111" w:type="pct"/>
                  <w:vMerge w:val="restart"/>
                  <w:tcBorders>
                    <w:tl2br w:val="nil"/>
                    <w:tr2bl w:val="nil"/>
                  </w:tcBorders>
                  <w:vAlign w:val="center"/>
                </w:tcPr>
                <w:p w14:paraId="7D2EE7E0">
                  <w:pPr>
                    <w:pStyle w:val="115"/>
                    <w:pageBreakBefore w:val="0"/>
                    <w:wordWrap w:val="0"/>
                    <w:bidi w:val="0"/>
                    <w:spacing w:line="240" w:lineRule="auto"/>
                    <w:jc w:val="center"/>
                    <w:rPr>
                      <w:rFonts w:hint="default" w:ascii="Times New Roman" w:hAnsi="Times New Roman" w:cs="Times New Roman"/>
                      <w:b/>
                      <w:bCs/>
                      <w:color w:val="auto"/>
                      <w:kern w:val="2"/>
                      <w:sz w:val="21"/>
                      <w:szCs w:val="21"/>
                      <w:lang w:eastAsia="zh-CN" w:bidi="zh-CN"/>
                    </w:rPr>
                  </w:pPr>
                  <w:r>
                    <w:rPr>
                      <w:rFonts w:hint="default" w:ascii="Times New Roman" w:hAnsi="Times New Roman" w:cs="Times New Roman"/>
                      <w:b/>
                      <w:bCs/>
                      <w:color w:val="auto"/>
                      <w:kern w:val="2"/>
                      <w:sz w:val="21"/>
                      <w:szCs w:val="21"/>
                      <w:lang w:eastAsia="zh-CN" w:bidi="zh-CN"/>
                    </w:rPr>
                    <w:t>监测时段</w:t>
                  </w:r>
                </w:p>
              </w:tc>
              <w:tc>
                <w:tcPr>
                  <w:tcW w:w="610" w:type="pct"/>
                  <w:vMerge w:val="restart"/>
                  <w:tcBorders>
                    <w:tl2br w:val="nil"/>
                    <w:tr2bl w:val="nil"/>
                  </w:tcBorders>
                  <w:vAlign w:val="center"/>
                </w:tcPr>
                <w:p w14:paraId="14F4AB70">
                  <w:pPr>
                    <w:pStyle w:val="115"/>
                    <w:pageBreakBefore w:val="0"/>
                    <w:wordWrap w:val="0"/>
                    <w:bidi w:val="0"/>
                    <w:spacing w:line="240" w:lineRule="auto"/>
                    <w:jc w:val="center"/>
                    <w:rPr>
                      <w:rFonts w:hint="default" w:ascii="Times New Roman" w:hAnsi="Times New Roman" w:cs="Times New Roman"/>
                      <w:b/>
                      <w:bCs/>
                      <w:color w:val="auto"/>
                      <w:kern w:val="2"/>
                      <w:sz w:val="21"/>
                      <w:szCs w:val="21"/>
                      <w:lang w:eastAsia="zh-CN" w:bidi="zh-CN"/>
                    </w:rPr>
                  </w:pPr>
                  <w:r>
                    <w:rPr>
                      <w:rFonts w:hint="default" w:ascii="Times New Roman" w:hAnsi="Times New Roman" w:cs="Times New Roman"/>
                      <w:b/>
                      <w:bCs/>
                      <w:color w:val="auto"/>
                      <w:kern w:val="2"/>
                      <w:sz w:val="21"/>
                      <w:szCs w:val="21"/>
                      <w:lang w:eastAsia="zh-CN" w:bidi="zh-CN"/>
                    </w:rPr>
                    <w:t>相对厂址方位</w:t>
                  </w:r>
                </w:p>
              </w:tc>
              <w:tc>
                <w:tcPr>
                  <w:tcW w:w="660" w:type="pct"/>
                  <w:vMerge w:val="restart"/>
                  <w:tcBorders>
                    <w:tl2br w:val="nil"/>
                    <w:tr2bl w:val="nil"/>
                  </w:tcBorders>
                  <w:vAlign w:val="center"/>
                </w:tcPr>
                <w:p w14:paraId="4FDD741E">
                  <w:pPr>
                    <w:pStyle w:val="115"/>
                    <w:pageBreakBefore w:val="0"/>
                    <w:wordWrap w:val="0"/>
                    <w:bidi w:val="0"/>
                    <w:spacing w:line="240" w:lineRule="auto"/>
                    <w:jc w:val="center"/>
                    <w:rPr>
                      <w:rFonts w:hint="default" w:ascii="Times New Roman" w:hAnsi="Times New Roman" w:cs="Times New Roman"/>
                      <w:b/>
                      <w:bCs/>
                      <w:color w:val="auto"/>
                      <w:kern w:val="2"/>
                      <w:sz w:val="21"/>
                      <w:szCs w:val="21"/>
                      <w:lang w:eastAsia="zh-CN" w:bidi="zh-CN"/>
                    </w:rPr>
                  </w:pPr>
                  <w:r>
                    <w:rPr>
                      <w:rFonts w:hint="default" w:ascii="Times New Roman" w:hAnsi="Times New Roman" w:cs="Times New Roman"/>
                      <w:b/>
                      <w:bCs/>
                      <w:color w:val="auto"/>
                      <w:kern w:val="2"/>
                      <w:sz w:val="21"/>
                      <w:szCs w:val="21"/>
                      <w:lang w:eastAsia="zh-CN" w:bidi="zh-CN"/>
                    </w:rPr>
                    <w:t>相对厂界距离/m</w:t>
                  </w:r>
                </w:p>
              </w:tc>
            </w:tr>
            <w:tr w14:paraId="1D807C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97" w:hRule="atLeast"/>
              </w:trPr>
              <w:tc>
                <w:tcPr>
                  <w:tcW w:w="690" w:type="pct"/>
                  <w:vMerge w:val="continue"/>
                  <w:tcBorders>
                    <w:tl2br w:val="nil"/>
                    <w:tr2bl w:val="nil"/>
                  </w:tcBorders>
                  <w:vAlign w:val="center"/>
                </w:tcPr>
                <w:p w14:paraId="66244F79">
                  <w:pPr>
                    <w:pStyle w:val="115"/>
                    <w:pageBreakBefore w:val="0"/>
                    <w:wordWrap w:val="0"/>
                    <w:bidi w:val="0"/>
                    <w:spacing w:line="240" w:lineRule="auto"/>
                    <w:jc w:val="center"/>
                    <w:rPr>
                      <w:rFonts w:hint="default" w:ascii="Times New Roman" w:hAnsi="Times New Roman" w:cs="Times New Roman"/>
                      <w:b/>
                      <w:bCs/>
                      <w:color w:val="auto"/>
                      <w:kern w:val="2"/>
                      <w:sz w:val="21"/>
                      <w:szCs w:val="21"/>
                      <w:lang w:eastAsia="zh-CN" w:bidi="zh-CN"/>
                    </w:rPr>
                  </w:pPr>
                </w:p>
              </w:tc>
              <w:tc>
                <w:tcPr>
                  <w:tcW w:w="673" w:type="pct"/>
                  <w:tcBorders>
                    <w:tl2br w:val="nil"/>
                    <w:tr2bl w:val="nil"/>
                  </w:tcBorders>
                  <w:vAlign w:val="center"/>
                </w:tcPr>
                <w:p w14:paraId="212B4A1C">
                  <w:pPr>
                    <w:pStyle w:val="115"/>
                    <w:pageBreakBefore w:val="0"/>
                    <w:wordWrap w:val="0"/>
                    <w:bidi w:val="0"/>
                    <w:spacing w:line="240" w:lineRule="auto"/>
                    <w:jc w:val="center"/>
                    <w:rPr>
                      <w:rFonts w:hint="default" w:ascii="Times New Roman" w:hAnsi="Times New Roman" w:cs="Times New Roman"/>
                      <w:b/>
                      <w:bCs/>
                      <w:color w:val="auto"/>
                      <w:kern w:val="2"/>
                      <w:sz w:val="21"/>
                      <w:szCs w:val="21"/>
                      <w:lang w:val="en-US" w:eastAsia="zh-CN" w:bidi="zh-CN"/>
                    </w:rPr>
                  </w:pPr>
                  <w:r>
                    <w:rPr>
                      <w:rFonts w:hint="eastAsia" w:ascii="Times New Roman" w:hAnsi="Times New Roman" w:cs="Times New Roman"/>
                      <w:b/>
                      <w:bCs/>
                      <w:color w:val="auto"/>
                      <w:kern w:val="2"/>
                      <w:sz w:val="21"/>
                      <w:szCs w:val="21"/>
                      <w:lang w:val="en-US" w:eastAsia="zh-CN" w:bidi="zh-CN"/>
                    </w:rPr>
                    <w:t>X</w:t>
                  </w:r>
                </w:p>
              </w:tc>
              <w:tc>
                <w:tcPr>
                  <w:tcW w:w="571" w:type="pct"/>
                  <w:tcBorders>
                    <w:tl2br w:val="nil"/>
                    <w:tr2bl w:val="nil"/>
                  </w:tcBorders>
                  <w:vAlign w:val="center"/>
                </w:tcPr>
                <w:p w14:paraId="105C5422">
                  <w:pPr>
                    <w:pStyle w:val="115"/>
                    <w:pageBreakBefore w:val="0"/>
                    <w:wordWrap w:val="0"/>
                    <w:bidi w:val="0"/>
                    <w:spacing w:line="240" w:lineRule="auto"/>
                    <w:jc w:val="center"/>
                    <w:rPr>
                      <w:rFonts w:hint="default" w:ascii="Times New Roman" w:hAnsi="Times New Roman" w:cs="Times New Roman"/>
                      <w:b/>
                      <w:bCs/>
                      <w:color w:val="auto"/>
                      <w:kern w:val="2"/>
                      <w:sz w:val="21"/>
                      <w:szCs w:val="21"/>
                      <w:lang w:eastAsia="zh-CN" w:bidi="zh-CN"/>
                    </w:rPr>
                  </w:pPr>
                  <w:r>
                    <w:rPr>
                      <w:rFonts w:hint="eastAsia" w:ascii="Times New Roman" w:hAnsi="Times New Roman" w:cs="Times New Roman"/>
                      <w:b/>
                      <w:bCs/>
                      <w:color w:val="auto"/>
                      <w:kern w:val="2"/>
                      <w:sz w:val="21"/>
                      <w:szCs w:val="21"/>
                      <w:lang w:val="en-US" w:eastAsia="zh-CN" w:bidi="zh-CN"/>
                    </w:rPr>
                    <w:t>Y</w:t>
                  </w:r>
                </w:p>
              </w:tc>
              <w:tc>
                <w:tcPr>
                  <w:tcW w:w="682" w:type="pct"/>
                  <w:vMerge w:val="continue"/>
                  <w:tcBorders>
                    <w:tl2br w:val="nil"/>
                    <w:tr2bl w:val="nil"/>
                  </w:tcBorders>
                  <w:vAlign w:val="center"/>
                </w:tcPr>
                <w:p w14:paraId="348943C9">
                  <w:pPr>
                    <w:pageBreakBefore w:val="0"/>
                    <w:wordWrap w:val="0"/>
                    <w:bidi w:val="0"/>
                    <w:spacing w:line="240" w:lineRule="auto"/>
                    <w:jc w:val="center"/>
                    <w:rPr>
                      <w:rFonts w:hint="default" w:ascii="Times New Roman" w:hAnsi="Times New Roman" w:cs="Times New Roman"/>
                      <w:color w:val="auto"/>
                      <w:sz w:val="21"/>
                      <w:szCs w:val="21"/>
                    </w:rPr>
                  </w:pPr>
                </w:p>
              </w:tc>
              <w:tc>
                <w:tcPr>
                  <w:tcW w:w="1111" w:type="pct"/>
                  <w:vMerge w:val="continue"/>
                  <w:tcBorders>
                    <w:tl2br w:val="nil"/>
                    <w:tr2bl w:val="nil"/>
                  </w:tcBorders>
                  <w:vAlign w:val="center"/>
                </w:tcPr>
                <w:p w14:paraId="737BC65F">
                  <w:pPr>
                    <w:pageBreakBefore w:val="0"/>
                    <w:wordWrap w:val="0"/>
                    <w:bidi w:val="0"/>
                    <w:spacing w:line="240" w:lineRule="auto"/>
                    <w:jc w:val="center"/>
                    <w:rPr>
                      <w:rFonts w:hint="default" w:ascii="Times New Roman" w:hAnsi="Times New Roman" w:cs="Times New Roman"/>
                      <w:color w:val="auto"/>
                      <w:sz w:val="21"/>
                      <w:szCs w:val="21"/>
                    </w:rPr>
                  </w:pPr>
                </w:p>
              </w:tc>
              <w:tc>
                <w:tcPr>
                  <w:tcW w:w="610" w:type="pct"/>
                  <w:vMerge w:val="continue"/>
                  <w:tcBorders>
                    <w:tl2br w:val="nil"/>
                    <w:tr2bl w:val="nil"/>
                  </w:tcBorders>
                  <w:vAlign w:val="center"/>
                </w:tcPr>
                <w:p w14:paraId="6D9C3EAE">
                  <w:pPr>
                    <w:pageBreakBefore w:val="0"/>
                    <w:wordWrap w:val="0"/>
                    <w:bidi w:val="0"/>
                    <w:spacing w:line="240" w:lineRule="auto"/>
                    <w:jc w:val="center"/>
                    <w:rPr>
                      <w:rFonts w:hint="default" w:ascii="Times New Roman" w:hAnsi="Times New Roman" w:cs="Times New Roman"/>
                      <w:color w:val="auto"/>
                      <w:sz w:val="21"/>
                      <w:szCs w:val="21"/>
                    </w:rPr>
                  </w:pPr>
                </w:p>
              </w:tc>
              <w:tc>
                <w:tcPr>
                  <w:tcW w:w="660" w:type="pct"/>
                  <w:vMerge w:val="continue"/>
                  <w:tcBorders>
                    <w:tl2br w:val="nil"/>
                    <w:tr2bl w:val="nil"/>
                  </w:tcBorders>
                  <w:vAlign w:val="center"/>
                </w:tcPr>
                <w:p w14:paraId="6F8A54E2">
                  <w:pPr>
                    <w:pageBreakBefore w:val="0"/>
                    <w:wordWrap w:val="0"/>
                    <w:bidi w:val="0"/>
                    <w:spacing w:line="240" w:lineRule="auto"/>
                    <w:jc w:val="center"/>
                    <w:rPr>
                      <w:rFonts w:hint="default" w:ascii="Times New Roman" w:hAnsi="Times New Roman" w:cs="Times New Roman"/>
                      <w:color w:val="auto"/>
                      <w:sz w:val="21"/>
                      <w:szCs w:val="21"/>
                    </w:rPr>
                  </w:pPr>
                </w:p>
              </w:tc>
            </w:tr>
            <w:tr w14:paraId="544D5E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97" w:hRule="atLeast"/>
              </w:trPr>
              <w:tc>
                <w:tcPr>
                  <w:tcW w:w="690" w:type="pct"/>
                  <w:tcBorders>
                    <w:tl2br w:val="nil"/>
                    <w:tr2bl w:val="nil"/>
                  </w:tcBorders>
                  <w:vAlign w:val="center"/>
                </w:tcPr>
                <w:p w14:paraId="04F98911">
                  <w:pPr>
                    <w:pStyle w:val="2"/>
                    <w:keepNext w:val="0"/>
                    <w:keepLines w:val="0"/>
                    <w:pageBreakBefore w:val="0"/>
                    <w:widowControl w:val="0"/>
                    <w:suppressLineNumbers w:val="0"/>
                    <w:kinsoku/>
                    <w:wordWrap w:val="0"/>
                    <w:overflowPunct/>
                    <w:topLinePunct w:val="0"/>
                    <w:autoSpaceDE w:val="0"/>
                    <w:autoSpaceDN w:val="0"/>
                    <w:bidi w:val="0"/>
                    <w:adjustRightInd w:val="0"/>
                    <w:snapToGrid/>
                    <w:spacing w:before="0" w:beforeAutospacing="0" w:after="0" w:afterAutospacing="0" w:line="276" w:lineRule="auto"/>
                    <w:ind w:left="0" w:leftChars="0" w:right="0" w:rightChars="0"/>
                    <w:jc w:val="center"/>
                    <w:textAlignment w:val="auto"/>
                    <w:outlineLvl w:val="9"/>
                    <w:rPr>
                      <w:rFonts w:hint="eastAsia" w:ascii="Times New Roman" w:hAnsi="Times New Roman" w:eastAsia="宋体....." w:cs="Times New Roman"/>
                      <w:color w:val="auto"/>
                      <w:kern w:val="2"/>
                      <w:sz w:val="21"/>
                      <w:szCs w:val="21"/>
                      <w:lang w:eastAsia="zh-CN" w:bidi="zh-CN"/>
                    </w:rPr>
                  </w:pPr>
                  <w:r>
                    <w:rPr>
                      <w:rFonts w:hint="default" w:ascii="Times New Roman" w:hAnsi="Times New Roman" w:cs="Times New Roman"/>
                      <w:color w:val="auto"/>
                      <w:sz w:val="21"/>
                      <w:szCs w:val="21"/>
                      <w:highlight w:val="none"/>
                    </w:rPr>
                    <w:t>G1</w:t>
                  </w:r>
                  <w:r>
                    <w:rPr>
                      <w:rFonts w:hint="eastAsia" w:ascii="Times New Roman" w:hAnsi="Times New Roman" w:cs="Times New Roman"/>
                      <w:color w:val="auto"/>
                      <w:sz w:val="21"/>
                      <w:szCs w:val="21"/>
                      <w:highlight w:val="none"/>
                      <w:lang w:val="en-US" w:eastAsia="zh-CN"/>
                    </w:rPr>
                    <w:t>和村</w:t>
                  </w:r>
                </w:p>
              </w:tc>
              <w:tc>
                <w:tcPr>
                  <w:tcW w:w="673" w:type="pct"/>
                  <w:tcBorders>
                    <w:tl2br w:val="nil"/>
                    <w:tr2bl w:val="nil"/>
                  </w:tcBorders>
                  <w:vAlign w:val="center"/>
                </w:tcPr>
                <w:p w14:paraId="083C77A0">
                  <w:pPr>
                    <w:pStyle w:val="2"/>
                    <w:keepNext w:val="0"/>
                    <w:keepLines w:val="0"/>
                    <w:pageBreakBefore w:val="0"/>
                    <w:widowControl w:val="0"/>
                    <w:suppressLineNumbers w:val="0"/>
                    <w:kinsoku/>
                    <w:wordWrap w:val="0"/>
                    <w:overflowPunct/>
                    <w:topLinePunct w:val="0"/>
                    <w:autoSpaceDE w:val="0"/>
                    <w:autoSpaceDN w:val="0"/>
                    <w:bidi w:val="0"/>
                    <w:adjustRightInd w:val="0"/>
                    <w:snapToGrid/>
                    <w:spacing w:before="0" w:beforeAutospacing="0" w:after="0" w:afterAutospacing="0" w:line="276" w:lineRule="auto"/>
                    <w:ind w:left="0" w:leftChars="0" w:right="0" w:rightChars="0"/>
                    <w:jc w:val="center"/>
                    <w:textAlignment w:val="auto"/>
                    <w:outlineLvl w:val="9"/>
                    <w:rPr>
                      <w:rFonts w:hint="default" w:ascii="Times New Roman" w:hAnsi="Times New Roman" w:cs="Times New Roman"/>
                      <w:color w:val="auto"/>
                      <w:kern w:val="2"/>
                      <w:sz w:val="21"/>
                      <w:szCs w:val="21"/>
                      <w:lang w:val="en-US" w:eastAsia="zh-CN" w:bidi="zh-CN"/>
                    </w:rPr>
                  </w:pPr>
                  <w:r>
                    <w:rPr>
                      <w:rFonts w:hint="eastAsia" w:ascii="Times New Roman" w:cs="Times New Roman"/>
                      <w:color w:val="auto"/>
                      <w:kern w:val="2"/>
                      <w:sz w:val="21"/>
                      <w:szCs w:val="21"/>
                      <w:lang w:val="en-US" w:eastAsia="zh-CN" w:bidi="zh-CN"/>
                    </w:rPr>
                    <w:t>-370.343</w:t>
                  </w:r>
                </w:p>
              </w:tc>
              <w:tc>
                <w:tcPr>
                  <w:tcW w:w="571" w:type="pct"/>
                  <w:tcBorders>
                    <w:tl2br w:val="nil"/>
                    <w:tr2bl w:val="nil"/>
                  </w:tcBorders>
                  <w:vAlign w:val="center"/>
                </w:tcPr>
                <w:p w14:paraId="7B20D652">
                  <w:pPr>
                    <w:pStyle w:val="2"/>
                    <w:keepNext w:val="0"/>
                    <w:keepLines w:val="0"/>
                    <w:pageBreakBefore w:val="0"/>
                    <w:widowControl w:val="0"/>
                    <w:suppressLineNumbers w:val="0"/>
                    <w:kinsoku/>
                    <w:wordWrap w:val="0"/>
                    <w:overflowPunct/>
                    <w:topLinePunct w:val="0"/>
                    <w:autoSpaceDE w:val="0"/>
                    <w:autoSpaceDN w:val="0"/>
                    <w:bidi w:val="0"/>
                    <w:adjustRightInd w:val="0"/>
                    <w:snapToGrid/>
                    <w:spacing w:before="0" w:beforeAutospacing="0" w:after="0" w:afterAutospacing="0" w:line="276" w:lineRule="auto"/>
                    <w:ind w:left="0" w:leftChars="0" w:right="0" w:rightChars="0"/>
                    <w:jc w:val="center"/>
                    <w:textAlignment w:val="auto"/>
                    <w:outlineLvl w:val="9"/>
                    <w:rPr>
                      <w:rFonts w:hint="default" w:ascii="Times New Roman" w:hAnsi="Times New Roman" w:cs="Times New Roman"/>
                      <w:color w:val="auto"/>
                      <w:kern w:val="2"/>
                      <w:sz w:val="21"/>
                      <w:szCs w:val="21"/>
                      <w:lang w:val="en-US" w:eastAsia="zh-CN" w:bidi="zh-CN"/>
                    </w:rPr>
                  </w:pPr>
                  <w:r>
                    <w:rPr>
                      <w:rFonts w:hint="eastAsia" w:ascii="Times New Roman" w:cs="Times New Roman"/>
                      <w:color w:val="auto"/>
                      <w:kern w:val="2"/>
                      <w:sz w:val="21"/>
                      <w:szCs w:val="21"/>
                      <w:lang w:val="en-US" w:eastAsia="zh-CN" w:bidi="zh-CN"/>
                    </w:rPr>
                    <w:t>-2420.538</w:t>
                  </w:r>
                </w:p>
              </w:tc>
              <w:tc>
                <w:tcPr>
                  <w:tcW w:w="682" w:type="pct"/>
                  <w:tcBorders>
                    <w:tl2br w:val="nil"/>
                    <w:tr2bl w:val="nil"/>
                  </w:tcBorders>
                  <w:vAlign w:val="center"/>
                </w:tcPr>
                <w:p w14:paraId="032008BC">
                  <w:pPr>
                    <w:pStyle w:val="2"/>
                    <w:keepNext w:val="0"/>
                    <w:keepLines w:val="0"/>
                    <w:pageBreakBefore w:val="0"/>
                    <w:widowControl w:val="0"/>
                    <w:suppressLineNumbers w:val="0"/>
                    <w:kinsoku/>
                    <w:wordWrap w:val="0"/>
                    <w:overflowPunct/>
                    <w:topLinePunct w:val="0"/>
                    <w:autoSpaceDE w:val="0"/>
                    <w:autoSpaceDN w:val="0"/>
                    <w:bidi w:val="0"/>
                    <w:adjustRightInd w:val="0"/>
                    <w:snapToGrid/>
                    <w:spacing w:before="0" w:beforeAutospacing="0" w:after="0" w:afterAutospacing="0" w:line="276" w:lineRule="auto"/>
                    <w:ind w:left="0" w:leftChars="0" w:right="0" w:rightChars="0"/>
                    <w:jc w:val="center"/>
                    <w:textAlignment w:val="auto"/>
                    <w:outlineLvl w:val="9"/>
                    <w:rPr>
                      <w:rFonts w:hint="default" w:ascii="Times New Roman" w:hAnsi="Times New Roman" w:cs="Times New Roman"/>
                      <w:color w:val="auto"/>
                      <w:kern w:val="2"/>
                      <w:sz w:val="21"/>
                      <w:szCs w:val="21"/>
                      <w:lang w:eastAsia="zh-CN" w:bidi="zh-CN"/>
                    </w:rPr>
                  </w:pPr>
                  <w:r>
                    <w:rPr>
                      <w:rFonts w:hint="default" w:ascii="Times New Roman" w:hAnsi="Times New Roman" w:cs="Times New Roman"/>
                      <w:color w:val="auto"/>
                      <w:sz w:val="21"/>
                      <w:szCs w:val="21"/>
                      <w:highlight w:val="none"/>
                    </w:rPr>
                    <w:t>TSP</w:t>
                  </w:r>
                </w:p>
              </w:tc>
              <w:tc>
                <w:tcPr>
                  <w:tcW w:w="1111" w:type="pct"/>
                  <w:tcBorders>
                    <w:tl2br w:val="nil"/>
                    <w:tr2bl w:val="nil"/>
                  </w:tcBorders>
                  <w:vAlign w:val="center"/>
                </w:tcPr>
                <w:p w14:paraId="24EAC5D2">
                  <w:pPr>
                    <w:pStyle w:val="2"/>
                    <w:keepNext w:val="0"/>
                    <w:keepLines w:val="0"/>
                    <w:pageBreakBefore w:val="0"/>
                    <w:widowControl w:val="0"/>
                    <w:suppressLineNumbers w:val="0"/>
                    <w:kinsoku/>
                    <w:wordWrap w:val="0"/>
                    <w:overflowPunct/>
                    <w:topLinePunct w:val="0"/>
                    <w:autoSpaceDE w:val="0"/>
                    <w:autoSpaceDN w:val="0"/>
                    <w:bidi w:val="0"/>
                    <w:adjustRightInd w:val="0"/>
                    <w:snapToGrid/>
                    <w:spacing w:before="0" w:beforeAutospacing="0" w:after="0" w:afterAutospacing="0" w:line="276" w:lineRule="auto"/>
                    <w:ind w:left="0" w:leftChars="0" w:right="0" w:rightChars="0"/>
                    <w:jc w:val="center"/>
                    <w:textAlignment w:val="auto"/>
                    <w:outlineLvl w:val="9"/>
                    <w:rPr>
                      <w:rFonts w:hint="default" w:ascii="Times New Roman" w:hAnsi="Times New Roman" w:cs="Times New Roman"/>
                      <w:color w:val="auto"/>
                      <w:kern w:val="2"/>
                      <w:sz w:val="21"/>
                      <w:szCs w:val="21"/>
                      <w:lang w:val="en-US" w:eastAsia="zh-CN" w:bidi="zh-CN"/>
                    </w:rPr>
                  </w:pPr>
                  <w:r>
                    <w:rPr>
                      <w:rFonts w:hint="default" w:ascii="Times New Roman" w:hAnsi="Times New Roman" w:cs="Times New Roman"/>
                      <w:bCs/>
                      <w:color w:val="auto"/>
                      <w:sz w:val="21"/>
                      <w:szCs w:val="21"/>
                      <w:highlight w:val="none"/>
                    </w:rPr>
                    <w:t>202</w:t>
                  </w:r>
                  <w:r>
                    <w:rPr>
                      <w:rFonts w:hint="eastAsia" w:ascii="Times New Roman" w:hAnsi="Times New Roman" w:cs="Times New Roman"/>
                      <w:bCs/>
                      <w:color w:val="auto"/>
                      <w:sz w:val="21"/>
                      <w:szCs w:val="21"/>
                      <w:highlight w:val="none"/>
                      <w:lang w:val="en-US" w:eastAsia="zh-CN"/>
                    </w:rPr>
                    <w:t>3</w:t>
                  </w:r>
                  <w:r>
                    <w:rPr>
                      <w:rFonts w:hint="default" w:ascii="Times New Roman" w:hAnsi="Times New Roman" w:cs="Times New Roman"/>
                      <w:bCs/>
                      <w:color w:val="auto"/>
                      <w:sz w:val="21"/>
                      <w:szCs w:val="21"/>
                      <w:highlight w:val="none"/>
                    </w:rPr>
                    <w:t>年12月</w:t>
                  </w:r>
                  <w:r>
                    <w:rPr>
                      <w:rFonts w:hint="eastAsia" w:ascii="Times New Roman" w:hAnsi="Times New Roman" w:cs="Times New Roman"/>
                      <w:bCs/>
                      <w:color w:val="auto"/>
                      <w:sz w:val="21"/>
                      <w:szCs w:val="21"/>
                      <w:highlight w:val="none"/>
                      <w:lang w:val="en-US" w:eastAsia="zh-CN"/>
                    </w:rPr>
                    <w:t>19</w:t>
                  </w:r>
                  <w:r>
                    <w:rPr>
                      <w:rFonts w:hint="default" w:ascii="Times New Roman" w:hAnsi="Times New Roman" w:cs="Times New Roman"/>
                      <w:bCs/>
                      <w:color w:val="auto"/>
                      <w:sz w:val="21"/>
                      <w:szCs w:val="21"/>
                      <w:highlight w:val="none"/>
                    </w:rPr>
                    <w:t>日</w:t>
                  </w:r>
                  <w:r>
                    <w:rPr>
                      <w:rFonts w:hint="default" w:ascii="Times New Roman" w:hAnsi="Times New Roman" w:cs="Times New Roman"/>
                      <w:bCs/>
                      <w:color w:val="auto"/>
                      <w:sz w:val="21"/>
                      <w:szCs w:val="21"/>
                      <w:highlight w:val="none"/>
                      <w:lang w:eastAsia="zh-CN"/>
                    </w:rPr>
                    <w:t>～</w:t>
                  </w:r>
                  <w:r>
                    <w:rPr>
                      <w:rFonts w:hint="default" w:ascii="Times New Roman" w:hAnsi="Times New Roman" w:cs="Times New Roman"/>
                      <w:bCs/>
                      <w:color w:val="auto"/>
                      <w:sz w:val="21"/>
                      <w:szCs w:val="21"/>
                      <w:highlight w:val="none"/>
                    </w:rPr>
                    <w:t>202</w:t>
                  </w:r>
                  <w:r>
                    <w:rPr>
                      <w:rFonts w:hint="eastAsia" w:ascii="Times New Roman" w:hAnsi="Times New Roman" w:cs="Times New Roman"/>
                      <w:bCs/>
                      <w:color w:val="auto"/>
                      <w:sz w:val="21"/>
                      <w:szCs w:val="21"/>
                      <w:highlight w:val="none"/>
                      <w:lang w:val="en-US" w:eastAsia="zh-CN"/>
                    </w:rPr>
                    <w:t>3</w:t>
                  </w:r>
                  <w:r>
                    <w:rPr>
                      <w:rFonts w:hint="default" w:ascii="Times New Roman" w:hAnsi="Times New Roman" w:cs="Times New Roman"/>
                      <w:bCs/>
                      <w:color w:val="auto"/>
                      <w:sz w:val="21"/>
                      <w:szCs w:val="21"/>
                      <w:highlight w:val="none"/>
                    </w:rPr>
                    <w:t>年12月</w:t>
                  </w:r>
                  <w:r>
                    <w:rPr>
                      <w:rFonts w:hint="eastAsia" w:ascii="Times New Roman" w:hAnsi="Times New Roman" w:cs="Times New Roman"/>
                      <w:bCs/>
                      <w:color w:val="auto"/>
                      <w:sz w:val="21"/>
                      <w:szCs w:val="21"/>
                      <w:highlight w:val="none"/>
                      <w:lang w:val="en-US" w:eastAsia="zh-CN"/>
                    </w:rPr>
                    <w:t>25</w:t>
                  </w:r>
                  <w:r>
                    <w:rPr>
                      <w:rFonts w:hint="default" w:ascii="Times New Roman" w:hAnsi="Times New Roman" w:cs="Times New Roman"/>
                      <w:bCs/>
                      <w:color w:val="auto"/>
                      <w:sz w:val="21"/>
                      <w:szCs w:val="21"/>
                      <w:highlight w:val="none"/>
                    </w:rPr>
                    <w:t>日</w:t>
                  </w:r>
                </w:p>
              </w:tc>
              <w:tc>
                <w:tcPr>
                  <w:tcW w:w="610" w:type="pct"/>
                  <w:tcBorders>
                    <w:tl2br w:val="nil"/>
                    <w:tr2bl w:val="nil"/>
                  </w:tcBorders>
                  <w:vAlign w:val="center"/>
                </w:tcPr>
                <w:p w14:paraId="2F3D989D">
                  <w:pPr>
                    <w:pStyle w:val="2"/>
                    <w:keepNext w:val="0"/>
                    <w:keepLines w:val="0"/>
                    <w:pageBreakBefore w:val="0"/>
                    <w:widowControl w:val="0"/>
                    <w:suppressLineNumbers w:val="0"/>
                    <w:kinsoku/>
                    <w:wordWrap w:val="0"/>
                    <w:overflowPunct/>
                    <w:topLinePunct w:val="0"/>
                    <w:autoSpaceDE w:val="0"/>
                    <w:autoSpaceDN w:val="0"/>
                    <w:bidi w:val="0"/>
                    <w:adjustRightInd w:val="0"/>
                    <w:snapToGrid/>
                    <w:spacing w:before="0" w:beforeAutospacing="0" w:after="0" w:afterAutospacing="0" w:line="276" w:lineRule="auto"/>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zh-CN"/>
                    </w:rPr>
                  </w:pPr>
                  <w:r>
                    <w:rPr>
                      <w:rFonts w:hint="eastAsia" w:ascii="Times New Roman" w:eastAsia="宋体....." w:cs="Times New Roman"/>
                      <w:color w:val="auto"/>
                      <w:sz w:val="21"/>
                      <w:szCs w:val="21"/>
                      <w:lang w:val="en-US" w:eastAsia="zh-CN" w:bidi="zh-CN"/>
                    </w:rPr>
                    <w:t>南面</w:t>
                  </w:r>
                </w:p>
              </w:tc>
              <w:tc>
                <w:tcPr>
                  <w:tcW w:w="660" w:type="pct"/>
                  <w:tcBorders>
                    <w:tl2br w:val="nil"/>
                    <w:tr2bl w:val="nil"/>
                  </w:tcBorders>
                  <w:vAlign w:val="center"/>
                </w:tcPr>
                <w:p w14:paraId="0C75BDB3">
                  <w:pPr>
                    <w:pStyle w:val="2"/>
                    <w:keepNext w:val="0"/>
                    <w:keepLines w:val="0"/>
                    <w:pageBreakBefore w:val="0"/>
                    <w:widowControl w:val="0"/>
                    <w:suppressLineNumbers w:val="0"/>
                    <w:kinsoku/>
                    <w:wordWrap w:val="0"/>
                    <w:overflowPunct/>
                    <w:topLinePunct w:val="0"/>
                    <w:autoSpaceDE w:val="0"/>
                    <w:autoSpaceDN w:val="0"/>
                    <w:bidi w:val="0"/>
                    <w:adjustRightInd w:val="0"/>
                    <w:snapToGrid/>
                    <w:spacing w:before="0" w:beforeAutospacing="0" w:after="0" w:afterAutospacing="0" w:line="276" w:lineRule="auto"/>
                    <w:ind w:left="0" w:leftChars="0" w:right="0" w:rightChars="0"/>
                    <w:jc w:val="center"/>
                    <w:textAlignment w:val="auto"/>
                    <w:outlineLvl w:val="9"/>
                    <w:rPr>
                      <w:rFonts w:hint="default" w:ascii="Times New Roman" w:hAnsi="Times New Roman" w:cs="Times New Roman"/>
                      <w:color w:val="auto"/>
                      <w:sz w:val="21"/>
                      <w:szCs w:val="21"/>
                      <w:lang w:val="en-US" w:bidi="zh-CN"/>
                    </w:rPr>
                  </w:pPr>
                  <w:r>
                    <w:rPr>
                      <w:rFonts w:hint="eastAsia" w:ascii="Times New Roman" w:cs="Times New Roman"/>
                      <w:color w:val="auto"/>
                      <w:sz w:val="21"/>
                      <w:szCs w:val="21"/>
                      <w:lang w:val="en-US" w:bidi="zh-CN"/>
                    </w:rPr>
                    <w:t>2439</w:t>
                  </w:r>
                </w:p>
              </w:tc>
            </w:tr>
            <w:bookmarkEnd w:id="47"/>
            <w:bookmarkEnd w:id="48"/>
            <w:bookmarkEnd w:id="49"/>
            <w:bookmarkEnd w:id="50"/>
            <w:bookmarkEnd w:id="51"/>
          </w:tbl>
          <w:p w14:paraId="451DC2F9">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bCs/>
                <w:color w:val="auto"/>
                <w:sz w:val="21"/>
                <w:szCs w:val="21"/>
                <w:highlight w:val="none"/>
                <w:lang w:val="en-GB"/>
              </w:rPr>
            </w:pPr>
            <w:bookmarkStart w:id="52" w:name="_Toc14846"/>
            <w:bookmarkStart w:id="53" w:name="_Toc13955"/>
            <w:bookmarkStart w:id="54" w:name="_Toc24683"/>
            <w:bookmarkStart w:id="55" w:name="_Toc8233"/>
            <w:bookmarkStart w:id="56" w:name="_Toc24731"/>
            <w:r>
              <w:rPr>
                <w:rFonts w:hint="default" w:ascii="Times New Roman" w:hAnsi="Times New Roman" w:eastAsia="宋体" w:cs="Times New Roman"/>
                <w:b/>
                <w:bCs/>
                <w:color w:val="auto"/>
                <w:sz w:val="21"/>
                <w:szCs w:val="21"/>
                <w:highlight w:val="none"/>
                <w:lang w:val="en-GB"/>
              </w:rPr>
              <w:t>表3-3其他污染物环境质量现状（监测结果）表</w:t>
            </w:r>
            <w:bookmarkEnd w:id="52"/>
            <w:bookmarkEnd w:id="53"/>
            <w:bookmarkEnd w:id="54"/>
            <w:bookmarkEnd w:id="55"/>
            <w:bookmarkEnd w:id="56"/>
          </w:p>
          <w:tbl>
            <w:tblPr>
              <w:tblStyle w:val="44"/>
              <w:tblW w:w="4997" w:type="pct"/>
              <w:tblInd w:w="-23"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807"/>
              <w:gridCol w:w="879"/>
              <w:gridCol w:w="895"/>
              <w:gridCol w:w="1260"/>
              <w:gridCol w:w="1566"/>
              <w:gridCol w:w="1089"/>
              <w:gridCol w:w="641"/>
              <w:gridCol w:w="771"/>
            </w:tblGrid>
            <w:tr w14:paraId="7AEEAB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97" w:hRule="atLeast"/>
              </w:trPr>
              <w:tc>
                <w:tcPr>
                  <w:tcW w:w="510" w:type="pct"/>
                  <w:tcBorders>
                    <w:tl2br w:val="nil"/>
                    <w:tr2bl w:val="nil"/>
                  </w:tcBorders>
                  <w:vAlign w:val="center"/>
                </w:tcPr>
                <w:p w14:paraId="2D17948C">
                  <w:pPr>
                    <w:pStyle w:val="115"/>
                    <w:pageBreakBefore w:val="0"/>
                    <w:wordWrap w:val="0"/>
                    <w:bidi w:val="0"/>
                    <w:spacing w:line="240" w:lineRule="auto"/>
                    <w:jc w:val="center"/>
                    <w:rPr>
                      <w:rFonts w:hint="default" w:ascii="Times New Roman" w:hAnsi="Times New Roman" w:cs="Times New Roman"/>
                      <w:b/>
                      <w:bCs/>
                      <w:color w:val="auto"/>
                      <w:kern w:val="2"/>
                      <w:sz w:val="21"/>
                      <w:szCs w:val="21"/>
                      <w:lang w:eastAsia="zh-CN" w:bidi="zh-CN"/>
                    </w:rPr>
                  </w:pPr>
                  <w:r>
                    <w:rPr>
                      <w:rFonts w:hint="default" w:ascii="Times New Roman" w:hAnsi="Times New Roman" w:cs="Times New Roman"/>
                      <w:b/>
                      <w:bCs/>
                      <w:color w:val="auto"/>
                      <w:kern w:val="2"/>
                      <w:sz w:val="21"/>
                      <w:szCs w:val="21"/>
                      <w:lang w:eastAsia="zh-CN" w:bidi="zh-CN"/>
                    </w:rPr>
                    <w:t>点位名称</w:t>
                  </w:r>
                </w:p>
              </w:tc>
              <w:tc>
                <w:tcPr>
                  <w:tcW w:w="555" w:type="pct"/>
                  <w:tcBorders>
                    <w:tl2br w:val="nil"/>
                    <w:tr2bl w:val="nil"/>
                  </w:tcBorders>
                  <w:vAlign w:val="center"/>
                </w:tcPr>
                <w:p w14:paraId="0A3455C4">
                  <w:pPr>
                    <w:pStyle w:val="115"/>
                    <w:pageBreakBefore w:val="0"/>
                    <w:wordWrap w:val="0"/>
                    <w:bidi w:val="0"/>
                    <w:spacing w:line="240" w:lineRule="auto"/>
                    <w:jc w:val="center"/>
                    <w:rPr>
                      <w:rFonts w:hint="default" w:ascii="Times New Roman" w:hAnsi="Times New Roman" w:cs="Times New Roman"/>
                      <w:b/>
                      <w:bCs/>
                      <w:color w:val="auto"/>
                      <w:kern w:val="2"/>
                      <w:sz w:val="21"/>
                      <w:szCs w:val="21"/>
                      <w:lang w:eastAsia="zh-CN" w:bidi="zh-CN"/>
                    </w:rPr>
                  </w:pPr>
                  <w:r>
                    <w:rPr>
                      <w:rFonts w:hint="default" w:ascii="Times New Roman" w:hAnsi="Times New Roman" w:cs="Times New Roman"/>
                      <w:b/>
                      <w:bCs/>
                      <w:color w:val="auto"/>
                      <w:kern w:val="2"/>
                      <w:sz w:val="21"/>
                      <w:szCs w:val="21"/>
                      <w:lang w:eastAsia="zh-CN" w:bidi="zh-CN"/>
                    </w:rPr>
                    <w:t>污染物</w:t>
                  </w:r>
                </w:p>
              </w:tc>
              <w:tc>
                <w:tcPr>
                  <w:tcW w:w="565" w:type="pct"/>
                  <w:tcBorders>
                    <w:tl2br w:val="nil"/>
                    <w:tr2bl w:val="nil"/>
                  </w:tcBorders>
                  <w:vAlign w:val="center"/>
                </w:tcPr>
                <w:p w14:paraId="3C8F3D69">
                  <w:pPr>
                    <w:pStyle w:val="115"/>
                    <w:pageBreakBefore w:val="0"/>
                    <w:wordWrap w:val="0"/>
                    <w:bidi w:val="0"/>
                    <w:spacing w:line="240" w:lineRule="auto"/>
                    <w:jc w:val="center"/>
                    <w:rPr>
                      <w:rFonts w:hint="default" w:ascii="Times New Roman" w:hAnsi="Times New Roman" w:cs="Times New Roman"/>
                      <w:b/>
                      <w:bCs/>
                      <w:color w:val="auto"/>
                      <w:kern w:val="2"/>
                      <w:sz w:val="21"/>
                      <w:szCs w:val="21"/>
                      <w:lang w:eastAsia="zh-CN" w:bidi="zh-CN"/>
                    </w:rPr>
                  </w:pPr>
                  <w:r>
                    <w:rPr>
                      <w:rFonts w:hint="default" w:ascii="Times New Roman" w:hAnsi="Times New Roman" w:cs="Times New Roman"/>
                      <w:b/>
                      <w:bCs/>
                      <w:color w:val="auto"/>
                      <w:kern w:val="2"/>
                      <w:sz w:val="21"/>
                      <w:szCs w:val="21"/>
                      <w:lang w:eastAsia="zh-CN" w:bidi="zh-CN"/>
                    </w:rPr>
                    <w:t>平均时间</w:t>
                  </w:r>
                </w:p>
              </w:tc>
              <w:tc>
                <w:tcPr>
                  <w:tcW w:w="796" w:type="pct"/>
                  <w:tcBorders>
                    <w:tl2br w:val="nil"/>
                    <w:tr2bl w:val="nil"/>
                  </w:tcBorders>
                  <w:vAlign w:val="center"/>
                </w:tcPr>
                <w:p w14:paraId="58359B90">
                  <w:pPr>
                    <w:pStyle w:val="115"/>
                    <w:pageBreakBefore w:val="0"/>
                    <w:wordWrap w:val="0"/>
                    <w:bidi w:val="0"/>
                    <w:spacing w:line="240" w:lineRule="auto"/>
                    <w:jc w:val="center"/>
                    <w:rPr>
                      <w:rFonts w:hint="default" w:ascii="Times New Roman" w:hAnsi="Times New Roman" w:cs="Times New Roman"/>
                      <w:b/>
                      <w:bCs/>
                      <w:color w:val="auto"/>
                      <w:kern w:val="2"/>
                      <w:sz w:val="21"/>
                      <w:szCs w:val="21"/>
                      <w:lang w:eastAsia="zh-CN" w:bidi="zh-CN"/>
                    </w:rPr>
                  </w:pPr>
                  <w:r>
                    <w:rPr>
                      <w:rFonts w:hint="default" w:ascii="Times New Roman" w:hAnsi="Times New Roman" w:cs="Times New Roman"/>
                      <w:b/>
                      <w:bCs/>
                      <w:color w:val="auto"/>
                      <w:kern w:val="2"/>
                      <w:sz w:val="21"/>
                      <w:szCs w:val="21"/>
                      <w:lang w:eastAsia="zh-CN" w:bidi="zh-CN"/>
                    </w:rPr>
                    <w:t>评价标准</w:t>
                  </w:r>
                </w:p>
                <w:p w14:paraId="550F5794">
                  <w:pPr>
                    <w:pStyle w:val="115"/>
                    <w:pageBreakBefore w:val="0"/>
                    <w:wordWrap w:val="0"/>
                    <w:bidi w:val="0"/>
                    <w:spacing w:line="240" w:lineRule="auto"/>
                    <w:jc w:val="center"/>
                    <w:rPr>
                      <w:rFonts w:hint="default" w:ascii="Times New Roman" w:hAnsi="Times New Roman" w:cs="Times New Roman"/>
                      <w:b/>
                      <w:bCs/>
                      <w:color w:val="auto"/>
                      <w:kern w:val="2"/>
                      <w:sz w:val="21"/>
                      <w:szCs w:val="21"/>
                      <w:lang w:eastAsia="zh-CN" w:bidi="zh-CN"/>
                    </w:rPr>
                  </w:pPr>
                  <w:r>
                    <w:rPr>
                      <w:rFonts w:hint="default" w:ascii="Times New Roman" w:hAnsi="Times New Roman" w:cs="Times New Roman"/>
                      <w:b/>
                      <w:bCs/>
                      <w:color w:val="auto"/>
                      <w:kern w:val="2"/>
                      <w:sz w:val="21"/>
                      <w:szCs w:val="21"/>
                      <w:lang w:eastAsia="zh-CN" w:bidi="zh-CN"/>
                    </w:rPr>
                    <w:t>(</w:t>
                  </w:r>
                  <w:r>
                    <w:rPr>
                      <w:rFonts w:hint="default" w:ascii="Times New Roman" w:hAnsi="Times New Roman" w:cs="Times New Roman"/>
                      <w:b/>
                      <w:bCs/>
                      <w:color w:val="auto"/>
                      <w:kern w:val="2"/>
                      <w:sz w:val="21"/>
                      <w:szCs w:val="21"/>
                      <w:lang w:val="en-US" w:eastAsia="zh-CN" w:bidi="zh-CN"/>
                    </w:rPr>
                    <w:t>μg</w:t>
                  </w:r>
                  <w:r>
                    <w:rPr>
                      <w:rFonts w:hint="default" w:ascii="Times New Roman" w:hAnsi="Times New Roman" w:cs="Times New Roman"/>
                      <w:b/>
                      <w:bCs/>
                      <w:color w:val="auto"/>
                      <w:kern w:val="2"/>
                      <w:sz w:val="21"/>
                      <w:szCs w:val="21"/>
                      <w:lang w:eastAsia="zh-CN" w:bidi="zh-CN"/>
                    </w:rPr>
                    <w:t>/m</w:t>
                  </w:r>
                  <w:r>
                    <w:rPr>
                      <w:rFonts w:hint="default" w:ascii="Times New Roman" w:hAnsi="Times New Roman" w:cs="Times New Roman"/>
                      <w:b/>
                      <w:bCs/>
                      <w:color w:val="auto"/>
                      <w:kern w:val="2"/>
                      <w:sz w:val="21"/>
                      <w:szCs w:val="21"/>
                      <w:vertAlign w:val="superscript"/>
                      <w:lang w:eastAsia="zh-CN" w:bidi="zh-CN"/>
                    </w:rPr>
                    <w:t>3)</w:t>
                  </w:r>
                </w:p>
              </w:tc>
              <w:tc>
                <w:tcPr>
                  <w:tcW w:w="989" w:type="pct"/>
                  <w:tcBorders>
                    <w:tl2br w:val="nil"/>
                    <w:tr2bl w:val="nil"/>
                  </w:tcBorders>
                  <w:vAlign w:val="center"/>
                </w:tcPr>
                <w:p w14:paraId="602A3BF2">
                  <w:pPr>
                    <w:pStyle w:val="115"/>
                    <w:pageBreakBefore w:val="0"/>
                    <w:wordWrap w:val="0"/>
                    <w:bidi w:val="0"/>
                    <w:spacing w:line="240" w:lineRule="auto"/>
                    <w:jc w:val="center"/>
                    <w:rPr>
                      <w:rFonts w:hint="default" w:ascii="Times New Roman" w:hAnsi="Times New Roman" w:cs="Times New Roman"/>
                      <w:b/>
                      <w:bCs/>
                      <w:color w:val="auto"/>
                      <w:kern w:val="2"/>
                      <w:sz w:val="21"/>
                      <w:szCs w:val="21"/>
                      <w:lang w:eastAsia="zh-CN" w:bidi="zh-CN"/>
                    </w:rPr>
                  </w:pPr>
                  <w:r>
                    <w:rPr>
                      <w:rFonts w:hint="default" w:ascii="Times New Roman" w:hAnsi="Times New Roman" w:cs="Times New Roman"/>
                      <w:b/>
                      <w:bCs/>
                      <w:color w:val="auto"/>
                      <w:kern w:val="2"/>
                      <w:sz w:val="21"/>
                      <w:szCs w:val="21"/>
                      <w:lang w:eastAsia="zh-CN" w:bidi="zh-CN"/>
                    </w:rPr>
                    <w:t>现状浓度范围</w:t>
                  </w:r>
                  <w:r>
                    <w:rPr>
                      <w:rFonts w:hint="default" w:ascii="Times New Roman" w:hAnsi="Times New Roman" w:cs="Times New Roman"/>
                      <w:b/>
                      <w:bCs/>
                      <w:color w:val="auto"/>
                      <w:kern w:val="2"/>
                      <w:sz w:val="21"/>
                      <w:szCs w:val="21"/>
                      <w:lang w:val="en-US" w:eastAsia="zh-CN" w:bidi="zh-CN"/>
                    </w:rPr>
                    <w:t>μg</w:t>
                  </w:r>
                  <w:r>
                    <w:rPr>
                      <w:rFonts w:hint="default" w:ascii="Times New Roman" w:hAnsi="Times New Roman" w:cs="Times New Roman"/>
                      <w:b/>
                      <w:bCs/>
                      <w:color w:val="auto"/>
                      <w:kern w:val="2"/>
                      <w:sz w:val="21"/>
                      <w:szCs w:val="21"/>
                      <w:lang w:eastAsia="zh-CN" w:bidi="zh-CN"/>
                    </w:rPr>
                    <w:t>/m</w:t>
                  </w:r>
                  <w:r>
                    <w:rPr>
                      <w:rFonts w:hint="default" w:ascii="Times New Roman" w:hAnsi="Times New Roman" w:cs="Times New Roman"/>
                      <w:b/>
                      <w:bCs/>
                      <w:color w:val="auto"/>
                      <w:kern w:val="2"/>
                      <w:sz w:val="21"/>
                      <w:szCs w:val="21"/>
                      <w:vertAlign w:val="superscript"/>
                      <w:lang w:eastAsia="zh-CN" w:bidi="zh-CN"/>
                    </w:rPr>
                    <w:t>3</w:t>
                  </w:r>
                </w:p>
              </w:tc>
              <w:tc>
                <w:tcPr>
                  <w:tcW w:w="688" w:type="pct"/>
                  <w:tcBorders>
                    <w:tl2br w:val="nil"/>
                    <w:tr2bl w:val="nil"/>
                  </w:tcBorders>
                  <w:vAlign w:val="center"/>
                </w:tcPr>
                <w:p w14:paraId="4A2AC7FF">
                  <w:pPr>
                    <w:pStyle w:val="115"/>
                    <w:pageBreakBefore w:val="0"/>
                    <w:wordWrap w:val="0"/>
                    <w:bidi w:val="0"/>
                    <w:spacing w:line="240" w:lineRule="auto"/>
                    <w:jc w:val="center"/>
                    <w:rPr>
                      <w:rFonts w:hint="default" w:ascii="Times New Roman" w:hAnsi="Times New Roman" w:cs="Times New Roman"/>
                      <w:b/>
                      <w:bCs/>
                      <w:color w:val="auto"/>
                      <w:kern w:val="2"/>
                      <w:sz w:val="21"/>
                      <w:szCs w:val="21"/>
                      <w:lang w:eastAsia="zh-CN" w:bidi="zh-CN"/>
                    </w:rPr>
                  </w:pPr>
                  <w:r>
                    <w:rPr>
                      <w:rFonts w:hint="default" w:ascii="Times New Roman" w:hAnsi="Times New Roman" w:cs="Times New Roman"/>
                      <w:b/>
                      <w:bCs/>
                      <w:color w:val="auto"/>
                      <w:kern w:val="2"/>
                      <w:sz w:val="21"/>
                      <w:szCs w:val="21"/>
                      <w:lang w:eastAsia="zh-CN" w:bidi="zh-CN"/>
                    </w:rPr>
                    <w:t>最大浓度占标率/%</w:t>
                  </w:r>
                </w:p>
              </w:tc>
              <w:tc>
                <w:tcPr>
                  <w:tcW w:w="405" w:type="pct"/>
                  <w:tcBorders>
                    <w:tl2br w:val="nil"/>
                    <w:tr2bl w:val="nil"/>
                  </w:tcBorders>
                  <w:vAlign w:val="center"/>
                </w:tcPr>
                <w:p w14:paraId="571C01CD">
                  <w:pPr>
                    <w:pStyle w:val="115"/>
                    <w:pageBreakBefore w:val="0"/>
                    <w:wordWrap w:val="0"/>
                    <w:bidi w:val="0"/>
                    <w:spacing w:line="240" w:lineRule="auto"/>
                    <w:jc w:val="center"/>
                    <w:rPr>
                      <w:rFonts w:hint="default" w:ascii="Times New Roman" w:hAnsi="Times New Roman" w:cs="Times New Roman"/>
                      <w:b/>
                      <w:bCs/>
                      <w:color w:val="auto"/>
                      <w:kern w:val="2"/>
                      <w:sz w:val="21"/>
                      <w:szCs w:val="21"/>
                      <w:lang w:eastAsia="zh-CN" w:bidi="zh-CN"/>
                    </w:rPr>
                  </w:pPr>
                  <w:r>
                    <w:rPr>
                      <w:rFonts w:hint="default" w:ascii="Times New Roman" w:hAnsi="Times New Roman" w:cs="Times New Roman"/>
                      <w:b/>
                      <w:bCs/>
                      <w:color w:val="auto"/>
                      <w:kern w:val="2"/>
                      <w:sz w:val="21"/>
                      <w:szCs w:val="21"/>
                      <w:lang w:eastAsia="zh-CN" w:bidi="zh-CN"/>
                    </w:rPr>
                    <w:t>超标</w:t>
                  </w:r>
                  <w:r>
                    <w:rPr>
                      <w:rFonts w:hint="default" w:ascii="Times New Roman" w:hAnsi="Times New Roman" w:cs="Times New Roman"/>
                      <w:b/>
                      <w:bCs/>
                      <w:color w:val="auto"/>
                      <w:kern w:val="2"/>
                      <w:sz w:val="21"/>
                      <w:szCs w:val="21"/>
                      <w:lang w:val="en-US" w:eastAsia="zh-CN" w:bidi="zh-CN"/>
                    </w:rPr>
                    <w:t>倍数</w:t>
                  </w:r>
                </w:p>
              </w:tc>
              <w:tc>
                <w:tcPr>
                  <w:tcW w:w="487" w:type="pct"/>
                  <w:tcBorders>
                    <w:tl2br w:val="nil"/>
                    <w:tr2bl w:val="nil"/>
                  </w:tcBorders>
                  <w:vAlign w:val="center"/>
                </w:tcPr>
                <w:p w14:paraId="026D00C5">
                  <w:pPr>
                    <w:pStyle w:val="115"/>
                    <w:pageBreakBefore w:val="0"/>
                    <w:wordWrap w:val="0"/>
                    <w:bidi w:val="0"/>
                    <w:spacing w:line="240" w:lineRule="auto"/>
                    <w:jc w:val="center"/>
                    <w:rPr>
                      <w:rFonts w:hint="default" w:ascii="Times New Roman" w:hAnsi="Times New Roman" w:cs="Times New Roman"/>
                      <w:b/>
                      <w:bCs/>
                      <w:color w:val="auto"/>
                      <w:kern w:val="2"/>
                      <w:sz w:val="21"/>
                      <w:szCs w:val="21"/>
                      <w:lang w:eastAsia="zh-CN" w:bidi="zh-CN"/>
                    </w:rPr>
                  </w:pPr>
                  <w:r>
                    <w:rPr>
                      <w:rFonts w:hint="default" w:ascii="Times New Roman" w:hAnsi="Times New Roman" w:cs="Times New Roman"/>
                      <w:b/>
                      <w:bCs/>
                      <w:color w:val="auto"/>
                      <w:kern w:val="2"/>
                      <w:sz w:val="21"/>
                      <w:szCs w:val="21"/>
                      <w:lang w:eastAsia="zh-CN" w:bidi="zh-CN"/>
                    </w:rPr>
                    <w:t>达标情况</w:t>
                  </w:r>
                </w:p>
              </w:tc>
            </w:tr>
            <w:tr w14:paraId="32DB48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97" w:hRule="atLeast"/>
              </w:trPr>
              <w:tc>
                <w:tcPr>
                  <w:tcW w:w="510" w:type="pct"/>
                  <w:tcBorders>
                    <w:tl2br w:val="nil"/>
                    <w:tr2bl w:val="nil"/>
                  </w:tcBorders>
                  <w:vAlign w:val="center"/>
                </w:tcPr>
                <w:p w14:paraId="071B6209">
                  <w:pPr>
                    <w:pStyle w:val="115"/>
                    <w:pageBreakBefore w:val="0"/>
                    <w:wordWrap w:val="0"/>
                    <w:bidi w:val="0"/>
                    <w:spacing w:line="240" w:lineRule="auto"/>
                    <w:jc w:val="center"/>
                    <w:rPr>
                      <w:rFonts w:hint="default" w:ascii="Times New Roman" w:hAnsi="Times New Roman" w:cs="Times New Roman"/>
                      <w:color w:val="auto"/>
                      <w:kern w:val="2"/>
                      <w:sz w:val="21"/>
                      <w:szCs w:val="21"/>
                      <w:lang w:eastAsia="zh-CN" w:bidi="zh-CN"/>
                    </w:rPr>
                  </w:pPr>
                  <w:r>
                    <w:rPr>
                      <w:rFonts w:hint="default" w:ascii="Times New Roman" w:hAnsi="Times New Roman" w:cs="Times New Roman"/>
                      <w:color w:val="auto"/>
                      <w:sz w:val="21"/>
                      <w:szCs w:val="21"/>
                      <w:highlight w:val="none"/>
                    </w:rPr>
                    <w:t>G1</w:t>
                  </w:r>
                  <w:r>
                    <w:rPr>
                      <w:rFonts w:hint="eastAsia" w:ascii="Times New Roman" w:hAnsi="Times New Roman" w:cs="Times New Roman"/>
                      <w:color w:val="auto"/>
                      <w:sz w:val="21"/>
                      <w:szCs w:val="21"/>
                      <w:highlight w:val="none"/>
                      <w:lang w:val="en-US" w:eastAsia="zh-CN"/>
                    </w:rPr>
                    <w:t>和</w:t>
                  </w:r>
                  <w:r>
                    <w:rPr>
                      <w:rFonts w:hint="default" w:ascii="Times New Roman" w:hAnsi="Times New Roman" w:cs="Times New Roman"/>
                      <w:color w:val="auto"/>
                      <w:sz w:val="21"/>
                      <w:szCs w:val="21"/>
                      <w:highlight w:val="none"/>
                    </w:rPr>
                    <w:t>村</w:t>
                  </w:r>
                </w:p>
              </w:tc>
              <w:tc>
                <w:tcPr>
                  <w:tcW w:w="555" w:type="pct"/>
                  <w:tcBorders>
                    <w:tl2br w:val="nil"/>
                    <w:tr2bl w:val="nil"/>
                  </w:tcBorders>
                  <w:vAlign w:val="center"/>
                </w:tcPr>
                <w:p w14:paraId="00C8B5FB">
                  <w:pPr>
                    <w:pStyle w:val="115"/>
                    <w:pageBreakBefore w:val="0"/>
                    <w:wordWrap w:val="0"/>
                    <w:bidi w:val="0"/>
                    <w:spacing w:line="240" w:lineRule="auto"/>
                    <w:jc w:val="center"/>
                    <w:rPr>
                      <w:rFonts w:hint="default" w:ascii="Times New Roman" w:hAnsi="Times New Roman" w:cs="Times New Roman"/>
                      <w:color w:val="auto"/>
                      <w:kern w:val="2"/>
                      <w:sz w:val="21"/>
                      <w:szCs w:val="21"/>
                      <w:lang w:val="en-US" w:eastAsia="zh-CN" w:bidi="zh-CN"/>
                    </w:rPr>
                  </w:pPr>
                  <w:r>
                    <w:rPr>
                      <w:rFonts w:hint="eastAsia" w:ascii="Times New Roman" w:hAnsi="Times New Roman" w:cs="Times New Roman"/>
                      <w:color w:val="auto"/>
                      <w:kern w:val="2"/>
                      <w:sz w:val="21"/>
                      <w:szCs w:val="21"/>
                      <w:lang w:val="en-US" w:eastAsia="zh-CN" w:bidi="zh-CN"/>
                    </w:rPr>
                    <w:t>TSP</w:t>
                  </w:r>
                </w:p>
              </w:tc>
              <w:tc>
                <w:tcPr>
                  <w:tcW w:w="565" w:type="pct"/>
                  <w:tcBorders>
                    <w:tl2br w:val="nil"/>
                    <w:tr2bl w:val="nil"/>
                  </w:tcBorders>
                  <w:vAlign w:val="center"/>
                </w:tcPr>
                <w:p w14:paraId="381DF212">
                  <w:pPr>
                    <w:pageBreakBefore w:val="0"/>
                    <w:wordWrap w:val="0"/>
                    <w:bidi w:val="0"/>
                    <w:spacing w:line="240" w:lineRule="auto"/>
                    <w:jc w:val="center"/>
                    <w:rPr>
                      <w:rFonts w:hint="default" w:ascii="Times New Roman" w:hAnsi="Times New Roman" w:cs="Times New Roman"/>
                      <w:color w:val="auto"/>
                      <w:sz w:val="21"/>
                      <w:szCs w:val="21"/>
                      <w:lang w:bidi="zh-CN"/>
                    </w:rPr>
                  </w:pPr>
                  <w:r>
                    <w:rPr>
                      <w:rFonts w:hint="eastAsia" w:ascii="Times New Roman" w:hAnsi="Times New Roman" w:cs="Times New Roman"/>
                      <w:color w:val="auto"/>
                      <w:sz w:val="21"/>
                      <w:szCs w:val="21"/>
                      <w:lang w:val="en-US" w:bidi="zh-CN"/>
                    </w:rPr>
                    <w:t>24</w:t>
                  </w:r>
                  <w:r>
                    <w:rPr>
                      <w:rFonts w:hint="default" w:ascii="Times New Roman" w:hAnsi="Times New Roman" w:cs="Times New Roman"/>
                      <w:color w:val="auto"/>
                      <w:sz w:val="21"/>
                      <w:szCs w:val="21"/>
                      <w:lang w:bidi="zh-CN"/>
                    </w:rPr>
                    <w:t>h平均</w:t>
                  </w:r>
                </w:p>
              </w:tc>
              <w:tc>
                <w:tcPr>
                  <w:tcW w:w="796" w:type="pct"/>
                  <w:tcBorders>
                    <w:tl2br w:val="nil"/>
                    <w:tr2bl w:val="nil"/>
                  </w:tcBorders>
                  <w:vAlign w:val="center"/>
                </w:tcPr>
                <w:p w14:paraId="34CA0EBC">
                  <w:pPr>
                    <w:pStyle w:val="115"/>
                    <w:pageBreakBefore w:val="0"/>
                    <w:wordWrap w:val="0"/>
                    <w:bidi w:val="0"/>
                    <w:spacing w:line="240" w:lineRule="auto"/>
                    <w:jc w:val="center"/>
                    <w:rPr>
                      <w:rFonts w:hint="default" w:ascii="Times New Roman" w:hAnsi="Times New Roman" w:cs="Times New Roman"/>
                      <w:color w:val="auto"/>
                      <w:kern w:val="2"/>
                      <w:sz w:val="21"/>
                      <w:szCs w:val="21"/>
                      <w:lang w:val="en-US" w:eastAsia="zh-CN" w:bidi="zh-CN"/>
                    </w:rPr>
                  </w:pPr>
                  <w:r>
                    <w:rPr>
                      <w:rFonts w:hint="eastAsia" w:ascii="Times New Roman" w:hAnsi="Times New Roman" w:cs="Times New Roman"/>
                      <w:color w:val="auto"/>
                      <w:kern w:val="2"/>
                      <w:sz w:val="21"/>
                      <w:szCs w:val="21"/>
                      <w:lang w:val="en-US" w:eastAsia="zh-CN" w:bidi="zh-CN"/>
                    </w:rPr>
                    <w:t>3</w:t>
                  </w:r>
                  <w:r>
                    <w:rPr>
                      <w:rFonts w:hint="default" w:ascii="Times New Roman" w:hAnsi="Times New Roman" w:cs="Times New Roman"/>
                      <w:color w:val="auto"/>
                      <w:kern w:val="2"/>
                      <w:sz w:val="21"/>
                      <w:szCs w:val="21"/>
                      <w:lang w:val="en-US" w:eastAsia="zh-CN" w:bidi="zh-CN"/>
                    </w:rPr>
                    <w:t>00</w:t>
                  </w:r>
                </w:p>
              </w:tc>
              <w:tc>
                <w:tcPr>
                  <w:tcW w:w="989" w:type="pct"/>
                  <w:tcBorders>
                    <w:tl2br w:val="nil"/>
                    <w:tr2bl w:val="nil"/>
                  </w:tcBorders>
                  <w:vAlign w:val="center"/>
                </w:tcPr>
                <w:p w14:paraId="749B7910">
                  <w:pPr>
                    <w:pStyle w:val="21"/>
                    <w:keepNext w:val="0"/>
                    <w:keepLines w:val="0"/>
                    <w:pageBreakBefore w:val="0"/>
                    <w:widowControl w:val="0"/>
                    <w:suppressLineNumbers w:val="0"/>
                    <w:kinsoku/>
                    <w:wordWrap w:val="0"/>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zh-CN"/>
                    </w:rPr>
                  </w:pPr>
                  <w:r>
                    <w:rPr>
                      <w:rFonts w:hint="eastAsia" w:ascii="Times New Roman" w:hAnsi="Times New Roman" w:cs="Times New Roman"/>
                      <w:color w:val="auto"/>
                      <w:kern w:val="0"/>
                      <w:sz w:val="21"/>
                      <w:szCs w:val="21"/>
                      <w:highlight w:val="none"/>
                      <w:lang w:val="en-US" w:eastAsia="zh-CN"/>
                    </w:rPr>
                    <w:t>100~111</w:t>
                  </w:r>
                </w:p>
              </w:tc>
              <w:tc>
                <w:tcPr>
                  <w:tcW w:w="688" w:type="pct"/>
                  <w:tcBorders>
                    <w:tl2br w:val="nil"/>
                    <w:tr2bl w:val="nil"/>
                  </w:tcBorders>
                  <w:vAlign w:val="center"/>
                </w:tcPr>
                <w:p w14:paraId="059A5103">
                  <w:pPr>
                    <w:pStyle w:val="21"/>
                    <w:keepNext w:val="0"/>
                    <w:keepLines w:val="0"/>
                    <w:pageBreakBefore w:val="0"/>
                    <w:widowControl w:val="0"/>
                    <w:suppressLineNumbers w:val="0"/>
                    <w:kinsoku/>
                    <w:wordWrap w:val="0"/>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zh-CN"/>
                    </w:rPr>
                  </w:pPr>
                  <w:r>
                    <w:rPr>
                      <w:rFonts w:hint="eastAsia" w:ascii="Times New Roman" w:hAnsi="Times New Roman" w:cs="Times New Roman"/>
                      <w:color w:val="auto"/>
                      <w:kern w:val="0"/>
                      <w:sz w:val="21"/>
                      <w:szCs w:val="21"/>
                      <w:highlight w:val="none"/>
                      <w:lang w:val="en-US" w:eastAsia="zh-CN"/>
                    </w:rPr>
                    <w:t>37.0</w:t>
                  </w:r>
                </w:p>
              </w:tc>
              <w:tc>
                <w:tcPr>
                  <w:tcW w:w="405" w:type="pct"/>
                  <w:tcBorders>
                    <w:tl2br w:val="nil"/>
                    <w:tr2bl w:val="nil"/>
                  </w:tcBorders>
                  <w:vAlign w:val="center"/>
                </w:tcPr>
                <w:p w14:paraId="7750735A">
                  <w:pPr>
                    <w:keepNext w:val="0"/>
                    <w:keepLines w:val="0"/>
                    <w:pageBreakBefore w:val="0"/>
                    <w:widowControl w:val="0"/>
                    <w:suppressLineNumbers w:val="0"/>
                    <w:kinsoku/>
                    <w:wordWrap w:val="0"/>
                    <w:overflowPunct/>
                    <w:topLinePunct w:val="0"/>
                    <w:bidi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color w:val="auto"/>
                      <w:kern w:val="2"/>
                      <w:sz w:val="21"/>
                      <w:szCs w:val="21"/>
                      <w:lang w:eastAsia="zh-CN" w:bidi="zh-CN"/>
                    </w:rPr>
                  </w:pPr>
                  <w:r>
                    <w:rPr>
                      <w:rFonts w:hint="default" w:ascii="Times New Roman" w:hAnsi="Times New Roman" w:cs="Times New Roman"/>
                      <w:color w:val="auto"/>
                      <w:sz w:val="21"/>
                      <w:szCs w:val="21"/>
                      <w:highlight w:val="none"/>
                    </w:rPr>
                    <w:t>0</w:t>
                  </w:r>
                </w:p>
              </w:tc>
              <w:tc>
                <w:tcPr>
                  <w:tcW w:w="487" w:type="pct"/>
                  <w:tcBorders>
                    <w:tl2br w:val="nil"/>
                    <w:tr2bl w:val="nil"/>
                  </w:tcBorders>
                  <w:vAlign w:val="center"/>
                </w:tcPr>
                <w:p w14:paraId="2F6AB705">
                  <w:pPr>
                    <w:keepNext w:val="0"/>
                    <w:keepLines w:val="0"/>
                    <w:pageBreakBefore w:val="0"/>
                    <w:widowControl w:val="0"/>
                    <w:suppressLineNumbers w:val="0"/>
                    <w:kinsoku/>
                    <w:wordWrap w:val="0"/>
                    <w:overflowPunct/>
                    <w:topLinePunct w:val="0"/>
                    <w:bidi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color w:val="auto"/>
                      <w:kern w:val="2"/>
                      <w:sz w:val="21"/>
                      <w:szCs w:val="21"/>
                      <w:lang w:eastAsia="zh-CN" w:bidi="zh-CN"/>
                    </w:rPr>
                  </w:pPr>
                  <w:r>
                    <w:rPr>
                      <w:rFonts w:hint="default" w:ascii="Times New Roman" w:hAnsi="Times New Roman" w:cs="Times New Roman"/>
                      <w:color w:val="auto"/>
                      <w:sz w:val="21"/>
                      <w:szCs w:val="21"/>
                      <w:highlight w:val="none"/>
                    </w:rPr>
                    <w:t>达标</w:t>
                  </w:r>
                </w:p>
              </w:tc>
            </w:tr>
          </w:tbl>
          <w:p w14:paraId="3DC8776F">
            <w:pPr>
              <w:pageBreakBefore w:val="0"/>
              <w:widowControl w:val="0"/>
              <w:kinsoku/>
              <w:overflowPunct/>
              <w:topLinePunct w:val="0"/>
              <w:bidi w:val="0"/>
              <w:ind w:firstLine="480" w:firstLineChars="200"/>
              <w:textAlignment w:val="auto"/>
              <w:outlineLvl w:val="9"/>
              <w:rPr>
                <w:rFonts w:hint="default" w:ascii="Times New Roman" w:hAnsi="Times New Roman" w:cs="Times New Roman"/>
                <w:color w:val="auto"/>
                <w:highlight w:val="none"/>
              </w:rPr>
            </w:pPr>
            <w:r>
              <w:rPr>
                <w:rFonts w:hint="default" w:ascii="Times New Roman" w:hAnsi="Times New Roman" w:cs="Times New Roman"/>
                <w:bCs/>
                <w:color w:val="auto"/>
                <w:szCs w:val="22"/>
                <w:highlight w:val="none"/>
              </w:rPr>
              <w:t>监测结果表明，项目周围区域空气中，特征污染物TSP24小时平均浓度可达到</w:t>
            </w:r>
            <w:r>
              <w:rPr>
                <w:rFonts w:hint="default" w:ascii="Times New Roman" w:hAnsi="Times New Roman" w:cs="Times New Roman"/>
                <w:color w:val="auto"/>
                <w:sz w:val="24"/>
                <w:highlight w:val="none"/>
                <w:lang w:val="en-US" w:eastAsia="zh-CN"/>
              </w:rPr>
              <w:t>《环境空气质量标准》</w:t>
            </w:r>
            <w:r>
              <w:rPr>
                <w:rFonts w:hint="eastAsia"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GB3095-2026</w:t>
            </w:r>
            <w:r>
              <w:rPr>
                <w:rFonts w:hint="eastAsia"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中二级标准</w:t>
            </w:r>
            <w:r>
              <w:rPr>
                <w:rFonts w:hint="eastAsia" w:ascii="Times New Roman" w:hAnsi="Times New Roman" w:cs="Times New Roman"/>
                <w:color w:val="auto"/>
                <w:sz w:val="24"/>
                <w:highlight w:val="none"/>
                <w:lang w:val="en-US" w:eastAsia="zh-CN"/>
              </w:rPr>
              <w:t>限值要求</w:t>
            </w:r>
            <w:r>
              <w:rPr>
                <w:rFonts w:hint="default" w:ascii="Times New Roman" w:hAnsi="Times New Roman" w:cs="Times New Roman"/>
                <w:bCs/>
                <w:color w:val="auto"/>
                <w:szCs w:val="22"/>
                <w:highlight w:val="none"/>
              </w:rPr>
              <w:t>。</w:t>
            </w:r>
          </w:p>
          <w:p w14:paraId="479622F7">
            <w:pPr>
              <w:pageBreakBefore w:val="0"/>
              <w:widowControl w:val="0"/>
              <w:numPr>
                <w:ilvl w:val="2"/>
                <w:numId w:val="0"/>
              </w:numPr>
              <w:tabs>
                <w:tab w:val="left" w:pos="420"/>
              </w:tabs>
              <w:kinsoku/>
              <w:overflowPunct/>
              <w:topLinePunct w:val="0"/>
              <w:bidi w:val="0"/>
              <w:ind w:left="-2" w:firstLine="482"/>
              <w:textAlignment w:val="auto"/>
              <w:outlineLvl w:val="9"/>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二、水环境质量现状</w:t>
            </w:r>
          </w:p>
          <w:p w14:paraId="7A8E2AE6">
            <w:pPr>
              <w:autoSpaceDE w:val="0"/>
              <w:autoSpaceDN w:val="0"/>
              <w:adjustRightInd w:val="0"/>
              <w:ind w:firstLine="480" w:firstLineChars="20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根据《广东省地表水环境功能区划》（粤环</w:t>
            </w:r>
            <w:r>
              <w:rPr>
                <w:rFonts w:hint="default" w:ascii="Times New Roman" w:hAnsi="Times New Roman" w:cs="Times New Roman"/>
                <w:color w:val="auto"/>
                <w:kern w:val="0"/>
                <w:highlight w:val="none"/>
              </w:rPr>
              <w:t>〔201</w:t>
            </w:r>
            <w:r>
              <w:rPr>
                <w:rFonts w:hint="default" w:ascii="Times New Roman" w:hAnsi="Times New Roman" w:cs="Times New Roman"/>
                <w:color w:val="auto"/>
                <w:kern w:val="0"/>
                <w:highlight w:val="none"/>
                <w:lang w:val="en-US" w:eastAsia="zh-CN"/>
              </w:rPr>
              <w:t>1</w:t>
            </w:r>
            <w:r>
              <w:rPr>
                <w:rFonts w:hint="default" w:ascii="Times New Roman" w:hAnsi="Times New Roman" w:cs="Times New Roman"/>
                <w:color w:val="auto"/>
                <w:kern w:val="0"/>
                <w:highlight w:val="none"/>
              </w:rPr>
              <w:t>〕</w:t>
            </w:r>
            <w:r>
              <w:rPr>
                <w:rFonts w:hint="default" w:ascii="Times New Roman" w:hAnsi="Times New Roman" w:cs="Times New Roman"/>
                <w:color w:val="auto"/>
                <w:highlight w:val="none"/>
              </w:rPr>
              <w:t>14号）</w:t>
            </w:r>
            <w:r>
              <w:rPr>
                <w:rFonts w:hint="default" w:ascii="Times New Roman" w:hAnsi="Times New Roman" w:cs="Times New Roman"/>
                <w:color w:val="auto"/>
                <w:highlight w:val="none"/>
                <w:lang w:eastAsia="zh-CN"/>
              </w:rPr>
              <w:t>和《</w:t>
            </w:r>
            <w:r>
              <w:rPr>
                <w:rFonts w:hint="eastAsia" w:cs="Times New Roman"/>
                <w:color w:val="auto"/>
                <w:highlight w:val="none"/>
                <w:lang w:val="en-US" w:eastAsia="zh-CN"/>
              </w:rPr>
              <w:t>广东省生态环境厅、</w:t>
            </w:r>
            <w:r>
              <w:rPr>
                <w:rFonts w:hint="default" w:ascii="Times New Roman" w:hAnsi="Times New Roman" w:cs="Times New Roman"/>
                <w:color w:val="auto"/>
                <w:highlight w:val="none"/>
                <w:lang w:eastAsia="zh-CN"/>
              </w:rPr>
              <w:t>广东省水利厅关于印发&lt;韶关市部分饮用水水源保护区调整方案&gt;的通知》（粤环函</w:t>
            </w:r>
            <w:r>
              <w:rPr>
                <w:rFonts w:hint="default" w:ascii="Times New Roman" w:hAnsi="Times New Roman" w:cs="Times New Roman"/>
                <w:color w:val="auto"/>
                <w:kern w:val="0"/>
                <w:highlight w:val="none"/>
              </w:rPr>
              <w:t>〔20</w:t>
            </w:r>
            <w:r>
              <w:rPr>
                <w:rFonts w:hint="default" w:ascii="Times New Roman" w:hAnsi="Times New Roman" w:cs="Times New Roman"/>
                <w:color w:val="auto"/>
                <w:kern w:val="0"/>
                <w:highlight w:val="none"/>
                <w:lang w:val="en-US" w:eastAsia="zh-CN"/>
              </w:rPr>
              <w:t>24</w:t>
            </w:r>
            <w:r>
              <w:rPr>
                <w:rFonts w:hint="default" w:ascii="Times New Roman" w:hAnsi="Times New Roman" w:cs="Times New Roman"/>
                <w:color w:val="auto"/>
                <w:kern w:val="0"/>
                <w:highlight w:val="none"/>
              </w:rPr>
              <w:t>〕</w:t>
            </w:r>
            <w:r>
              <w:rPr>
                <w:rFonts w:hint="default" w:ascii="Times New Roman" w:hAnsi="Times New Roman" w:cs="Times New Roman"/>
                <w:color w:val="auto"/>
                <w:highlight w:val="none"/>
                <w:lang w:eastAsia="zh-CN"/>
              </w:rPr>
              <w:t>146号）</w:t>
            </w:r>
            <w:r>
              <w:rPr>
                <w:rFonts w:hint="default" w:ascii="Times New Roman" w:hAnsi="Times New Roman" w:cs="Times New Roman"/>
                <w:color w:val="auto"/>
                <w:highlight w:val="none"/>
              </w:rPr>
              <w:t>，本项目所在区域主要地表水及纳污水体为武江（乐昌城-犁市），为III类水质功能区，执行《地表水环境质量标准》（GB3838-2002）中的III类标准。根据《202</w:t>
            </w:r>
            <w:r>
              <w:rPr>
                <w:rFonts w:hint="eastAsia" w:cs="Times New Roman"/>
                <w:color w:val="auto"/>
                <w:highlight w:val="none"/>
                <w:lang w:val="en-US" w:eastAsia="zh-CN"/>
              </w:rPr>
              <w:t>4</w:t>
            </w:r>
            <w:r>
              <w:rPr>
                <w:rFonts w:hint="default" w:ascii="Times New Roman" w:hAnsi="Times New Roman" w:cs="Times New Roman"/>
                <w:color w:val="auto"/>
                <w:highlight w:val="none"/>
              </w:rPr>
              <w:t>年韶关市生态环境状况公报》，2024 年，韶关市11条主要江河(北江、武江、浈江、南水河、墨江、锦江、马坝河、滃江、新丰江、横石水和大潭河)34个市考以上手工监测断面水质优良率为100%，故项目所在地地表水环境质量现状良好。</w:t>
            </w:r>
          </w:p>
          <w:p w14:paraId="0C8A41B2">
            <w:pPr>
              <w:pStyle w:val="9"/>
              <w:numPr>
                <w:ilvl w:val="2"/>
                <w:numId w:val="0"/>
              </w:numPr>
              <w:ind w:left="-2" w:firstLine="482"/>
              <w:rPr>
                <w:rFonts w:hint="default" w:ascii="Times New Roman" w:hAnsi="Times New Roman" w:cs="Times New Roman"/>
                <w:color w:val="auto"/>
                <w:highlight w:val="none"/>
              </w:rPr>
            </w:pPr>
            <w:r>
              <w:rPr>
                <w:rFonts w:hint="default" w:ascii="Times New Roman" w:hAnsi="Times New Roman" w:cs="Times New Roman"/>
                <w:color w:val="auto"/>
                <w:highlight w:val="none"/>
              </w:rPr>
              <w:t>三、声环境质量现状</w:t>
            </w:r>
          </w:p>
          <w:p w14:paraId="78D7BE71">
            <w:pPr>
              <w:ind w:firstLine="480" w:firstLineChars="20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项目所在地为工业园区内，执行《声环境质量标准》（GB3096—2008）3类标准（昼间65dB(A)；夜间55dB(A)）。</w:t>
            </w:r>
          </w:p>
          <w:p w14:paraId="1E31279C">
            <w:pPr>
              <w:ind w:firstLine="480" w:firstLineChars="200"/>
              <w:rPr>
                <w:rFonts w:hint="default" w:ascii="Times New Roman" w:hAnsi="Times New Roman" w:cs="Times New Roman"/>
                <w:color w:val="auto"/>
                <w:kern w:val="0"/>
                <w:highlight w:val="none"/>
              </w:rPr>
            </w:pPr>
            <w:r>
              <w:rPr>
                <w:rFonts w:hint="default" w:ascii="Times New Roman" w:hAnsi="Times New Roman" w:cs="Times New Roman"/>
                <w:color w:val="auto"/>
                <w:highlight w:val="none"/>
              </w:rPr>
              <w:t>根据《建设项目环境影响报告表编制技术指南（污染影响类）（试行）》，</w:t>
            </w:r>
            <w:r>
              <w:rPr>
                <w:rFonts w:hint="default" w:ascii="Times New Roman" w:hAnsi="Times New Roman" w:cs="Times New Roman"/>
                <w:color w:val="auto"/>
                <w:kern w:val="0"/>
                <w:highlight w:val="none"/>
              </w:rPr>
              <w:t>本项目周边50米范围内无敏感点，故无需进行声环境质量现状监测与评价。</w:t>
            </w:r>
          </w:p>
          <w:p w14:paraId="63DF99EA">
            <w:pPr>
              <w:pStyle w:val="9"/>
              <w:numPr>
                <w:ilvl w:val="2"/>
                <w:numId w:val="0"/>
              </w:numPr>
              <w:ind w:left="-2" w:firstLine="482"/>
              <w:rPr>
                <w:rFonts w:hint="default" w:ascii="Times New Roman" w:hAnsi="Times New Roman" w:cs="Times New Roman"/>
                <w:color w:val="auto"/>
                <w:highlight w:val="none"/>
              </w:rPr>
            </w:pPr>
            <w:r>
              <w:rPr>
                <w:rFonts w:hint="default" w:ascii="Times New Roman" w:hAnsi="Times New Roman" w:cs="Times New Roman"/>
                <w:color w:val="auto"/>
                <w:highlight w:val="none"/>
              </w:rPr>
              <w:t>四、地下水、土壤环境质量现状</w:t>
            </w:r>
          </w:p>
          <w:p w14:paraId="0907BCDF">
            <w:pPr>
              <w:autoSpaceDE w:val="0"/>
              <w:autoSpaceDN w:val="0"/>
              <w:adjustRightInd w:val="0"/>
              <w:ind w:firstLine="480" w:firstLineChars="200"/>
              <w:jc w:val="left"/>
              <w:rPr>
                <w:rFonts w:hint="default" w:ascii="Times New Roman" w:hAnsi="Times New Roman" w:cs="Times New Roman"/>
                <w:bCs/>
                <w:color w:val="auto"/>
                <w:kern w:val="28"/>
                <w:sz w:val="24"/>
                <w:highlight w:val="none"/>
                <w:lang w:eastAsia="zh-CN"/>
              </w:rPr>
            </w:pPr>
            <w:r>
              <w:rPr>
                <w:rFonts w:hint="default" w:ascii="Times New Roman" w:hAnsi="Times New Roman" w:cs="Times New Roman"/>
                <w:color w:val="auto"/>
                <w:sz w:val="24"/>
                <w:szCs w:val="32"/>
                <w:highlight w:val="none"/>
                <w:lang w:val="en-US" w:eastAsia="zh-CN"/>
              </w:rPr>
              <w:t>根据《建设项目环境影响报告表编制技术指南（污染影响类）（试行）》，原则上不开展地下水、土壤环境质量现状调查。本项目不存在地下水污染途径，无需开展地下水环境影响评价，因此不进行地下水质量现状监测与评价；同时项目也不存在土壤污染途径，无需开展土壤环境影响评价，故不进行土壤环境质量现状调查。</w:t>
            </w:r>
          </w:p>
          <w:p w14:paraId="7E969F53">
            <w:pPr>
              <w:pStyle w:val="9"/>
              <w:numPr>
                <w:ilvl w:val="2"/>
                <w:numId w:val="0"/>
              </w:numPr>
              <w:ind w:left="-2" w:firstLine="482"/>
              <w:rPr>
                <w:rFonts w:hint="default" w:ascii="Times New Roman" w:hAnsi="Times New Roman" w:cs="Times New Roman"/>
                <w:color w:val="auto"/>
                <w:highlight w:val="none"/>
              </w:rPr>
            </w:pPr>
            <w:r>
              <w:rPr>
                <w:rFonts w:hint="default" w:ascii="Times New Roman" w:hAnsi="Times New Roman" w:cs="Times New Roman"/>
                <w:color w:val="auto"/>
                <w:highlight w:val="none"/>
              </w:rPr>
              <w:t>五、生态环境质量现状</w:t>
            </w:r>
          </w:p>
          <w:p w14:paraId="1283FAA1">
            <w:pPr>
              <w:pStyle w:val="9"/>
              <w:numPr>
                <w:ilvl w:val="2"/>
                <w:numId w:val="0"/>
              </w:numPr>
              <w:ind w:firstLine="480" w:firstLineChars="200"/>
              <w:rPr>
                <w:color w:val="auto"/>
              </w:rPr>
            </w:pPr>
            <w:r>
              <w:rPr>
                <w:rFonts w:hint="default" w:ascii="Times New Roman" w:hAnsi="Times New Roman" w:cs="Times New Roman"/>
                <w:b w:val="0"/>
                <w:bCs w:val="0"/>
                <w:color w:val="auto"/>
                <w:szCs w:val="32"/>
                <w:highlight w:val="none"/>
              </w:rPr>
              <w:t>本项目位于乐昌市乐昌产业转移工业园内，根据现场勘踏和调查，项目用地范围内不含生态环境保护目标，不需进行生态环境调查。</w:t>
            </w:r>
          </w:p>
          <w:p w14:paraId="0557CB63">
            <w:pPr>
              <w:pStyle w:val="9"/>
              <w:numPr>
                <w:ilvl w:val="0"/>
                <w:numId w:val="0"/>
              </w:numPr>
              <w:ind w:left="-2" w:leftChars="0" w:firstLine="480" w:firstLineChars="200"/>
              <w:rPr>
                <w:rFonts w:hint="default" w:ascii="Times New Roman" w:hAnsi="Times New Roman" w:cs="Times New Roman"/>
                <w:color w:val="auto"/>
                <w:highlight w:val="none"/>
              </w:rPr>
            </w:pPr>
            <w:r>
              <w:rPr>
                <w:rFonts w:hint="eastAsia" w:ascii="Times New Roman" w:hAnsi="Times New Roman" w:eastAsia="宋体" w:cs="Times New Roman"/>
                <w:b/>
                <w:bCs/>
                <w:color w:val="auto"/>
                <w:kern w:val="2"/>
                <w:sz w:val="24"/>
                <w:szCs w:val="24"/>
                <w:lang w:val="en-US" w:eastAsia="zh-CN" w:bidi="ar-SA"/>
              </w:rPr>
              <w:t>六、</w:t>
            </w:r>
            <w:r>
              <w:rPr>
                <w:rFonts w:hint="eastAsia" w:cs="Times New Roman"/>
                <w:color w:val="auto"/>
                <w:highlight w:val="none"/>
                <w:lang w:val="en-US" w:eastAsia="zh-CN"/>
              </w:rPr>
              <w:t>电磁辐射</w:t>
            </w:r>
            <w:r>
              <w:rPr>
                <w:rFonts w:hint="default" w:ascii="Times New Roman" w:hAnsi="Times New Roman" w:cs="Times New Roman"/>
                <w:color w:val="auto"/>
                <w:highlight w:val="none"/>
              </w:rPr>
              <w:t>质量现状</w:t>
            </w:r>
          </w:p>
          <w:p w14:paraId="644A112B">
            <w:pPr>
              <w:numPr>
                <w:ilvl w:val="0"/>
                <w:numId w:val="0"/>
              </w:numPr>
              <w:ind w:firstLine="480" w:firstLineChars="200"/>
              <w:rPr>
                <w:rFonts w:hint="default"/>
                <w:color w:val="auto"/>
              </w:rPr>
            </w:pPr>
            <w:r>
              <w:rPr>
                <w:rFonts w:hint="eastAsia"/>
                <w:color w:val="auto"/>
                <w:lang w:val="en-US" w:eastAsia="zh-CN"/>
              </w:rPr>
              <w:t>无。</w:t>
            </w:r>
          </w:p>
        </w:tc>
      </w:tr>
      <w:tr w14:paraId="630D9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 w:type="pct"/>
            <w:vAlign w:val="center"/>
          </w:tcPr>
          <w:p w14:paraId="10F637A4">
            <w:pPr>
              <w:keepNext w:val="0"/>
              <w:keepLines w:val="0"/>
              <w:pageBreakBefore w:val="0"/>
              <w:widowControl w:val="0"/>
              <w:numPr>
                <w:ilvl w:val="1"/>
                <w:numId w:val="0"/>
              </w:numPr>
              <w:tabs>
                <w:tab w:val="left" w:pos="420"/>
              </w:tabs>
              <w:kinsoku/>
              <w:wordWrap/>
              <w:overflowPunct/>
              <w:topLinePunct w:val="0"/>
              <w:autoSpaceDE/>
              <w:autoSpaceDN/>
              <w:bidi w:val="0"/>
              <w:adjustRightInd/>
              <w:snapToGrid/>
              <w:spacing w:line="240" w:lineRule="auto"/>
              <w:textAlignment w:val="auto"/>
              <w:outlineLvl w:val="9"/>
              <w:rPr>
                <w:rFonts w:hint="default" w:ascii="Times New Roman" w:hAnsi="Times New Roman" w:cs="Times New Roman"/>
                <w:color w:val="auto"/>
                <w:highlight w:val="none"/>
              </w:rPr>
            </w:pPr>
            <w:bookmarkStart w:id="57" w:name="_Toc31357"/>
            <w:bookmarkStart w:id="58" w:name="_Toc728"/>
            <w:bookmarkStart w:id="59" w:name="_Toc241"/>
            <w:bookmarkStart w:id="60" w:name="_Toc24022"/>
            <w:bookmarkStart w:id="61" w:name="_Toc28375"/>
            <w:bookmarkStart w:id="62" w:name="_Toc28582"/>
            <w:bookmarkStart w:id="63" w:name="_Toc14552"/>
            <w:bookmarkStart w:id="64" w:name="_Toc461"/>
            <w:bookmarkStart w:id="65" w:name="_Toc7031"/>
            <w:bookmarkStart w:id="66" w:name="_Toc28210"/>
            <w:r>
              <w:rPr>
                <w:rFonts w:hint="default" w:ascii="Times New Roman" w:hAnsi="Times New Roman" w:cs="Times New Roman"/>
                <w:color w:val="auto"/>
                <w:highlight w:val="none"/>
              </w:rPr>
              <w:t>环境保护目标</w:t>
            </w:r>
            <w:bookmarkEnd w:id="57"/>
            <w:bookmarkEnd w:id="58"/>
            <w:bookmarkEnd w:id="59"/>
            <w:bookmarkEnd w:id="60"/>
            <w:bookmarkEnd w:id="61"/>
            <w:bookmarkEnd w:id="62"/>
            <w:bookmarkEnd w:id="63"/>
            <w:bookmarkEnd w:id="64"/>
            <w:bookmarkEnd w:id="65"/>
            <w:bookmarkEnd w:id="66"/>
          </w:p>
        </w:tc>
        <w:tc>
          <w:tcPr>
            <w:tcW w:w="4732" w:type="pct"/>
          </w:tcPr>
          <w:p w14:paraId="490E2BA2">
            <w:pPr>
              <w:pStyle w:val="9"/>
              <w:numPr>
                <w:ilvl w:val="2"/>
                <w:numId w:val="0"/>
              </w:numPr>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一、环境空气保护目标</w:t>
            </w:r>
          </w:p>
          <w:p w14:paraId="2749E666">
            <w:pPr>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color w:val="auto"/>
              </w:rPr>
            </w:pPr>
            <w:r>
              <w:rPr>
                <w:rFonts w:hint="default" w:ascii="Times New Roman" w:hAnsi="Times New Roman" w:eastAsia="宋体" w:cs="Times New Roman"/>
                <w:color w:val="auto"/>
                <w:szCs w:val="32"/>
                <w:highlight w:val="none"/>
              </w:rPr>
              <w:t>根据现场调查</w:t>
            </w:r>
            <w:r>
              <w:rPr>
                <w:rFonts w:hint="default" w:ascii="Times New Roman" w:hAnsi="Times New Roman" w:eastAsia="宋体" w:cs="Times New Roman"/>
                <w:color w:val="auto"/>
                <w:szCs w:val="32"/>
                <w:highlight w:val="none"/>
                <w:lang w:val="en-US" w:eastAsia="zh-CN"/>
              </w:rPr>
              <w:t>，</w:t>
            </w:r>
            <w:r>
              <w:rPr>
                <w:rFonts w:hint="default" w:ascii="Times New Roman" w:hAnsi="Times New Roman" w:eastAsia="宋体" w:cs="Times New Roman"/>
                <w:color w:val="auto"/>
                <w:kern w:val="2"/>
                <w:szCs w:val="32"/>
                <w:highlight w:val="none"/>
              </w:rPr>
              <w:t>本</w:t>
            </w:r>
            <w:r>
              <w:rPr>
                <w:rFonts w:hint="eastAsia"/>
                <w:color w:val="auto"/>
              </w:rPr>
              <w:t>项目厂界外周边 500 米范围内自然保护区、风景名胜区、居住区、文化区和农村区中人群较集中的区域等保护目标的名称及项目厂界位置关系见下表</w:t>
            </w:r>
          </w:p>
          <w:p w14:paraId="56CFD53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color w:val="auto"/>
              </w:rPr>
            </w:pPr>
            <w:r>
              <w:rPr>
                <w:rFonts w:hint="default" w:ascii="Times New Roman" w:hAnsi="Times New Roman" w:cs="Times New Roman"/>
                <w:color w:val="auto"/>
                <w:sz w:val="21"/>
                <w:szCs w:val="21"/>
                <w:highlight w:val="none"/>
              </w:rPr>
              <w:t>表3-</w:t>
            </w:r>
            <w:r>
              <w:rPr>
                <w:rFonts w:hint="eastAsia" w:cs="Times New Roman"/>
                <w:color w:val="auto"/>
                <w:sz w:val="21"/>
                <w:szCs w:val="21"/>
                <w:highlight w:val="none"/>
                <w:lang w:val="en-US" w:eastAsia="zh-CN"/>
              </w:rPr>
              <w:t xml:space="preserve">4 </w:t>
            </w:r>
            <w:r>
              <w:rPr>
                <w:rFonts w:hint="eastAsia"/>
                <w:color w:val="auto"/>
                <w:sz w:val="21"/>
                <w:szCs w:val="21"/>
                <w:highlight w:val="none"/>
              </w:rPr>
              <w:t>本项目500m范围内大气环境敏感保护目标</w:t>
            </w:r>
          </w:p>
          <w:tbl>
            <w:tblPr>
              <w:tblStyle w:val="45"/>
              <w:tblW w:w="5000" w:type="pct"/>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6"/>
              <w:gridCol w:w="899"/>
              <w:gridCol w:w="900"/>
              <w:gridCol w:w="636"/>
              <w:gridCol w:w="726"/>
              <w:gridCol w:w="636"/>
              <w:gridCol w:w="846"/>
              <w:gridCol w:w="777"/>
              <w:gridCol w:w="1092"/>
            </w:tblGrid>
            <w:tr w14:paraId="6305D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pct"/>
                  <w:vMerge w:val="restart"/>
                  <w:vAlign w:val="center"/>
                </w:tcPr>
                <w:p w14:paraId="54FC42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名称</w:t>
                  </w:r>
                </w:p>
              </w:tc>
              <w:tc>
                <w:tcPr>
                  <w:tcW w:w="1135" w:type="pct"/>
                  <w:gridSpan w:val="2"/>
                  <w:vAlign w:val="center"/>
                </w:tcPr>
                <w:p w14:paraId="2146FB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sz w:val="21"/>
                      <w:szCs w:val="21"/>
                      <w:vertAlign w:val="baseline"/>
                      <w:lang w:eastAsia="zh-CN"/>
                    </w:rPr>
                  </w:pPr>
                  <w:r>
                    <w:rPr>
                      <w:rFonts w:hint="eastAsia"/>
                      <w:color w:val="auto"/>
                      <w:sz w:val="21"/>
                      <w:szCs w:val="21"/>
                      <w:vertAlign w:val="baseline"/>
                      <w:lang w:val="en-US" w:eastAsia="zh-CN"/>
                    </w:rPr>
                    <w:t>坐标/m</w:t>
                  </w:r>
                </w:p>
              </w:tc>
              <w:tc>
                <w:tcPr>
                  <w:tcW w:w="401" w:type="pct"/>
                  <w:vMerge w:val="restart"/>
                  <w:vAlign w:val="center"/>
                </w:tcPr>
                <w:p w14:paraId="6A0C7F3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eastAsia="zh-CN"/>
                    </w:rPr>
                  </w:pPr>
                  <w:r>
                    <w:rPr>
                      <w:rFonts w:hint="eastAsia"/>
                      <w:color w:val="auto"/>
                      <w:sz w:val="21"/>
                      <w:szCs w:val="21"/>
                      <w:vertAlign w:val="baseline"/>
                      <w:lang w:val="en-US" w:eastAsia="zh-CN"/>
                    </w:rPr>
                    <w:t>保护对象</w:t>
                  </w:r>
                </w:p>
              </w:tc>
              <w:tc>
                <w:tcPr>
                  <w:tcW w:w="458" w:type="pct"/>
                  <w:vMerge w:val="restart"/>
                  <w:vAlign w:val="center"/>
                </w:tcPr>
                <w:p w14:paraId="1B1BA7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eastAsia="zh-CN"/>
                    </w:rPr>
                  </w:pPr>
                  <w:r>
                    <w:rPr>
                      <w:rFonts w:hint="eastAsia"/>
                      <w:color w:val="auto"/>
                      <w:sz w:val="21"/>
                      <w:szCs w:val="21"/>
                      <w:vertAlign w:val="baseline"/>
                      <w:lang w:val="en-US" w:eastAsia="zh-CN"/>
                    </w:rPr>
                    <w:t>规模/人</w:t>
                  </w:r>
                </w:p>
              </w:tc>
              <w:tc>
                <w:tcPr>
                  <w:tcW w:w="401" w:type="pct"/>
                  <w:vMerge w:val="restart"/>
                  <w:vAlign w:val="center"/>
                </w:tcPr>
                <w:p w14:paraId="710996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eastAsia="zh-CN"/>
                    </w:rPr>
                  </w:pPr>
                  <w:r>
                    <w:rPr>
                      <w:rFonts w:hint="eastAsia"/>
                      <w:color w:val="auto"/>
                      <w:sz w:val="21"/>
                      <w:szCs w:val="21"/>
                      <w:vertAlign w:val="baseline"/>
                      <w:lang w:val="en-US" w:eastAsia="zh-CN"/>
                    </w:rPr>
                    <w:t>保护内容</w:t>
                  </w:r>
                </w:p>
              </w:tc>
              <w:tc>
                <w:tcPr>
                  <w:tcW w:w="534" w:type="pct"/>
                  <w:vMerge w:val="restart"/>
                  <w:vAlign w:val="center"/>
                </w:tcPr>
                <w:p w14:paraId="59530D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eastAsia="zh-CN"/>
                    </w:rPr>
                  </w:pPr>
                  <w:r>
                    <w:rPr>
                      <w:rFonts w:hint="eastAsia"/>
                      <w:color w:val="auto"/>
                      <w:sz w:val="21"/>
                      <w:szCs w:val="21"/>
                      <w:vertAlign w:val="baseline"/>
                      <w:lang w:val="en-US" w:eastAsia="zh-CN"/>
                    </w:rPr>
                    <w:t>环境功能区</w:t>
                  </w:r>
                </w:p>
              </w:tc>
              <w:tc>
                <w:tcPr>
                  <w:tcW w:w="490" w:type="pct"/>
                  <w:vMerge w:val="restart"/>
                  <w:vAlign w:val="center"/>
                </w:tcPr>
                <w:p w14:paraId="28A585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eastAsia="zh-CN"/>
                    </w:rPr>
                  </w:pPr>
                  <w:r>
                    <w:rPr>
                      <w:rFonts w:hint="eastAsia"/>
                      <w:color w:val="auto"/>
                      <w:sz w:val="21"/>
                      <w:szCs w:val="21"/>
                      <w:vertAlign w:val="baseline"/>
                      <w:lang w:val="en-US" w:eastAsia="zh-CN"/>
                    </w:rPr>
                    <w:t>相对厂址方位</w:t>
                  </w:r>
                </w:p>
              </w:tc>
              <w:tc>
                <w:tcPr>
                  <w:tcW w:w="689" w:type="pct"/>
                  <w:vMerge w:val="restart"/>
                  <w:vAlign w:val="center"/>
                </w:tcPr>
                <w:p w14:paraId="6EA9829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eastAsia="zh-CN"/>
                    </w:rPr>
                  </w:pPr>
                  <w:r>
                    <w:rPr>
                      <w:rFonts w:hint="eastAsia"/>
                      <w:color w:val="auto"/>
                      <w:sz w:val="21"/>
                      <w:szCs w:val="21"/>
                      <w:vertAlign w:val="baseline"/>
                      <w:lang w:val="en-US" w:eastAsia="zh-CN"/>
                    </w:rPr>
                    <w:t>相对厂界距离/m</w:t>
                  </w:r>
                </w:p>
              </w:tc>
            </w:tr>
            <w:tr w14:paraId="3F5EC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pct"/>
                  <w:vMerge w:val="continue"/>
                  <w:vAlign w:val="center"/>
                </w:tcPr>
                <w:p w14:paraId="329EDEA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sz w:val="21"/>
                      <w:szCs w:val="21"/>
                      <w:vertAlign w:val="baseline"/>
                      <w:lang w:eastAsia="zh-CN"/>
                    </w:rPr>
                  </w:pPr>
                </w:p>
              </w:tc>
              <w:tc>
                <w:tcPr>
                  <w:tcW w:w="567" w:type="pct"/>
                  <w:vAlign w:val="center"/>
                </w:tcPr>
                <w:p w14:paraId="3D8178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eastAsia="zh-CN"/>
                    </w:rPr>
                  </w:pPr>
                  <w:r>
                    <w:rPr>
                      <w:rFonts w:hint="eastAsia"/>
                      <w:color w:val="auto"/>
                      <w:sz w:val="21"/>
                      <w:szCs w:val="21"/>
                      <w:vertAlign w:val="baseline"/>
                      <w:lang w:val="en-US" w:eastAsia="zh-CN"/>
                    </w:rPr>
                    <w:t>X</w:t>
                  </w:r>
                </w:p>
              </w:tc>
              <w:tc>
                <w:tcPr>
                  <w:tcW w:w="567" w:type="pct"/>
                  <w:vAlign w:val="center"/>
                </w:tcPr>
                <w:p w14:paraId="760D74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eastAsia="zh-CN"/>
                    </w:rPr>
                  </w:pPr>
                  <w:r>
                    <w:rPr>
                      <w:rFonts w:hint="eastAsia"/>
                      <w:color w:val="auto"/>
                      <w:sz w:val="21"/>
                      <w:szCs w:val="21"/>
                      <w:vertAlign w:val="baseline"/>
                      <w:lang w:val="en-US" w:eastAsia="zh-CN"/>
                    </w:rPr>
                    <w:t>Y</w:t>
                  </w:r>
                </w:p>
              </w:tc>
              <w:tc>
                <w:tcPr>
                  <w:tcW w:w="401" w:type="pct"/>
                  <w:vMerge w:val="continue"/>
                  <w:vAlign w:val="center"/>
                </w:tcPr>
                <w:p w14:paraId="5956F3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sz w:val="21"/>
                      <w:szCs w:val="21"/>
                      <w:vertAlign w:val="baseline"/>
                      <w:lang w:eastAsia="zh-CN"/>
                    </w:rPr>
                  </w:pPr>
                </w:p>
              </w:tc>
              <w:tc>
                <w:tcPr>
                  <w:tcW w:w="458" w:type="pct"/>
                  <w:vMerge w:val="continue"/>
                  <w:vAlign w:val="center"/>
                </w:tcPr>
                <w:p w14:paraId="746F1E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sz w:val="21"/>
                      <w:szCs w:val="21"/>
                      <w:vertAlign w:val="baseline"/>
                      <w:lang w:eastAsia="zh-CN"/>
                    </w:rPr>
                  </w:pPr>
                </w:p>
              </w:tc>
              <w:tc>
                <w:tcPr>
                  <w:tcW w:w="401" w:type="pct"/>
                  <w:vMerge w:val="continue"/>
                  <w:vAlign w:val="center"/>
                </w:tcPr>
                <w:p w14:paraId="7D047A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sz w:val="21"/>
                      <w:szCs w:val="21"/>
                      <w:vertAlign w:val="baseline"/>
                      <w:lang w:eastAsia="zh-CN"/>
                    </w:rPr>
                  </w:pPr>
                </w:p>
              </w:tc>
              <w:tc>
                <w:tcPr>
                  <w:tcW w:w="534" w:type="pct"/>
                  <w:vMerge w:val="continue"/>
                  <w:vAlign w:val="center"/>
                </w:tcPr>
                <w:p w14:paraId="24A2F8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sz w:val="21"/>
                      <w:szCs w:val="21"/>
                      <w:vertAlign w:val="baseline"/>
                      <w:lang w:eastAsia="zh-CN"/>
                    </w:rPr>
                  </w:pPr>
                </w:p>
              </w:tc>
              <w:tc>
                <w:tcPr>
                  <w:tcW w:w="490" w:type="pct"/>
                  <w:vMerge w:val="continue"/>
                  <w:vAlign w:val="center"/>
                </w:tcPr>
                <w:p w14:paraId="471958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sz w:val="21"/>
                      <w:szCs w:val="21"/>
                      <w:vertAlign w:val="baseline"/>
                      <w:lang w:eastAsia="zh-CN"/>
                    </w:rPr>
                  </w:pPr>
                </w:p>
              </w:tc>
              <w:tc>
                <w:tcPr>
                  <w:tcW w:w="689" w:type="pct"/>
                  <w:vMerge w:val="continue"/>
                  <w:vAlign w:val="center"/>
                </w:tcPr>
                <w:p w14:paraId="7F65CC5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sz w:val="21"/>
                      <w:szCs w:val="21"/>
                      <w:vertAlign w:val="baseline"/>
                      <w:lang w:eastAsia="zh-CN"/>
                    </w:rPr>
                  </w:pPr>
                </w:p>
              </w:tc>
            </w:tr>
            <w:tr w14:paraId="43ADD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pct"/>
                  <w:vAlign w:val="center"/>
                </w:tcPr>
                <w:p w14:paraId="7E1F4A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eastAsia="zh-CN"/>
                    </w:rPr>
                  </w:pPr>
                  <w:r>
                    <w:rPr>
                      <w:rFonts w:hint="eastAsia"/>
                      <w:color w:val="auto"/>
                      <w:sz w:val="21"/>
                      <w:szCs w:val="21"/>
                      <w:vertAlign w:val="baseline"/>
                      <w:lang w:val="en-US" w:eastAsia="zh-CN"/>
                    </w:rPr>
                    <w:t>尚都新城（含乐昌湘华医院）</w:t>
                  </w:r>
                </w:p>
              </w:tc>
              <w:tc>
                <w:tcPr>
                  <w:tcW w:w="567" w:type="pct"/>
                  <w:vAlign w:val="center"/>
                </w:tcPr>
                <w:p w14:paraId="4266D6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eastAsia="zh-CN"/>
                    </w:rPr>
                  </w:pPr>
                  <w:r>
                    <w:rPr>
                      <w:rFonts w:hint="eastAsia"/>
                      <w:color w:val="auto"/>
                      <w:sz w:val="21"/>
                      <w:szCs w:val="21"/>
                      <w:vertAlign w:val="baseline"/>
                      <w:lang w:val="en-US" w:eastAsia="zh-CN"/>
                    </w:rPr>
                    <w:t>162</w:t>
                  </w:r>
                </w:p>
              </w:tc>
              <w:tc>
                <w:tcPr>
                  <w:tcW w:w="567" w:type="pct"/>
                  <w:vAlign w:val="center"/>
                </w:tcPr>
                <w:p w14:paraId="6B22A9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eastAsia="zh-CN"/>
                    </w:rPr>
                  </w:pPr>
                  <w:r>
                    <w:rPr>
                      <w:rFonts w:hint="eastAsia"/>
                      <w:color w:val="auto"/>
                      <w:sz w:val="21"/>
                      <w:szCs w:val="21"/>
                      <w:vertAlign w:val="baseline"/>
                      <w:lang w:val="en-US" w:eastAsia="zh-CN"/>
                    </w:rPr>
                    <w:t>196</w:t>
                  </w:r>
                </w:p>
              </w:tc>
              <w:tc>
                <w:tcPr>
                  <w:tcW w:w="401" w:type="pct"/>
                  <w:vAlign w:val="center"/>
                </w:tcPr>
                <w:p w14:paraId="36339F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eastAsia="zh-CN"/>
                    </w:rPr>
                  </w:pPr>
                  <w:r>
                    <w:rPr>
                      <w:rFonts w:hint="eastAsia"/>
                      <w:color w:val="auto"/>
                      <w:sz w:val="21"/>
                      <w:szCs w:val="21"/>
                      <w:vertAlign w:val="baseline"/>
                      <w:lang w:val="en-US" w:eastAsia="zh-CN"/>
                    </w:rPr>
                    <w:t>大气环境</w:t>
                  </w:r>
                </w:p>
              </w:tc>
              <w:tc>
                <w:tcPr>
                  <w:tcW w:w="458" w:type="pct"/>
                  <w:vAlign w:val="center"/>
                </w:tcPr>
                <w:p w14:paraId="1042D4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eastAsia="zh-CN"/>
                    </w:rPr>
                  </w:pPr>
                  <w:r>
                    <w:rPr>
                      <w:rFonts w:hint="eastAsia"/>
                      <w:color w:val="auto"/>
                      <w:sz w:val="21"/>
                      <w:szCs w:val="21"/>
                      <w:vertAlign w:val="baseline"/>
                      <w:lang w:val="en-US" w:eastAsia="zh-CN"/>
                    </w:rPr>
                    <w:t>2000</w:t>
                  </w:r>
                </w:p>
              </w:tc>
              <w:tc>
                <w:tcPr>
                  <w:tcW w:w="401" w:type="pct"/>
                  <w:vAlign w:val="center"/>
                </w:tcPr>
                <w:p w14:paraId="149AFF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eastAsia="zh-CN"/>
                    </w:rPr>
                  </w:pPr>
                  <w:r>
                    <w:rPr>
                      <w:rFonts w:hint="eastAsia"/>
                      <w:color w:val="auto"/>
                      <w:sz w:val="21"/>
                      <w:szCs w:val="21"/>
                      <w:vertAlign w:val="baseline"/>
                      <w:lang w:val="en-US" w:eastAsia="zh-CN"/>
                    </w:rPr>
                    <w:t>大气环境</w:t>
                  </w:r>
                </w:p>
              </w:tc>
              <w:tc>
                <w:tcPr>
                  <w:tcW w:w="534" w:type="pct"/>
                  <w:vAlign w:val="center"/>
                </w:tcPr>
                <w:p w14:paraId="487605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eastAsia="zh-CN"/>
                    </w:rPr>
                  </w:pPr>
                  <w:r>
                    <w:rPr>
                      <w:rFonts w:hint="eastAsia"/>
                      <w:color w:val="auto"/>
                      <w:sz w:val="21"/>
                      <w:szCs w:val="21"/>
                      <w:vertAlign w:val="baseline"/>
                      <w:lang w:val="en-US" w:eastAsia="zh-CN"/>
                    </w:rPr>
                    <w:t>环境空气二类区</w:t>
                  </w:r>
                </w:p>
              </w:tc>
              <w:tc>
                <w:tcPr>
                  <w:tcW w:w="490" w:type="pct"/>
                  <w:vAlign w:val="center"/>
                </w:tcPr>
                <w:p w14:paraId="0A6180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eastAsia="zh-CN"/>
                    </w:rPr>
                  </w:pPr>
                  <w:r>
                    <w:rPr>
                      <w:rFonts w:hint="eastAsia"/>
                      <w:color w:val="auto"/>
                      <w:sz w:val="21"/>
                      <w:szCs w:val="21"/>
                      <w:vertAlign w:val="baseline"/>
                      <w:lang w:val="en-US" w:eastAsia="zh-CN"/>
                    </w:rPr>
                    <w:t>东北</w:t>
                  </w:r>
                </w:p>
              </w:tc>
              <w:tc>
                <w:tcPr>
                  <w:tcW w:w="689" w:type="pct"/>
                  <w:vAlign w:val="center"/>
                </w:tcPr>
                <w:p w14:paraId="0F6E06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auto"/>
                      <w:sz w:val="21"/>
                      <w:szCs w:val="21"/>
                      <w:vertAlign w:val="baseline"/>
                      <w:lang w:eastAsia="zh-CN"/>
                    </w:rPr>
                  </w:pPr>
                  <w:r>
                    <w:rPr>
                      <w:rFonts w:hint="eastAsia"/>
                      <w:color w:val="auto"/>
                      <w:sz w:val="21"/>
                      <w:szCs w:val="21"/>
                      <w:vertAlign w:val="baseline"/>
                      <w:lang w:val="en-US" w:eastAsia="zh-CN"/>
                    </w:rPr>
                    <w:t>253</w:t>
                  </w:r>
                </w:p>
              </w:tc>
            </w:tr>
          </w:tbl>
          <w:p w14:paraId="111163BF">
            <w:pPr>
              <w:pStyle w:val="9"/>
              <w:numPr>
                <w:ilvl w:val="2"/>
                <w:numId w:val="0"/>
              </w:numPr>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二、声环境保护目标</w:t>
            </w:r>
          </w:p>
          <w:p w14:paraId="71768F3F">
            <w:pPr>
              <w:ind w:firstLine="480"/>
              <w:rPr>
                <w:rFonts w:hint="default" w:ascii="Times New Roman" w:hAnsi="Times New Roman" w:cs="Times New Roman"/>
                <w:color w:val="auto"/>
                <w:highlight w:val="none"/>
              </w:rPr>
            </w:pPr>
            <w:r>
              <w:rPr>
                <w:rFonts w:hint="default" w:ascii="Times New Roman" w:hAnsi="Times New Roman" w:cs="Times New Roman"/>
                <w:color w:val="auto"/>
                <w:szCs w:val="32"/>
                <w:highlight w:val="none"/>
              </w:rPr>
              <w:t>本项目</w:t>
            </w:r>
            <w:r>
              <w:rPr>
                <w:rFonts w:hint="default" w:ascii="Times New Roman" w:hAnsi="Times New Roman" w:cs="Times New Roman"/>
                <w:color w:val="auto"/>
                <w:highlight w:val="none"/>
              </w:rPr>
              <w:t>厂界外50米范围内无声环境保护目标。</w:t>
            </w:r>
          </w:p>
          <w:p w14:paraId="1481AAF6">
            <w:pPr>
              <w:pStyle w:val="9"/>
              <w:numPr>
                <w:ilvl w:val="2"/>
                <w:numId w:val="0"/>
              </w:numPr>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三、地下水环境保护目标</w:t>
            </w:r>
          </w:p>
          <w:p w14:paraId="0770F9DB">
            <w:pPr>
              <w:ind w:firstLine="480"/>
              <w:rPr>
                <w:rFonts w:hint="default" w:ascii="Times New Roman" w:hAnsi="Times New Roman" w:cs="Times New Roman"/>
                <w:color w:val="auto"/>
                <w:highlight w:val="none"/>
              </w:rPr>
            </w:pPr>
            <w:r>
              <w:rPr>
                <w:rFonts w:hint="default" w:ascii="Times New Roman" w:hAnsi="Times New Roman" w:cs="Times New Roman"/>
                <w:color w:val="auto"/>
                <w:szCs w:val="32"/>
                <w:highlight w:val="none"/>
              </w:rPr>
              <w:t>本</w:t>
            </w:r>
            <w:r>
              <w:rPr>
                <w:rFonts w:hint="default" w:ascii="Times New Roman" w:hAnsi="Times New Roman" w:cs="Times New Roman"/>
                <w:color w:val="auto"/>
                <w:highlight w:val="none"/>
              </w:rPr>
              <w:t>项目厂界外500米范围内无地下水集中式饮用水水源和热水、矿泉水、温泉等特殊地下水资源。</w:t>
            </w:r>
          </w:p>
          <w:p w14:paraId="389C54EA">
            <w:pPr>
              <w:pStyle w:val="9"/>
              <w:numPr>
                <w:ilvl w:val="2"/>
                <w:numId w:val="0"/>
              </w:numPr>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四、生态环境保护目标</w:t>
            </w:r>
          </w:p>
          <w:p w14:paraId="34F0D43A">
            <w:pPr>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保护本项目建设地块的生态环境，防止水土流失，使其能实现生态环境的良性循环，</w:t>
            </w:r>
            <w:r>
              <w:rPr>
                <w:rFonts w:hint="default" w:ascii="Times New Roman" w:hAnsi="Times New Roman" w:cs="Times New Roman"/>
                <w:color w:val="auto"/>
                <w:szCs w:val="32"/>
                <w:highlight w:val="none"/>
              </w:rPr>
              <w:t>不对现有的生态环境造成大面积的破坏。本项目所在区域</w:t>
            </w:r>
            <w:r>
              <w:rPr>
                <w:rFonts w:hint="default" w:ascii="Times New Roman" w:hAnsi="Times New Roman" w:cs="Times New Roman"/>
                <w:color w:val="auto"/>
                <w:highlight w:val="none"/>
              </w:rPr>
              <w:t>无生态环境保护目标。</w:t>
            </w:r>
          </w:p>
        </w:tc>
      </w:tr>
      <w:tr w14:paraId="0073E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4" w:hRule="atLeast"/>
        </w:trPr>
        <w:tc>
          <w:tcPr>
            <w:tcW w:w="267" w:type="pct"/>
            <w:vAlign w:val="center"/>
          </w:tcPr>
          <w:p w14:paraId="6B11D2DB">
            <w:pPr>
              <w:keepNext w:val="0"/>
              <w:keepLines w:val="0"/>
              <w:pageBreakBefore w:val="0"/>
              <w:widowControl w:val="0"/>
              <w:numPr>
                <w:ilvl w:val="1"/>
                <w:numId w:val="0"/>
              </w:numPr>
              <w:tabs>
                <w:tab w:val="left" w:pos="420"/>
              </w:tabs>
              <w:kinsoku/>
              <w:wordWrap/>
              <w:overflowPunct/>
              <w:topLinePunct w:val="0"/>
              <w:autoSpaceDE/>
              <w:autoSpaceDN/>
              <w:bidi w:val="0"/>
              <w:adjustRightInd/>
              <w:snapToGrid/>
              <w:spacing w:line="240" w:lineRule="auto"/>
              <w:textAlignment w:val="auto"/>
              <w:outlineLvl w:val="9"/>
              <w:rPr>
                <w:rFonts w:hint="default" w:ascii="Times New Roman" w:hAnsi="Times New Roman" w:cs="Times New Roman"/>
                <w:color w:val="auto"/>
                <w:highlight w:val="none"/>
              </w:rPr>
            </w:pPr>
            <w:bookmarkStart w:id="67" w:name="_Toc2437"/>
            <w:bookmarkStart w:id="68" w:name="_Toc27828"/>
            <w:bookmarkStart w:id="69" w:name="_Toc21959"/>
            <w:bookmarkStart w:id="70" w:name="_Toc29246"/>
            <w:bookmarkStart w:id="71" w:name="_Toc32736"/>
            <w:bookmarkStart w:id="72" w:name="_Toc24161"/>
            <w:bookmarkStart w:id="73" w:name="_Toc4596"/>
            <w:bookmarkStart w:id="74" w:name="_Toc14344"/>
            <w:bookmarkStart w:id="75" w:name="_Toc8874"/>
            <w:bookmarkStart w:id="76" w:name="_Toc10187"/>
            <w:r>
              <w:rPr>
                <w:rFonts w:hint="default" w:ascii="Times New Roman" w:hAnsi="Times New Roman" w:eastAsia="宋体" w:cs="Times New Roman"/>
                <w:color w:val="auto"/>
                <w:kern w:val="2"/>
                <w:sz w:val="24"/>
                <w:szCs w:val="24"/>
                <w:highlight w:val="none"/>
                <w:lang w:val="en-US" w:eastAsia="zh-CN" w:bidi="ar-SA"/>
              </w:rPr>
              <w:t>污染物排放控制标准</w:t>
            </w:r>
            <w:bookmarkEnd w:id="67"/>
            <w:bookmarkEnd w:id="68"/>
            <w:bookmarkEnd w:id="69"/>
            <w:bookmarkEnd w:id="70"/>
            <w:bookmarkEnd w:id="71"/>
            <w:bookmarkEnd w:id="72"/>
            <w:bookmarkEnd w:id="73"/>
            <w:bookmarkEnd w:id="74"/>
            <w:bookmarkEnd w:id="75"/>
            <w:bookmarkEnd w:id="76"/>
          </w:p>
        </w:tc>
        <w:tc>
          <w:tcPr>
            <w:tcW w:w="4732" w:type="pct"/>
          </w:tcPr>
          <w:p w14:paraId="55C66EA9">
            <w:pPr>
              <w:pStyle w:val="9"/>
              <w:ind w:firstLine="482"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废气排放标准</w:t>
            </w:r>
          </w:p>
          <w:p w14:paraId="5C3AB3D9">
            <w:pPr>
              <w:pStyle w:val="12"/>
              <w:keepNext/>
              <w:keepLines/>
              <w:pageBreakBefore w:val="0"/>
              <w:widowControl w:val="0"/>
              <w:numPr>
                <w:ilvl w:val="5"/>
                <w:numId w:val="0"/>
              </w:numPr>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color w:val="auto"/>
                <w:highlight w:val="none"/>
                <w:lang w:val="en-US" w:eastAsia="zh-CN"/>
              </w:rPr>
            </w:pPr>
            <w:bookmarkStart w:id="77" w:name="_Toc2680"/>
            <w:bookmarkStart w:id="78" w:name="_Toc7167"/>
            <w:bookmarkStart w:id="79" w:name="_Ref5700"/>
            <w:bookmarkStart w:id="80" w:name="_Ref26359"/>
            <w:bookmarkStart w:id="81" w:name="_Ref26342"/>
            <w:r>
              <w:rPr>
                <w:rFonts w:hint="eastAsia" w:cs="Times New Roman"/>
                <w:color w:val="auto"/>
                <w:highlight w:val="none"/>
                <w:lang w:val="en-US" w:eastAsia="zh-CN"/>
              </w:rPr>
              <w:t>本项目卸料、分拣、压实工序产生的臭气浓度无组织排放执行《恶臭污染物排放标准》（GB14554-93）中表1恶臭污染物厂界标准值二级新扩改建标准要求。分拣工序产生的颗粒物无组织排放执行广东省《大气污染物排放限值》（DB44/27-2001）第二时段排放限值。</w:t>
            </w:r>
          </w:p>
          <w:bookmarkEnd w:id="77"/>
          <w:bookmarkEnd w:id="78"/>
          <w:p w14:paraId="00F1182C">
            <w:pPr>
              <w:pStyle w:val="17"/>
              <w:spacing w:line="240" w:lineRule="auto"/>
              <w:rPr>
                <w:rFonts w:hint="eastAsia" w:ascii="Times New Roman" w:hAnsi="Times New Roman" w:eastAsia="宋体" w:cs="Times New Roman"/>
                <w:color w:val="auto"/>
                <w:highlight w:val="none"/>
                <w:lang w:val="en-US" w:eastAsia="zh-CN"/>
              </w:rPr>
            </w:pPr>
            <w:bookmarkStart w:id="82" w:name="_Toc10235"/>
            <w:bookmarkStart w:id="83" w:name="_Toc28296"/>
            <w:r>
              <w:rPr>
                <w:rFonts w:hint="default" w:ascii="Times New Roman" w:hAnsi="Times New Roman" w:cs="Times New Roman"/>
                <w:color w:val="auto"/>
                <w:highlight w:val="none"/>
              </w:rPr>
              <w:t>表3-</w:t>
            </w:r>
            <w:r>
              <w:rPr>
                <w:rFonts w:hint="eastAsia" w:cs="Times New Roman"/>
                <w:color w:val="auto"/>
                <w:highlight w:val="none"/>
                <w:lang w:val="en-US" w:eastAsia="zh-CN"/>
              </w:rPr>
              <w:t>5无组织废气排放</w:t>
            </w:r>
            <w:r>
              <w:rPr>
                <w:rFonts w:hint="default" w:ascii="Times New Roman" w:hAnsi="Times New Roman" w:cs="Times New Roman"/>
                <w:color w:val="auto"/>
                <w:highlight w:val="none"/>
              </w:rPr>
              <w:t>标准</w:t>
            </w:r>
            <w:r>
              <w:rPr>
                <w:rFonts w:hint="eastAsia" w:cs="Times New Roman"/>
                <w:color w:val="auto"/>
                <w:highlight w:val="none"/>
                <w:lang w:val="en-US" w:eastAsia="zh-CN"/>
              </w:rPr>
              <w:t>一览表</w:t>
            </w:r>
          </w:p>
          <w:bookmarkEnd w:id="82"/>
          <w:bookmarkEnd w:id="83"/>
          <w:tbl>
            <w:tblPr>
              <w:tblStyle w:val="4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9"/>
              <w:gridCol w:w="1375"/>
              <w:gridCol w:w="1394"/>
              <w:gridCol w:w="4010"/>
            </w:tblGrid>
            <w:tr w14:paraId="01078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9" w:type="pct"/>
                  <w:vAlign w:val="center"/>
                </w:tcPr>
                <w:p w14:paraId="7ACEE54F">
                  <w:pPr>
                    <w:pStyle w:val="124"/>
                    <w:bidi w:val="0"/>
                    <w:rPr>
                      <w:rFonts w:hint="default" w:ascii="Times New Roman" w:hAnsi="Times New Roman" w:eastAsia="宋体" w:cs="Times New Roman"/>
                      <w:b/>
                      <w:bCs/>
                      <w:color w:val="auto"/>
                      <w:highlight w:val="none"/>
                      <w:lang w:val="en-US" w:eastAsia="zh-CN"/>
                    </w:rPr>
                  </w:pPr>
                  <w:r>
                    <w:rPr>
                      <w:rFonts w:hint="default" w:ascii="Times New Roman" w:hAnsi="Times New Roman" w:cs="Times New Roman"/>
                      <w:b/>
                      <w:bCs/>
                      <w:color w:val="auto"/>
                      <w:highlight w:val="none"/>
                      <w:lang w:val="en-US" w:eastAsia="zh-CN"/>
                    </w:rPr>
                    <w:t>无组织排放监控点</w:t>
                  </w:r>
                </w:p>
              </w:tc>
              <w:tc>
                <w:tcPr>
                  <w:tcW w:w="868" w:type="pct"/>
                  <w:vAlign w:val="center"/>
                </w:tcPr>
                <w:p w14:paraId="3590DC47">
                  <w:pPr>
                    <w:pStyle w:val="124"/>
                    <w:bidi w:val="0"/>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污染物项目</w:t>
                  </w:r>
                </w:p>
              </w:tc>
              <w:tc>
                <w:tcPr>
                  <w:tcW w:w="880" w:type="pct"/>
                  <w:vAlign w:val="center"/>
                </w:tcPr>
                <w:p w14:paraId="4D1609B6">
                  <w:pPr>
                    <w:pStyle w:val="124"/>
                    <w:bidi w:val="0"/>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排放限值</w:t>
                  </w:r>
                </w:p>
              </w:tc>
              <w:tc>
                <w:tcPr>
                  <w:tcW w:w="2531" w:type="pct"/>
                  <w:vAlign w:val="center"/>
                </w:tcPr>
                <w:p w14:paraId="1DC98D0A">
                  <w:pPr>
                    <w:pStyle w:val="124"/>
                    <w:bidi w:val="0"/>
                    <w:rPr>
                      <w:rFonts w:hint="default" w:ascii="Times New Roman" w:hAnsi="Times New Roman" w:eastAsia="宋体" w:cs="Times New Roman"/>
                      <w:b/>
                      <w:bCs/>
                      <w:color w:val="auto"/>
                      <w:highlight w:val="none"/>
                      <w:lang w:val="en-US" w:eastAsia="zh-CN"/>
                    </w:rPr>
                  </w:pPr>
                  <w:r>
                    <w:rPr>
                      <w:rFonts w:hint="default" w:ascii="Times New Roman" w:hAnsi="Times New Roman" w:cs="Times New Roman"/>
                      <w:b/>
                      <w:bCs/>
                      <w:color w:val="auto"/>
                      <w:highlight w:val="none"/>
                      <w:lang w:val="en-US" w:eastAsia="zh-CN"/>
                    </w:rPr>
                    <w:t>执行标准</w:t>
                  </w:r>
                </w:p>
              </w:tc>
            </w:tr>
            <w:tr w14:paraId="7FF3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719" w:type="pct"/>
                  <w:vMerge w:val="restart"/>
                  <w:vAlign w:val="center"/>
                </w:tcPr>
                <w:p w14:paraId="3033BF58">
                  <w:pPr>
                    <w:pStyle w:val="124"/>
                    <w:bidi w:val="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厂界</w:t>
                  </w:r>
                </w:p>
              </w:tc>
              <w:tc>
                <w:tcPr>
                  <w:tcW w:w="868" w:type="pct"/>
                  <w:shd w:val="clear" w:color="auto" w:fill="auto"/>
                  <w:vAlign w:val="center"/>
                </w:tcPr>
                <w:p w14:paraId="02CEC349">
                  <w:pPr>
                    <w:pStyle w:val="124"/>
                    <w:bidi w:val="0"/>
                    <w:ind w:firstLine="0" w:firstLineChars="0"/>
                    <w:rPr>
                      <w:rFonts w:hint="eastAsia" w:ascii="Times New Roman" w:hAnsi="Times New Roman" w:eastAsia="宋体" w:cs="Times New Roman"/>
                      <w:color w:val="auto"/>
                      <w:sz w:val="21"/>
                      <w:szCs w:val="21"/>
                      <w:highlight w:val="none"/>
                      <w:lang w:val="en-US" w:eastAsia="zh-CN"/>
                    </w:rPr>
                  </w:pPr>
                  <w:r>
                    <w:rPr>
                      <w:rFonts w:hint="eastAsia" w:cs="Times New Roman"/>
                      <w:color w:val="auto"/>
                      <w:highlight w:val="none"/>
                      <w:lang w:val="en-US" w:eastAsia="zh-CN"/>
                    </w:rPr>
                    <w:t>臭气浓度</w:t>
                  </w:r>
                </w:p>
              </w:tc>
              <w:tc>
                <w:tcPr>
                  <w:tcW w:w="880" w:type="pct"/>
                  <w:shd w:val="clear" w:color="auto" w:fill="auto"/>
                  <w:vAlign w:val="center"/>
                </w:tcPr>
                <w:p w14:paraId="78DB76E1">
                  <w:pPr>
                    <w:pStyle w:val="124"/>
                    <w:bidi w:val="0"/>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highlight w:val="none"/>
                      <w:lang w:val="en-US" w:eastAsia="zh-CN"/>
                    </w:rPr>
                    <w:t>20（无量纲）</w:t>
                  </w:r>
                </w:p>
              </w:tc>
              <w:tc>
                <w:tcPr>
                  <w:tcW w:w="2531" w:type="pct"/>
                  <w:vAlign w:val="center"/>
                </w:tcPr>
                <w:p w14:paraId="017CEC6B">
                  <w:pPr>
                    <w:pStyle w:val="124"/>
                    <w:bidi w:val="0"/>
                    <w:rPr>
                      <w:rFonts w:hint="default" w:ascii="Times New Roman" w:hAnsi="Times New Roman" w:eastAsia="宋体" w:cs="Times New Roman"/>
                      <w:color w:val="auto"/>
                      <w:highlight w:val="none"/>
                      <w:lang w:eastAsia="zh-CN"/>
                    </w:rPr>
                  </w:pPr>
                  <w:r>
                    <w:rPr>
                      <w:rFonts w:hint="eastAsia" w:cs="Times New Roman"/>
                      <w:color w:val="auto"/>
                      <w:highlight w:val="none"/>
                      <w:lang w:val="en-US" w:eastAsia="zh-CN"/>
                    </w:rPr>
                    <w:t>《恶臭污染物排放标准》（GB14554-93）表1恶臭污染物厂界标准值二级新扩改建标准</w:t>
                  </w:r>
                </w:p>
              </w:tc>
            </w:tr>
            <w:tr w14:paraId="7FE26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719" w:type="pct"/>
                  <w:vMerge w:val="continue"/>
                  <w:vAlign w:val="center"/>
                </w:tcPr>
                <w:p w14:paraId="180F881C">
                  <w:pPr>
                    <w:pStyle w:val="124"/>
                    <w:bidi w:val="0"/>
                    <w:rPr>
                      <w:rFonts w:hint="eastAsia" w:cs="Times New Roman"/>
                      <w:color w:val="auto"/>
                      <w:highlight w:val="none"/>
                      <w:lang w:val="en-US" w:eastAsia="zh-CN"/>
                    </w:rPr>
                  </w:pPr>
                </w:p>
              </w:tc>
              <w:tc>
                <w:tcPr>
                  <w:tcW w:w="868" w:type="pct"/>
                  <w:vAlign w:val="center"/>
                </w:tcPr>
                <w:p w14:paraId="30A7CE26">
                  <w:pPr>
                    <w:pStyle w:val="124"/>
                    <w:bidi w:val="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颗粒物</w:t>
                  </w:r>
                </w:p>
              </w:tc>
              <w:tc>
                <w:tcPr>
                  <w:tcW w:w="880" w:type="pct"/>
                  <w:vAlign w:val="center"/>
                </w:tcPr>
                <w:p w14:paraId="19CBDEB3">
                  <w:pPr>
                    <w:pStyle w:val="124"/>
                    <w:bidi w:val="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1.0</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mg/</w:t>
                  </w:r>
                  <w:r>
                    <w:rPr>
                      <w:rFonts w:hint="default" w:ascii="Times New Roman" w:hAnsi="Times New Roman" w:eastAsia="Times New Roman" w:cs="Times New Roman"/>
                      <w:b w:val="0"/>
                      <w:bCs w:val="0"/>
                      <w:color w:val="auto"/>
                      <w:highlight w:val="none"/>
                      <w:lang w:eastAsia="zh-CN"/>
                    </w:rPr>
                    <w:t>m³</w:t>
                  </w:r>
                  <w:r>
                    <w:rPr>
                      <w:rFonts w:hint="default" w:ascii="Times New Roman" w:hAnsi="Times New Roman" w:cs="Times New Roman"/>
                      <w:b w:val="0"/>
                      <w:bCs w:val="0"/>
                      <w:color w:val="auto"/>
                      <w:highlight w:val="none"/>
                      <w:lang w:eastAsia="zh-CN"/>
                    </w:rPr>
                    <w:t>）</w:t>
                  </w:r>
                </w:p>
              </w:tc>
              <w:tc>
                <w:tcPr>
                  <w:tcW w:w="2531" w:type="pct"/>
                  <w:vAlign w:val="center"/>
                </w:tcPr>
                <w:p w14:paraId="273658F6">
                  <w:pPr>
                    <w:pStyle w:val="124"/>
                    <w:bidi w:val="0"/>
                    <w:rPr>
                      <w:rFonts w:hint="default" w:ascii="Times New Roman" w:hAnsi="Times New Roman" w:cs="Times New Roman"/>
                      <w:color w:val="auto"/>
                      <w:highlight w:val="none"/>
                      <w:lang w:eastAsia="zh-CN"/>
                    </w:rPr>
                  </w:pPr>
                  <w:r>
                    <w:rPr>
                      <w:rFonts w:hint="eastAsia" w:cs="Times New Roman"/>
                      <w:color w:val="auto"/>
                      <w:highlight w:val="none"/>
                      <w:lang w:val="en-US" w:eastAsia="zh-CN"/>
                    </w:rPr>
                    <w:t>广东省《大气污染物排放限值》（DB44/27-2001）第二时段排放限值</w:t>
                  </w:r>
                </w:p>
              </w:tc>
            </w:tr>
            <w:bookmarkEnd w:id="79"/>
            <w:bookmarkEnd w:id="80"/>
            <w:bookmarkEnd w:id="81"/>
          </w:tbl>
          <w:p w14:paraId="55A339D8">
            <w:pPr>
              <w:keepNext/>
              <w:keepLines/>
              <w:widowControl w:val="0"/>
              <w:numPr>
                <w:ilvl w:val="2"/>
                <w:numId w:val="0"/>
              </w:numPr>
              <w:spacing w:line="360" w:lineRule="auto"/>
              <w:ind w:firstLine="480" w:firstLineChars="200"/>
              <w:jc w:val="both"/>
              <w:outlineLvl w:val="2"/>
              <w:rPr>
                <w:rFonts w:hint="default" w:ascii="Times New Roman" w:hAnsi="Times New Roman" w:eastAsia="宋体" w:cs="Times New Roman"/>
                <w:b/>
                <w:bCs/>
                <w:color w:val="auto"/>
                <w:kern w:val="2"/>
                <w:sz w:val="24"/>
                <w:szCs w:val="24"/>
                <w:highlight w:val="none"/>
                <w:lang w:val="en-US" w:eastAsia="zh-CN" w:bidi="ar-SA"/>
              </w:rPr>
            </w:pPr>
          </w:p>
          <w:p w14:paraId="1AEFEFAE">
            <w:pPr>
              <w:keepNext/>
              <w:keepLines/>
              <w:widowControl w:val="0"/>
              <w:numPr>
                <w:ilvl w:val="2"/>
                <w:numId w:val="0"/>
              </w:numPr>
              <w:spacing w:line="360" w:lineRule="auto"/>
              <w:ind w:firstLine="480" w:firstLineChars="200"/>
              <w:jc w:val="both"/>
              <w:outlineLvl w:val="2"/>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二、废水排放标准</w:t>
            </w:r>
          </w:p>
          <w:p w14:paraId="5E872A3A">
            <w:pPr>
              <w:snapToGrid w:val="0"/>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本项目运营期废水主要为员工生活污水。</w:t>
            </w:r>
          </w:p>
          <w:p w14:paraId="47F5637B">
            <w:pPr>
              <w:snapToGrid w:val="0"/>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生活污水经三级化粪池处理达到</w:t>
            </w:r>
            <w:r>
              <w:rPr>
                <w:rFonts w:hint="default" w:ascii="Times New Roman" w:hAnsi="Times New Roman" w:eastAsia="宋体" w:cs="Times New Roman"/>
                <w:color w:val="auto"/>
                <w:highlight w:val="none"/>
                <w:lang w:eastAsia="zh-CN"/>
              </w:rPr>
              <w:t>园区污水处理厂接管水质</w:t>
            </w:r>
            <w:r>
              <w:rPr>
                <w:rFonts w:hint="default" w:ascii="Times New Roman" w:hAnsi="Times New Roman" w:eastAsia="宋体" w:cs="Times New Roman"/>
                <w:color w:val="auto"/>
                <w:highlight w:val="none"/>
                <w:lang w:val="en-US" w:eastAsia="zh-CN"/>
              </w:rPr>
              <w:t>要求及广东省《水污染</w:t>
            </w:r>
            <w:r>
              <w:rPr>
                <w:rFonts w:hint="default" w:ascii="Times New Roman" w:hAnsi="Times New Roman" w:cs="Times New Roman"/>
                <w:color w:val="auto"/>
                <w:highlight w:val="none"/>
                <w:lang w:val="en-US" w:eastAsia="zh-CN"/>
              </w:rPr>
              <w:t>物</w:t>
            </w:r>
            <w:r>
              <w:rPr>
                <w:rFonts w:hint="default" w:ascii="Times New Roman" w:hAnsi="Times New Roman" w:eastAsia="宋体" w:cs="Times New Roman"/>
                <w:color w:val="auto"/>
                <w:highlight w:val="none"/>
                <w:lang w:val="en-US" w:eastAsia="zh-CN"/>
              </w:rPr>
              <w:t>排放限值》（DB44/26-2001）第二时段三级标准两者较严值要求</w:t>
            </w:r>
            <w:r>
              <w:rPr>
                <w:rFonts w:hint="default" w:ascii="Times New Roman" w:hAnsi="Times New Roman" w:eastAsia="宋体" w:cs="Times New Roman"/>
                <w:color w:val="auto"/>
                <w:highlight w:val="none"/>
              </w:rPr>
              <w:t>后</w:t>
            </w:r>
            <w:r>
              <w:rPr>
                <w:rFonts w:hint="default"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通过园区污水管网</w:t>
            </w:r>
            <w:r>
              <w:rPr>
                <w:rFonts w:hint="default" w:ascii="Times New Roman" w:hAnsi="Times New Roman" w:eastAsia="宋体" w:cs="Times New Roman"/>
                <w:color w:val="auto"/>
                <w:highlight w:val="none"/>
                <w:lang w:eastAsia="zh-CN"/>
              </w:rPr>
              <w:t>排入园区污水处理厂处理</w:t>
            </w:r>
            <w:r>
              <w:rPr>
                <w:rFonts w:hint="default" w:ascii="Times New Roman" w:hAnsi="Times New Roman" w:eastAsia="宋体" w:cs="Times New Roman"/>
                <w:color w:val="auto"/>
                <w:highlight w:val="none"/>
              </w:rPr>
              <w:t>。</w:t>
            </w:r>
          </w:p>
          <w:p w14:paraId="260720F7">
            <w:pPr>
              <w:snapToGrid w:val="0"/>
              <w:ind w:firstLine="480" w:firstLineChars="20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园区</w:t>
            </w:r>
            <w:r>
              <w:rPr>
                <w:rFonts w:hint="default" w:ascii="Times New Roman" w:hAnsi="Times New Roman" w:eastAsia="宋体" w:cs="Times New Roman"/>
                <w:color w:val="auto"/>
                <w:highlight w:val="none"/>
                <w:lang w:eastAsia="zh-CN"/>
              </w:rPr>
              <w:t>污水</w:t>
            </w:r>
            <w:r>
              <w:rPr>
                <w:rFonts w:hint="default" w:ascii="Times New Roman" w:hAnsi="Times New Roman" w:eastAsia="宋体" w:cs="Times New Roman"/>
                <w:color w:val="auto"/>
                <w:highlight w:val="none"/>
              </w:rPr>
              <w:t>处理</w:t>
            </w:r>
            <w:r>
              <w:rPr>
                <w:rFonts w:hint="default" w:ascii="Times New Roman" w:hAnsi="Times New Roman" w:eastAsia="宋体" w:cs="Times New Roman"/>
                <w:color w:val="auto"/>
                <w:highlight w:val="none"/>
                <w:lang w:val="en-US" w:eastAsia="zh-CN"/>
              </w:rPr>
              <w:t>厂</w:t>
            </w:r>
            <w:r>
              <w:rPr>
                <w:rFonts w:hint="default" w:ascii="Times New Roman" w:hAnsi="Times New Roman" w:eastAsia="宋体" w:cs="Times New Roman"/>
                <w:color w:val="auto"/>
                <w:highlight w:val="none"/>
              </w:rPr>
              <w:t>出水水质标准执行广东省《水污染</w:t>
            </w:r>
            <w:r>
              <w:rPr>
                <w:rFonts w:hint="eastAsia" w:cs="Times New Roman"/>
                <w:color w:val="auto"/>
                <w:highlight w:val="none"/>
                <w:lang w:val="en-US" w:eastAsia="zh-CN"/>
              </w:rPr>
              <w:t>物</w:t>
            </w:r>
            <w:r>
              <w:rPr>
                <w:rFonts w:hint="default" w:ascii="Times New Roman" w:hAnsi="Times New Roman" w:eastAsia="宋体" w:cs="Times New Roman"/>
                <w:color w:val="auto"/>
                <w:highlight w:val="none"/>
              </w:rPr>
              <w:t>排放限值》（DB44/26-2001）第二时段一级标准和《城镇污水处理厂污染物排放标准》（GB</w:t>
            </w:r>
            <w:r>
              <w:rPr>
                <w:rFonts w:hint="eastAsia" w:cs="Times New Roman"/>
                <w:color w:val="auto"/>
                <w:highlight w:val="none"/>
                <w:lang w:val="en-US" w:eastAsia="zh-CN"/>
              </w:rPr>
              <w:t xml:space="preserve"> </w:t>
            </w:r>
            <w:r>
              <w:rPr>
                <w:rFonts w:hint="default" w:ascii="Times New Roman" w:hAnsi="Times New Roman" w:eastAsia="宋体" w:cs="Times New Roman"/>
                <w:color w:val="auto"/>
                <w:highlight w:val="none"/>
              </w:rPr>
              <w:t>1891</w:t>
            </w:r>
            <w:r>
              <w:rPr>
                <w:rFonts w:hint="eastAsia" w:cs="Times New Roman"/>
                <w:color w:val="auto"/>
                <w:highlight w:val="none"/>
                <w:lang w:val="en-US" w:eastAsia="zh-CN"/>
              </w:rPr>
              <w:t>8</w:t>
            </w:r>
            <w:r>
              <w:rPr>
                <w:rFonts w:hint="default" w:ascii="Times New Roman" w:hAnsi="Times New Roman" w:eastAsia="宋体" w:cs="Times New Roman"/>
                <w:color w:val="auto"/>
                <w:highlight w:val="none"/>
              </w:rPr>
              <w:t>-2002）一级</w:t>
            </w:r>
            <w:r>
              <w:rPr>
                <w:rFonts w:hint="default" w:ascii="Times New Roman" w:hAnsi="Times New Roman" w:cs="Times New Roman"/>
                <w:color w:val="auto"/>
                <w:highlight w:val="none"/>
                <w:lang w:val="en-US" w:eastAsia="zh-CN"/>
              </w:rPr>
              <w:t>A</w:t>
            </w:r>
            <w:r>
              <w:rPr>
                <w:rFonts w:hint="default" w:ascii="Times New Roman" w:hAnsi="Times New Roman" w:eastAsia="宋体" w:cs="Times New Roman"/>
                <w:color w:val="auto"/>
                <w:highlight w:val="none"/>
              </w:rPr>
              <w:t>标准中严者。</w:t>
            </w:r>
            <w:r>
              <w:rPr>
                <w:rFonts w:hint="default" w:ascii="Times New Roman" w:hAnsi="Times New Roman" w:eastAsia="宋体" w:cs="Times New Roman"/>
                <w:color w:val="auto"/>
                <w:highlight w:val="none"/>
                <w:lang w:val="zh-CN"/>
              </w:rPr>
              <w:t>相关排放标准情况</w:t>
            </w:r>
            <w:r>
              <w:rPr>
                <w:rFonts w:hint="default" w:ascii="Times New Roman" w:hAnsi="Times New Roman" w:eastAsia="宋体" w:cs="Times New Roman"/>
                <w:color w:val="auto"/>
                <w:highlight w:val="none"/>
              </w:rPr>
              <w:t>见下表</w:t>
            </w:r>
            <w:r>
              <w:rPr>
                <w:rFonts w:hint="default" w:ascii="Times New Roman" w:hAnsi="Times New Roman" w:cs="Times New Roman"/>
                <w:color w:val="auto"/>
                <w:highlight w:val="none"/>
                <w:lang w:eastAsia="zh-CN"/>
              </w:rPr>
              <w:t>。</w:t>
            </w:r>
          </w:p>
          <w:p w14:paraId="45F5FD19">
            <w:pPr>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表3-</w:t>
            </w:r>
            <w:r>
              <w:rPr>
                <w:rFonts w:hint="eastAsia" w:cs="Times New Roman"/>
                <w:b/>
                <w:bCs/>
                <w:color w:val="auto"/>
                <w:sz w:val="21"/>
                <w:szCs w:val="21"/>
                <w:highlight w:val="none"/>
                <w:lang w:val="en-US" w:eastAsia="zh-CN"/>
              </w:rPr>
              <w:t>6</w:t>
            </w:r>
            <w:r>
              <w:rPr>
                <w:rFonts w:hint="default" w:ascii="Times New Roman" w:hAnsi="Times New Roman" w:eastAsia="宋体" w:cs="Times New Roman"/>
                <w:b/>
                <w:bCs/>
                <w:color w:val="auto"/>
                <w:sz w:val="21"/>
                <w:szCs w:val="21"/>
                <w:highlight w:val="none"/>
                <w:lang w:eastAsia="zh-CN"/>
              </w:rPr>
              <w:t>园区污水处理厂接管水质</w:t>
            </w:r>
            <w:r>
              <w:rPr>
                <w:rFonts w:hint="default" w:ascii="Times New Roman" w:hAnsi="Times New Roman" w:eastAsia="宋体" w:cs="Times New Roman"/>
                <w:b/>
                <w:bCs/>
                <w:color w:val="auto"/>
                <w:sz w:val="21"/>
                <w:szCs w:val="21"/>
                <w:highlight w:val="none"/>
                <w:lang w:val="en-US" w:eastAsia="zh-CN"/>
              </w:rPr>
              <w:t>要求及广东省《水污染</w:t>
            </w:r>
            <w:r>
              <w:rPr>
                <w:rFonts w:hint="default" w:ascii="Times New Roman" w:hAnsi="Times New Roman" w:cs="Times New Roman"/>
                <w:b/>
                <w:bCs/>
                <w:color w:val="auto"/>
                <w:sz w:val="21"/>
                <w:szCs w:val="21"/>
                <w:highlight w:val="none"/>
                <w:lang w:val="en-US" w:eastAsia="zh-CN"/>
              </w:rPr>
              <w:t>物</w:t>
            </w:r>
            <w:r>
              <w:rPr>
                <w:rFonts w:hint="default" w:ascii="Times New Roman" w:hAnsi="Times New Roman" w:eastAsia="宋体" w:cs="Times New Roman"/>
                <w:b/>
                <w:bCs/>
                <w:color w:val="auto"/>
                <w:sz w:val="21"/>
                <w:szCs w:val="21"/>
                <w:highlight w:val="none"/>
                <w:lang w:val="en-US" w:eastAsia="zh-CN"/>
              </w:rPr>
              <w:t>排放限值》（DB44/26-2001）第二时段三级标准两者较严值</w:t>
            </w:r>
            <w:r>
              <w:rPr>
                <w:rFonts w:hint="default" w:ascii="Times New Roman" w:hAnsi="Times New Roman" w:eastAsia="宋体" w:cs="Times New Roman"/>
                <w:b/>
                <w:bCs/>
                <w:color w:val="auto"/>
                <w:sz w:val="21"/>
                <w:szCs w:val="21"/>
                <w:highlight w:val="none"/>
              </w:rPr>
              <w:t>要求mg/L，pH为无量纲</w:t>
            </w:r>
          </w:p>
          <w:tbl>
            <w:tblPr>
              <w:tblStyle w:val="4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38"/>
              <w:gridCol w:w="923"/>
              <w:gridCol w:w="985"/>
              <w:gridCol w:w="1194"/>
              <w:gridCol w:w="735"/>
              <w:gridCol w:w="838"/>
            </w:tblGrid>
            <w:tr w14:paraId="0B2F2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045" w:type="pct"/>
                  <w:tcBorders>
                    <w:tl2br w:val="nil"/>
                    <w:tr2bl w:val="nil"/>
                  </w:tcBorders>
                  <w:noWrap/>
                  <w:tcMar>
                    <w:left w:w="0" w:type="dxa"/>
                    <w:right w:w="0" w:type="dxa"/>
                  </w:tcMar>
                  <w:vAlign w:val="center"/>
                </w:tcPr>
                <w:p w14:paraId="4AD0C58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污染物</w:t>
                  </w:r>
                </w:p>
              </w:tc>
              <w:tc>
                <w:tcPr>
                  <w:tcW w:w="583" w:type="pct"/>
                  <w:tcBorders>
                    <w:tl2br w:val="nil"/>
                    <w:tr2bl w:val="nil"/>
                  </w:tcBorders>
                  <w:noWrap/>
                  <w:tcMar>
                    <w:left w:w="0" w:type="dxa"/>
                    <w:right w:w="0" w:type="dxa"/>
                  </w:tcMar>
                  <w:vAlign w:val="center"/>
                </w:tcPr>
                <w:p w14:paraId="377529B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pH</w:t>
                  </w:r>
                </w:p>
              </w:tc>
              <w:tc>
                <w:tcPr>
                  <w:tcW w:w="622" w:type="pct"/>
                  <w:tcBorders>
                    <w:tl2br w:val="nil"/>
                    <w:tr2bl w:val="nil"/>
                  </w:tcBorders>
                  <w:noWrap/>
                  <w:tcMar>
                    <w:left w:w="0" w:type="dxa"/>
                    <w:right w:w="0" w:type="dxa"/>
                  </w:tcMar>
                  <w:vAlign w:val="center"/>
                </w:tcPr>
                <w:p w14:paraId="4C60957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bCs/>
                      <w:color w:val="auto"/>
                      <w:sz w:val="21"/>
                      <w:szCs w:val="21"/>
                      <w:highlight w:val="none"/>
                      <w:vertAlign w:val="subscript"/>
                    </w:rPr>
                  </w:pPr>
                  <w:r>
                    <w:rPr>
                      <w:rFonts w:hint="default" w:ascii="Times New Roman" w:hAnsi="Times New Roman" w:cs="Times New Roman"/>
                      <w:b/>
                      <w:bCs/>
                      <w:color w:val="auto"/>
                      <w:sz w:val="21"/>
                      <w:szCs w:val="21"/>
                      <w:highlight w:val="none"/>
                    </w:rPr>
                    <w:t>COD</w:t>
                  </w:r>
                  <w:r>
                    <w:rPr>
                      <w:rFonts w:hint="default" w:ascii="Times New Roman" w:hAnsi="Times New Roman" w:cs="Times New Roman"/>
                      <w:b/>
                      <w:bCs/>
                      <w:color w:val="auto"/>
                      <w:sz w:val="21"/>
                      <w:szCs w:val="21"/>
                      <w:highlight w:val="none"/>
                      <w:vertAlign w:val="subscript"/>
                    </w:rPr>
                    <w:t>Cr</w:t>
                  </w:r>
                </w:p>
              </w:tc>
              <w:tc>
                <w:tcPr>
                  <w:tcW w:w="754" w:type="pct"/>
                  <w:tcBorders>
                    <w:tl2br w:val="nil"/>
                    <w:tr2bl w:val="nil"/>
                  </w:tcBorders>
                  <w:noWrap/>
                  <w:vAlign w:val="center"/>
                </w:tcPr>
                <w:p w14:paraId="748E25B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bCs/>
                      <w:color w:val="auto"/>
                      <w:sz w:val="21"/>
                      <w:szCs w:val="21"/>
                      <w:highlight w:val="none"/>
                      <w:vertAlign w:val="subscript"/>
                    </w:rPr>
                  </w:pPr>
                  <w:r>
                    <w:rPr>
                      <w:rFonts w:hint="default" w:ascii="Times New Roman" w:hAnsi="Times New Roman" w:cs="Times New Roman"/>
                      <w:b/>
                      <w:bCs/>
                      <w:color w:val="auto"/>
                      <w:sz w:val="21"/>
                      <w:szCs w:val="21"/>
                      <w:highlight w:val="none"/>
                    </w:rPr>
                    <w:t>BOD</w:t>
                  </w:r>
                  <w:r>
                    <w:rPr>
                      <w:rFonts w:hint="default" w:ascii="Times New Roman" w:hAnsi="Times New Roman" w:cs="Times New Roman"/>
                      <w:b/>
                      <w:bCs/>
                      <w:color w:val="auto"/>
                      <w:sz w:val="21"/>
                      <w:szCs w:val="21"/>
                      <w:highlight w:val="none"/>
                      <w:vertAlign w:val="subscript"/>
                    </w:rPr>
                    <w:t>5</w:t>
                  </w:r>
                </w:p>
              </w:tc>
              <w:tc>
                <w:tcPr>
                  <w:tcW w:w="464" w:type="pct"/>
                  <w:tcBorders>
                    <w:tl2br w:val="nil"/>
                    <w:tr2bl w:val="nil"/>
                  </w:tcBorders>
                  <w:noWrap/>
                  <w:vAlign w:val="center"/>
                </w:tcPr>
                <w:p w14:paraId="5345C31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SS</w:t>
                  </w:r>
                </w:p>
              </w:tc>
              <w:tc>
                <w:tcPr>
                  <w:tcW w:w="529" w:type="pct"/>
                  <w:tcBorders>
                    <w:tl2br w:val="nil"/>
                    <w:tr2bl w:val="nil"/>
                  </w:tcBorders>
                  <w:noWrap/>
                  <w:vAlign w:val="center"/>
                </w:tcPr>
                <w:p w14:paraId="6F591CB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氨氮</w:t>
                  </w:r>
                </w:p>
              </w:tc>
            </w:tr>
            <w:tr w14:paraId="554E2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045" w:type="pct"/>
                  <w:tcBorders>
                    <w:tl2br w:val="nil"/>
                    <w:tr2bl w:val="nil"/>
                  </w:tcBorders>
                  <w:noWrap/>
                  <w:tcMar>
                    <w:left w:w="0" w:type="dxa"/>
                    <w:right w:w="0" w:type="dxa"/>
                  </w:tcMar>
                  <w:vAlign w:val="center"/>
                </w:tcPr>
                <w:p w14:paraId="1A714C91">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园区污水处理厂接管水质要求</w:t>
                  </w:r>
                </w:p>
              </w:tc>
              <w:tc>
                <w:tcPr>
                  <w:tcW w:w="583" w:type="pct"/>
                  <w:tcBorders>
                    <w:tl2br w:val="nil"/>
                    <w:tr2bl w:val="nil"/>
                  </w:tcBorders>
                  <w:noWrap/>
                  <w:tcMar>
                    <w:left w:w="0" w:type="dxa"/>
                    <w:right w:w="0" w:type="dxa"/>
                  </w:tcMar>
                  <w:vAlign w:val="center"/>
                </w:tcPr>
                <w:p w14:paraId="6FAA6B36">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color w:val="auto"/>
                      <w:sz w:val="21"/>
                      <w:szCs w:val="21"/>
                      <w:highlight w:val="none"/>
                    </w:rPr>
                    <w:t>6-9</w:t>
                  </w:r>
                </w:p>
              </w:tc>
              <w:tc>
                <w:tcPr>
                  <w:tcW w:w="622" w:type="pct"/>
                  <w:tcBorders>
                    <w:tl2br w:val="nil"/>
                    <w:tr2bl w:val="nil"/>
                  </w:tcBorders>
                  <w:noWrap/>
                  <w:tcMar>
                    <w:left w:w="0" w:type="dxa"/>
                    <w:right w:w="0" w:type="dxa"/>
                  </w:tcMar>
                  <w:vAlign w:val="center"/>
                </w:tcPr>
                <w:p w14:paraId="709E9FAD">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300</w:t>
                  </w:r>
                </w:p>
              </w:tc>
              <w:tc>
                <w:tcPr>
                  <w:tcW w:w="754" w:type="pct"/>
                  <w:tcBorders>
                    <w:tl2br w:val="nil"/>
                    <w:tr2bl w:val="nil"/>
                  </w:tcBorders>
                  <w:noWrap/>
                  <w:vAlign w:val="center"/>
                </w:tcPr>
                <w:p w14:paraId="17EEB8B4">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150</w:t>
                  </w:r>
                </w:p>
              </w:tc>
              <w:tc>
                <w:tcPr>
                  <w:tcW w:w="464" w:type="pct"/>
                  <w:tcBorders>
                    <w:tl2br w:val="nil"/>
                    <w:tr2bl w:val="nil"/>
                  </w:tcBorders>
                  <w:noWrap/>
                  <w:vAlign w:val="center"/>
                </w:tcPr>
                <w:p w14:paraId="16D8A694">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250</w:t>
                  </w:r>
                </w:p>
              </w:tc>
              <w:tc>
                <w:tcPr>
                  <w:tcW w:w="529" w:type="pct"/>
                  <w:tcBorders>
                    <w:tl2br w:val="nil"/>
                    <w:tr2bl w:val="nil"/>
                  </w:tcBorders>
                  <w:noWrap/>
                  <w:vAlign w:val="center"/>
                </w:tcPr>
                <w:p w14:paraId="1BEF747E">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w:t>
                  </w:r>
                </w:p>
              </w:tc>
            </w:tr>
            <w:tr w14:paraId="776A6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045" w:type="pct"/>
                  <w:tcBorders>
                    <w:tl2br w:val="nil"/>
                    <w:tr2bl w:val="nil"/>
                  </w:tcBorders>
                  <w:noWrap/>
                  <w:tcMar>
                    <w:left w:w="0" w:type="dxa"/>
                    <w:right w:w="0" w:type="dxa"/>
                  </w:tcMar>
                  <w:vAlign w:val="center"/>
                </w:tcPr>
                <w:p w14:paraId="79F076BB">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DB44/26-2001第二时段三级标准</w:t>
                  </w:r>
                </w:p>
              </w:tc>
              <w:tc>
                <w:tcPr>
                  <w:tcW w:w="583" w:type="pct"/>
                  <w:tcBorders>
                    <w:tl2br w:val="nil"/>
                    <w:tr2bl w:val="nil"/>
                  </w:tcBorders>
                  <w:noWrap/>
                  <w:tcMar>
                    <w:left w:w="0" w:type="dxa"/>
                    <w:right w:w="0" w:type="dxa"/>
                  </w:tcMar>
                  <w:vAlign w:val="center"/>
                </w:tcPr>
                <w:p w14:paraId="481B0E2C">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color w:val="auto"/>
                      <w:sz w:val="21"/>
                      <w:szCs w:val="21"/>
                      <w:highlight w:val="none"/>
                    </w:rPr>
                    <w:t>6-9</w:t>
                  </w:r>
                </w:p>
              </w:tc>
              <w:tc>
                <w:tcPr>
                  <w:tcW w:w="622" w:type="pct"/>
                  <w:tcBorders>
                    <w:tl2br w:val="nil"/>
                    <w:tr2bl w:val="nil"/>
                  </w:tcBorders>
                  <w:noWrap/>
                  <w:tcMar>
                    <w:left w:w="0" w:type="dxa"/>
                    <w:right w:w="0" w:type="dxa"/>
                  </w:tcMar>
                  <w:vAlign w:val="center"/>
                </w:tcPr>
                <w:p w14:paraId="1B555410">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500</w:t>
                  </w:r>
                </w:p>
              </w:tc>
              <w:tc>
                <w:tcPr>
                  <w:tcW w:w="754" w:type="pct"/>
                  <w:tcBorders>
                    <w:tl2br w:val="nil"/>
                    <w:tr2bl w:val="nil"/>
                  </w:tcBorders>
                  <w:noWrap/>
                  <w:vAlign w:val="center"/>
                </w:tcPr>
                <w:p w14:paraId="5E164377">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300</w:t>
                  </w:r>
                </w:p>
              </w:tc>
              <w:tc>
                <w:tcPr>
                  <w:tcW w:w="464" w:type="pct"/>
                  <w:tcBorders>
                    <w:tl2br w:val="nil"/>
                    <w:tr2bl w:val="nil"/>
                  </w:tcBorders>
                  <w:noWrap/>
                  <w:vAlign w:val="center"/>
                </w:tcPr>
                <w:p w14:paraId="71563987">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400</w:t>
                  </w:r>
                </w:p>
              </w:tc>
              <w:tc>
                <w:tcPr>
                  <w:tcW w:w="529" w:type="pct"/>
                  <w:tcBorders>
                    <w:tl2br w:val="nil"/>
                    <w:tr2bl w:val="nil"/>
                  </w:tcBorders>
                  <w:noWrap/>
                  <w:vAlign w:val="center"/>
                </w:tcPr>
                <w:p w14:paraId="54F42AB0">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2857D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045" w:type="pct"/>
                  <w:tcBorders>
                    <w:tl2br w:val="nil"/>
                    <w:tr2bl w:val="nil"/>
                  </w:tcBorders>
                  <w:noWrap/>
                  <w:tcMar>
                    <w:left w:w="0" w:type="dxa"/>
                    <w:right w:w="0" w:type="dxa"/>
                  </w:tcMar>
                  <w:vAlign w:val="center"/>
                </w:tcPr>
                <w:p w14:paraId="41C2D251">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本项目</w:t>
                  </w:r>
                  <w:r>
                    <w:rPr>
                      <w:rFonts w:hint="default" w:ascii="Times New Roman" w:hAnsi="Times New Roman" w:cs="Times New Roman"/>
                      <w:color w:val="auto"/>
                      <w:sz w:val="21"/>
                      <w:szCs w:val="21"/>
                      <w:highlight w:val="none"/>
                    </w:rPr>
                    <w:t>执行限值</w:t>
                  </w:r>
                </w:p>
              </w:tc>
              <w:tc>
                <w:tcPr>
                  <w:tcW w:w="583" w:type="pct"/>
                  <w:tcBorders>
                    <w:tl2br w:val="nil"/>
                    <w:tr2bl w:val="nil"/>
                  </w:tcBorders>
                  <w:noWrap/>
                  <w:tcMar>
                    <w:left w:w="0" w:type="dxa"/>
                    <w:right w:w="0" w:type="dxa"/>
                  </w:tcMar>
                  <w:vAlign w:val="center"/>
                </w:tcPr>
                <w:p w14:paraId="16553905">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6-9</w:t>
                  </w:r>
                </w:p>
              </w:tc>
              <w:tc>
                <w:tcPr>
                  <w:tcW w:w="622" w:type="pct"/>
                  <w:tcBorders>
                    <w:tl2br w:val="nil"/>
                    <w:tr2bl w:val="nil"/>
                  </w:tcBorders>
                  <w:noWrap/>
                  <w:tcMar>
                    <w:left w:w="0" w:type="dxa"/>
                    <w:right w:w="0" w:type="dxa"/>
                  </w:tcMar>
                  <w:vAlign w:val="center"/>
                </w:tcPr>
                <w:p w14:paraId="1A431059">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300</w:t>
                  </w:r>
                </w:p>
              </w:tc>
              <w:tc>
                <w:tcPr>
                  <w:tcW w:w="754" w:type="pct"/>
                  <w:tcBorders>
                    <w:tl2br w:val="nil"/>
                    <w:tr2bl w:val="nil"/>
                  </w:tcBorders>
                  <w:noWrap/>
                  <w:vAlign w:val="center"/>
                </w:tcPr>
                <w:p w14:paraId="15FFBD16">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150</w:t>
                  </w:r>
                </w:p>
              </w:tc>
              <w:tc>
                <w:tcPr>
                  <w:tcW w:w="464" w:type="pct"/>
                  <w:tcBorders>
                    <w:tl2br w:val="nil"/>
                    <w:tr2bl w:val="nil"/>
                  </w:tcBorders>
                  <w:noWrap/>
                  <w:vAlign w:val="center"/>
                </w:tcPr>
                <w:p w14:paraId="7CBD0586">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250</w:t>
                  </w:r>
                </w:p>
              </w:tc>
              <w:tc>
                <w:tcPr>
                  <w:tcW w:w="529" w:type="pct"/>
                  <w:tcBorders>
                    <w:tl2br w:val="nil"/>
                    <w:tr2bl w:val="nil"/>
                  </w:tcBorders>
                  <w:noWrap/>
                  <w:vAlign w:val="center"/>
                </w:tcPr>
                <w:p w14:paraId="3ABA1D9D">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w:t>
                  </w:r>
                </w:p>
              </w:tc>
            </w:tr>
          </w:tbl>
          <w:p w14:paraId="0A3819A7">
            <w:pPr>
              <w:spacing w:line="360" w:lineRule="auto"/>
              <w:jc w:val="center"/>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rPr>
              <w:t>表3</w:t>
            </w:r>
            <w:r>
              <w:rPr>
                <w:rFonts w:hint="eastAsia" w:ascii="Times New Roman" w:hAnsi="Times New Roman" w:eastAsia="宋体" w:cs="Times New Roman"/>
                <w:b/>
                <w:bCs/>
                <w:color w:val="auto"/>
                <w:sz w:val="21"/>
                <w:szCs w:val="21"/>
                <w:highlight w:val="none"/>
                <w:lang w:val="en-US" w:eastAsia="zh-CN"/>
              </w:rPr>
              <w:t>-</w:t>
            </w:r>
            <w:r>
              <w:rPr>
                <w:rFonts w:hint="eastAsia" w:cs="Times New Roman"/>
                <w:b/>
                <w:bCs/>
                <w:color w:val="auto"/>
                <w:sz w:val="21"/>
                <w:szCs w:val="21"/>
                <w:highlight w:val="none"/>
                <w:lang w:val="en-US" w:eastAsia="zh-CN"/>
              </w:rPr>
              <w:t>7</w:t>
            </w:r>
            <w:r>
              <w:rPr>
                <w:rFonts w:hint="default" w:ascii="Times New Roman" w:hAnsi="Times New Roman" w:eastAsia="宋体" w:cs="Times New Roman"/>
                <w:b/>
                <w:bCs/>
                <w:color w:val="auto"/>
                <w:sz w:val="21"/>
                <w:szCs w:val="21"/>
                <w:highlight w:val="none"/>
              </w:rPr>
              <w:t>园区污水处理厂水污染物排放限值（摘录）mg/L</w:t>
            </w:r>
            <w:r>
              <w:rPr>
                <w:rFonts w:hint="default" w:ascii="Times New Roman" w:hAnsi="Times New Roman" w:eastAsia="宋体"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pH为无量纲</w:t>
            </w:r>
          </w:p>
          <w:tbl>
            <w:tblPr>
              <w:tblStyle w:val="44"/>
              <w:tblW w:w="498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80"/>
              <w:gridCol w:w="869"/>
              <w:gridCol w:w="772"/>
              <w:gridCol w:w="692"/>
              <w:gridCol w:w="861"/>
              <w:gridCol w:w="1338"/>
              <w:gridCol w:w="1106"/>
            </w:tblGrid>
            <w:tr w14:paraId="2D92E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384" w:type="pct"/>
                  <w:tcBorders>
                    <w:tl2br w:val="nil"/>
                    <w:tr2bl w:val="nil"/>
                  </w:tcBorders>
                  <w:noWrap/>
                  <w:tcMar>
                    <w:left w:w="0" w:type="dxa"/>
                    <w:right w:w="0" w:type="dxa"/>
                  </w:tcMar>
                  <w:vAlign w:val="center"/>
                </w:tcPr>
                <w:p w14:paraId="4C3DD3CF">
                  <w:pPr>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污染物</w:t>
                  </w:r>
                </w:p>
              </w:tc>
              <w:tc>
                <w:tcPr>
                  <w:tcW w:w="600" w:type="pct"/>
                  <w:tcBorders>
                    <w:tl2br w:val="nil"/>
                    <w:tr2bl w:val="nil"/>
                  </w:tcBorders>
                  <w:noWrap/>
                  <w:tcMar>
                    <w:left w:w="0" w:type="dxa"/>
                    <w:right w:w="0" w:type="dxa"/>
                  </w:tcMar>
                  <w:vAlign w:val="center"/>
                </w:tcPr>
                <w:p w14:paraId="1A3ED3D9">
                  <w:pPr>
                    <w:snapToGrid w:val="0"/>
                    <w:spacing w:line="240" w:lineRule="auto"/>
                    <w:jc w:val="center"/>
                    <w:rPr>
                      <w:rFonts w:hint="default" w:ascii="Times New Roman" w:hAnsi="Times New Roman" w:cs="Times New Roman"/>
                      <w:b/>
                      <w:bCs/>
                      <w:color w:val="auto"/>
                      <w:sz w:val="21"/>
                      <w:szCs w:val="21"/>
                      <w:highlight w:val="none"/>
                      <w:vertAlign w:val="subscript"/>
                    </w:rPr>
                  </w:pPr>
                  <w:r>
                    <w:rPr>
                      <w:rFonts w:hint="default" w:ascii="Times New Roman" w:hAnsi="Times New Roman" w:cs="Times New Roman"/>
                      <w:b/>
                      <w:bCs/>
                      <w:color w:val="auto"/>
                      <w:sz w:val="21"/>
                      <w:szCs w:val="21"/>
                      <w:highlight w:val="none"/>
                    </w:rPr>
                    <w:t>COD</w:t>
                  </w:r>
                  <w:r>
                    <w:rPr>
                      <w:rFonts w:hint="default" w:ascii="Times New Roman" w:hAnsi="Times New Roman" w:cs="Times New Roman"/>
                      <w:b/>
                      <w:bCs/>
                      <w:color w:val="auto"/>
                      <w:sz w:val="21"/>
                      <w:szCs w:val="21"/>
                      <w:highlight w:val="none"/>
                      <w:vertAlign w:val="subscript"/>
                    </w:rPr>
                    <w:t>Cr</w:t>
                  </w:r>
                </w:p>
              </w:tc>
              <w:tc>
                <w:tcPr>
                  <w:tcW w:w="490" w:type="pct"/>
                  <w:tcBorders>
                    <w:tl2br w:val="nil"/>
                    <w:tr2bl w:val="nil"/>
                  </w:tcBorders>
                  <w:noWrap/>
                  <w:vAlign w:val="center"/>
                </w:tcPr>
                <w:p w14:paraId="78D97AD4">
                  <w:pPr>
                    <w:snapToGrid w:val="0"/>
                    <w:spacing w:line="240" w:lineRule="auto"/>
                    <w:jc w:val="center"/>
                    <w:rPr>
                      <w:rFonts w:hint="default" w:ascii="Times New Roman" w:hAnsi="Times New Roman" w:cs="Times New Roman"/>
                      <w:b/>
                      <w:bCs/>
                      <w:color w:val="auto"/>
                      <w:sz w:val="21"/>
                      <w:szCs w:val="21"/>
                      <w:highlight w:val="none"/>
                      <w:vertAlign w:val="subscript"/>
                    </w:rPr>
                  </w:pPr>
                  <w:r>
                    <w:rPr>
                      <w:rFonts w:hint="default" w:ascii="Times New Roman" w:hAnsi="Times New Roman" w:cs="Times New Roman"/>
                      <w:b/>
                      <w:bCs/>
                      <w:color w:val="auto"/>
                      <w:sz w:val="21"/>
                      <w:szCs w:val="21"/>
                      <w:highlight w:val="none"/>
                    </w:rPr>
                    <w:t>BOD</w:t>
                  </w:r>
                  <w:r>
                    <w:rPr>
                      <w:rFonts w:hint="default" w:ascii="Times New Roman" w:hAnsi="Times New Roman" w:cs="Times New Roman"/>
                      <w:b/>
                      <w:bCs/>
                      <w:color w:val="auto"/>
                      <w:sz w:val="21"/>
                      <w:szCs w:val="21"/>
                      <w:highlight w:val="none"/>
                      <w:vertAlign w:val="subscript"/>
                    </w:rPr>
                    <w:t>5</w:t>
                  </w:r>
                </w:p>
              </w:tc>
              <w:tc>
                <w:tcPr>
                  <w:tcW w:w="434" w:type="pct"/>
                  <w:tcBorders>
                    <w:tl2br w:val="nil"/>
                    <w:tr2bl w:val="nil"/>
                  </w:tcBorders>
                  <w:noWrap/>
                  <w:vAlign w:val="center"/>
                </w:tcPr>
                <w:p w14:paraId="5EA2834B">
                  <w:pPr>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SS</w:t>
                  </w:r>
                </w:p>
              </w:tc>
              <w:tc>
                <w:tcPr>
                  <w:tcW w:w="552" w:type="pct"/>
                  <w:tcBorders>
                    <w:tl2br w:val="nil"/>
                    <w:tr2bl w:val="nil"/>
                  </w:tcBorders>
                  <w:noWrap/>
                  <w:vAlign w:val="center"/>
                </w:tcPr>
                <w:p w14:paraId="1A706784">
                  <w:pPr>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氨氮</w:t>
                  </w:r>
                </w:p>
              </w:tc>
              <w:tc>
                <w:tcPr>
                  <w:tcW w:w="816" w:type="pct"/>
                  <w:tcBorders>
                    <w:tl2br w:val="nil"/>
                    <w:tr2bl w:val="nil"/>
                  </w:tcBorders>
                  <w:noWrap/>
                  <w:vAlign w:val="center"/>
                </w:tcPr>
                <w:p w14:paraId="5B746712">
                  <w:pPr>
                    <w:snapToGrid w:val="0"/>
                    <w:spacing w:line="240" w:lineRule="auto"/>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LAS</w:t>
                  </w:r>
                </w:p>
              </w:tc>
              <w:tc>
                <w:tcPr>
                  <w:tcW w:w="719" w:type="pct"/>
                  <w:tcBorders>
                    <w:tl2br w:val="nil"/>
                    <w:tr2bl w:val="nil"/>
                  </w:tcBorders>
                  <w:noWrap/>
                  <w:vAlign w:val="center"/>
                </w:tcPr>
                <w:p w14:paraId="194F25CD">
                  <w:pPr>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动植物油</w:t>
                  </w:r>
                </w:p>
              </w:tc>
            </w:tr>
            <w:tr w14:paraId="4BD53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384" w:type="pct"/>
                  <w:tcBorders>
                    <w:tl2br w:val="nil"/>
                    <w:tr2bl w:val="nil"/>
                  </w:tcBorders>
                  <w:noWrap/>
                  <w:tcMar>
                    <w:left w:w="0" w:type="dxa"/>
                    <w:right w:w="0" w:type="dxa"/>
                  </w:tcMar>
                  <w:vAlign w:val="center"/>
                </w:tcPr>
                <w:p w14:paraId="47EF812D">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DB44/26-2001第二时段一级排放标准</w:t>
                  </w:r>
                </w:p>
              </w:tc>
              <w:tc>
                <w:tcPr>
                  <w:tcW w:w="600" w:type="pct"/>
                  <w:tcBorders>
                    <w:tl2br w:val="nil"/>
                    <w:tr2bl w:val="nil"/>
                  </w:tcBorders>
                  <w:noWrap/>
                  <w:tcMar>
                    <w:left w:w="0" w:type="dxa"/>
                    <w:right w:w="0" w:type="dxa"/>
                  </w:tcMar>
                  <w:vAlign w:val="center"/>
                </w:tcPr>
                <w:p w14:paraId="00F1B69A">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w:t>
                  </w:r>
                </w:p>
              </w:tc>
              <w:tc>
                <w:tcPr>
                  <w:tcW w:w="490" w:type="pct"/>
                  <w:tcBorders>
                    <w:tl2br w:val="nil"/>
                    <w:tr2bl w:val="nil"/>
                  </w:tcBorders>
                  <w:noWrap/>
                  <w:vAlign w:val="center"/>
                </w:tcPr>
                <w:p w14:paraId="2C7C6A64">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w:t>
                  </w:r>
                </w:p>
              </w:tc>
              <w:tc>
                <w:tcPr>
                  <w:tcW w:w="434" w:type="pct"/>
                  <w:tcBorders>
                    <w:tl2br w:val="nil"/>
                    <w:tr2bl w:val="nil"/>
                  </w:tcBorders>
                  <w:noWrap/>
                  <w:vAlign w:val="center"/>
                </w:tcPr>
                <w:p w14:paraId="72FB13DE">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w:t>
                  </w:r>
                </w:p>
              </w:tc>
              <w:tc>
                <w:tcPr>
                  <w:tcW w:w="552" w:type="pct"/>
                  <w:tcBorders>
                    <w:tl2br w:val="nil"/>
                    <w:tr2bl w:val="nil"/>
                  </w:tcBorders>
                  <w:noWrap/>
                  <w:vAlign w:val="center"/>
                </w:tcPr>
                <w:p w14:paraId="2F0D928A">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c>
                <w:tcPr>
                  <w:tcW w:w="816" w:type="pct"/>
                  <w:tcBorders>
                    <w:tl2br w:val="nil"/>
                    <w:tr2bl w:val="nil"/>
                  </w:tcBorders>
                  <w:noWrap/>
                  <w:vAlign w:val="center"/>
                </w:tcPr>
                <w:p w14:paraId="4FBD8F20">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w:t>
                  </w:r>
                </w:p>
              </w:tc>
              <w:tc>
                <w:tcPr>
                  <w:tcW w:w="719" w:type="pct"/>
                  <w:tcBorders>
                    <w:tl2br w:val="nil"/>
                    <w:tr2bl w:val="nil"/>
                  </w:tcBorders>
                  <w:noWrap/>
                  <w:vAlign w:val="center"/>
                </w:tcPr>
                <w:p w14:paraId="79FC6ABB">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r>
            <w:tr w14:paraId="374A2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384" w:type="pct"/>
                  <w:tcBorders>
                    <w:tl2br w:val="nil"/>
                    <w:tr2bl w:val="nil"/>
                  </w:tcBorders>
                  <w:noWrap/>
                  <w:tcMar>
                    <w:left w:w="0" w:type="dxa"/>
                    <w:right w:w="0" w:type="dxa"/>
                  </w:tcMar>
                  <w:vAlign w:val="center"/>
                </w:tcPr>
                <w:p w14:paraId="7B7E81BE">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GB18918-2002一级</w:t>
                  </w:r>
                  <w:r>
                    <w:rPr>
                      <w:rFonts w:hint="default" w:ascii="Times New Roman" w:hAnsi="Times New Roman" w:cs="Times New Roman"/>
                      <w:color w:val="auto"/>
                      <w:sz w:val="21"/>
                      <w:szCs w:val="21"/>
                      <w:highlight w:val="none"/>
                      <w:lang w:val="en-US" w:eastAsia="zh-CN"/>
                    </w:rPr>
                    <w:t>A</w:t>
                  </w:r>
                  <w:r>
                    <w:rPr>
                      <w:rFonts w:hint="default" w:ascii="Times New Roman" w:hAnsi="Times New Roman" w:cs="Times New Roman"/>
                      <w:color w:val="auto"/>
                      <w:sz w:val="21"/>
                      <w:szCs w:val="21"/>
                      <w:highlight w:val="none"/>
                    </w:rPr>
                    <w:t>标准</w:t>
                  </w:r>
                </w:p>
              </w:tc>
              <w:tc>
                <w:tcPr>
                  <w:tcW w:w="600" w:type="pct"/>
                  <w:tcBorders>
                    <w:tl2br w:val="nil"/>
                    <w:tr2bl w:val="nil"/>
                  </w:tcBorders>
                  <w:noWrap/>
                  <w:tcMar>
                    <w:left w:w="0" w:type="dxa"/>
                    <w:right w:w="0" w:type="dxa"/>
                  </w:tcMar>
                  <w:vAlign w:val="center"/>
                </w:tcPr>
                <w:p w14:paraId="666EAFA2">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w:t>
                  </w:r>
                  <w:r>
                    <w:rPr>
                      <w:rFonts w:hint="default" w:ascii="Times New Roman" w:hAnsi="Times New Roman" w:cs="Times New Roman"/>
                      <w:color w:val="auto"/>
                      <w:sz w:val="21"/>
                      <w:szCs w:val="21"/>
                      <w:highlight w:val="none"/>
                      <w:lang w:val="en-US" w:eastAsia="zh-CN"/>
                    </w:rPr>
                    <w:t>0</w:t>
                  </w:r>
                </w:p>
              </w:tc>
              <w:tc>
                <w:tcPr>
                  <w:tcW w:w="490" w:type="pct"/>
                  <w:tcBorders>
                    <w:tl2br w:val="nil"/>
                    <w:tr2bl w:val="nil"/>
                  </w:tcBorders>
                  <w:noWrap/>
                  <w:vAlign w:val="center"/>
                </w:tcPr>
                <w:p w14:paraId="606B64E1">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10</w:t>
                  </w:r>
                </w:p>
              </w:tc>
              <w:tc>
                <w:tcPr>
                  <w:tcW w:w="434" w:type="pct"/>
                  <w:tcBorders>
                    <w:tl2br w:val="nil"/>
                    <w:tr2bl w:val="nil"/>
                  </w:tcBorders>
                  <w:noWrap/>
                  <w:vAlign w:val="center"/>
                </w:tcPr>
                <w:p w14:paraId="55F1E98C">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10</w:t>
                  </w:r>
                </w:p>
              </w:tc>
              <w:tc>
                <w:tcPr>
                  <w:tcW w:w="552" w:type="pct"/>
                  <w:tcBorders>
                    <w:tl2br w:val="nil"/>
                    <w:tr2bl w:val="nil"/>
                  </w:tcBorders>
                  <w:noWrap/>
                  <w:vAlign w:val="center"/>
                </w:tcPr>
                <w:p w14:paraId="7EF864F7">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8</w:t>
                  </w:r>
                  <w:r>
                    <w:rPr>
                      <w:rFonts w:hint="default" w:ascii="Times New Roman" w:hAnsi="Times New Roman" w:cs="Times New Roman"/>
                      <w:color w:val="auto"/>
                      <w:sz w:val="21"/>
                      <w:szCs w:val="21"/>
                      <w:highlight w:val="none"/>
                      <w:vertAlign w:val="superscript"/>
                    </w:rPr>
                    <w:t>①</w:t>
                  </w:r>
                  <w:r>
                    <w:rPr>
                      <w:rFonts w:hint="default" w:ascii="Times New Roman" w:hAnsi="Times New Roman" w:cs="Times New Roman"/>
                      <w:color w:val="auto"/>
                      <w:sz w:val="21"/>
                      <w:szCs w:val="21"/>
                      <w:highlight w:val="none"/>
                    </w:rPr>
                    <w:t>)</w:t>
                  </w:r>
                </w:p>
              </w:tc>
              <w:tc>
                <w:tcPr>
                  <w:tcW w:w="816" w:type="pct"/>
                  <w:tcBorders>
                    <w:tl2br w:val="nil"/>
                    <w:tr2bl w:val="nil"/>
                  </w:tcBorders>
                  <w:noWrap/>
                  <w:vAlign w:val="center"/>
                </w:tcPr>
                <w:p w14:paraId="28A72F77">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0.5</w:t>
                  </w:r>
                </w:p>
              </w:tc>
              <w:tc>
                <w:tcPr>
                  <w:tcW w:w="719" w:type="pct"/>
                  <w:tcBorders>
                    <w:tl2br w:val="nil"/>
                    <w:tr2bl w:val="nil"/>
                  </w:tcBorders>
                  <w:noWrap/>
                  <w:vAlign w:val="center"/>
                </w:tcPr>
                <w:p w14:paraId="64CEB141">
                  <w:pPr>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1</w:t>
                  </w:r>
                </w:p>
              </w:tc>
            </w:tr>
            <w:tr w14:paraId="41FC0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384" w:type="pct"/>
                  <w:tcBorders>
                    <w:tl2br w:val="nil"/>
                    <w:tr2bl w:val="nil"/>
                  </w:tcBorders>
                  <w:noWrap/>
                  <w:tcMar>
                    <w:left w:w="0" w:type="dxa"/>
                    <w:right w:w="0" w:type="dxa"/>
                  </w:tcMar>
                  <w:vAlign w:val="center"/>
                </w:tcPr>
                <w:p w14:paraId="3080DC6B">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执行限值</w:t>
                  </w:r>
                </w:p>
              </w:tc>
              <w:tc>
                <w:tcPr>
                  <w:tcW w:w="600" w:type="pct"/>
                  <w:tcBorders>
                    <w:tl2br w:val="nil"/>
                    <w:tr2bl w:val="nil"/>
                  </w:tcBorders>
                  <w:noWrap/>
                  <w:tcMar>
                    <w:left w:w="0" w:type="dxa"/>
                    <w:right w:w="0" w:type="dxa"/>
                  </w:tcMar>
                  <w:vAlign w:val="center"/>
                </w:tcPr>
                <w:p w14:paraId="6579F4FF">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w:t>
                  </w:r>
                  <w:r>
                    <w:rPr>
                      <w:rFonts w:hint="default" w:ascii="Times New Roman" w:hAnsi="Times New Roman" w:cs="Times New Roman"/>
                      <w:color w:val="auto"/>
                      <w:sz w:val="21"/>
                      <w:szCs w:val="21"/>
                      <w:highlight w:val="none"/>
                      <w:lang w:val="en-US" w:eastAsia="zh-CN"/>
                    </w:rPr>
                    <w:t>0</w:t>
                  </w:r>
                </w:p>
              </w:tc>
              <w:tc>
                <w:tcPr>
                  <w:tcW w:w="490" w:type="pct"/>
                  <w:tcBorders>
                    <w:tl2br w:val="nil"/>
                    <w:tr2bl w:val="nil"/>
                  </w:tcBorders>
                  <w:noWrap/>
                  <w:vAlign w:val="center"/>
                </w:tcPr>
                <w:p w14:paraId="3AFA729A">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10</w:t>
                  </w:r>
                </w:p>
              </w:tc>
              <w:tc>
                <w:tcPr>
                  <w:tcW w:w="434" w:type="pct"/>
                  <w:tcBorders>
                    <w:tl2br w:val="nil"/>
                    <w:tr2bl w:val="nil"/>
                  </w:tcBorders>
                  <w:noWrap/>
                  <w:vAlign w:val="center"/>
                </w:tcPr>
                <w:p w14:paraId="283F162A">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10</w:t>
                  </w:r>
                </w:p>
              </w:tc>
              <w:tc>
                <w:tcPr>
                  <w:tcW w:w="552" w:type="pct"/>
                  <w:tcBorders>
                    <w:tl2br w:val="nil"/>
                    <w:tr2bl w:val="nil"/>
                  </w:tcBorders>
                  <w:noWrap/>
                  <w:vAlign w:val="center"/>
                </w:tcPr>
                <w:p w14:paraId="1152DB44">
                  <w:pPr>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5</w:t>
                  </w:r>
                </w:p>
              </w:tc>
              <w:tc>
                <w:tcPr>
                  <w:tcW w:w="816" w:type="pct"/>
                  <w:tcBorders>
                    <w:tl2br w:val="nil"/>
                    <w:tr2bl w:val="nil"/>
                  </w:tcBorders>
                  <w:noWrap/>
                  <w:vAlign w:val="center"/>
                </w:tcPr>
                <w:p w14:paraId="3A55267A">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0.5</w:t>
                  </w:r>
                </w:p>
              </w:tc>
              <w:tc>
                <w:tcPr>
                  <w:tcW w:w="719" w:type="pct"/>
                  <w:tcBorders>
                    <w:tl2br w:val="nil"/>
                    <w:tr2bl w:val="nil"/>
                  </w:tcBorders>
                  <w:noWrap/>
                  <w:vAlign w:val="center"/>
                </w:tcPr>
                <w:p w14:paraId="2D2210AC">
                  <w:pPr>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1</w:t>
                  </w:r>
                </w:p>
              </w:tc>
            </w:tr>
            <w:tr w14:paraId="1563F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384" w:type="pct"/>
                  <w:tcBorders>
                    <w:tl2br w:val="nil"/>
                    <w:tr2bl w:val="nil"/>
                  </w:tcBorders>
                  <w:noWrap/>
                  <w:tcMar>
                    <w:left w:w="0" w:type="dxa"/>
                    <w:right w:w="0" w:type="dxa"/>
                  </w:tcMar>
                  <w:vAlign w:val="center"/>
                </w:tcPr>
                <w:p w14:paraId="1CD980F2">
                  <w:pPr>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污染物</w:t>
                  </w:r>
                </w:p>
              </w:tc>
              <w:tc>
                <w:tcPr>
                  <w:tcW w:w="600" w:type="pct"/>
                  <w:tcBorders>
                    <w:tl2br w:val="nil"/>
                    <w:tr2bl w:val="nil"/>
                  </w:tcBorders>
                  <w:noWrap/>
                  <w:tcMar>
                    <w:left w:w="0" w:type="dxa"/>
                    <w:right w:w="0" w:type="dxa"/>
                  </w:tcMar>
                  <w:vAlign w:val="center"/>
                </w:tcPr>
                <w:p w14:paraId="6A3078EE">
                  <w:pPr>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总氮</w:t>
                  </w:r>
                </w:p>
              </w:tc>
              <w:tc>
                <w:tcPr>
                  <w:tcW w:w="490" w:type="pct"/>
                  <w:tcBorders>
                    <w:tl2br w:val="nil"/>
                    <w:tr2bl w:val="nil"/>
                  </w:tcBorders>
                  <w:noWrap/>
                  <w:vAlign w:val="center"/>
                </w:tcPr>
                <w:p w14:paraId="5986F29F">
                  <w:pPr>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总磷</w:t>
                  </w:r>
                </w:p>
              </w:tc>
              <w:tc>
                <w:tcPr>
                  <w:tcW w:w="434" w:type="pct"/>
                  <w:tcBorders>
                    <w:tl2br w:val="nil"/>
                    <w:tr2bl w:val="nil"/>
                  </w:tcBorders>
                  <w:noWrap/>
                  <w:vAlign w:val="center"/>
                </w:tcPr>
                <w:p w14:paraId="474032A0">
                  <w:pPr>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pH</w:t>
                  </w:r>
                </w:p>
              </w:tc>
              <w:tc>
                <w:tcPr>
                  <w:tcW w:w="552" w:type="pct"/>
                  <w:tcBorders>
                    <w:tl2br w:val="nil"/>
                    <w:tr2bl w:val="nil"/>
                  </w:tcBorders>
                  <w:noWrap/>
                  <w:vAlign w:val="center"/>
                </w:tcPr>
                <w:p w14:paraId="42B40864">
                  <w:pPr>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石油类</w:t>
                  </w:r>
                </w:p>
              </w:tc>
              <w:tc>
                <w:tcPr>
                  <w:tcW w:w="816" w:type="pct"/>
                  <w:tcBorders>
                    <w:tl2br w:val="nil"/>
                    <w:tr2bl w:val="nil"/>
                  </w:tcBorders>
                  <w:noWrap/>
                  <w:vAlign w:val="center"/>
                </w:tcPr>
                <w:p w14:paraId="5832C7EB">
                  <w:pPr>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色度（稀释倍数）</w:t>
                  </w:r>
                </w:p>
              </w:tc>
              <w:tc>
                <w:tcPr>
                  <w:tcW w:w="719" w:type="pct"/>
                  <w:tcBorders>
                    <w:tl2br w:val="nil"/>
                    <w:tr2bl w:val="nil"/>
                  </w:tcBorders>
                  <w:noWrap/>
                  <w:vAlign w:val="center"/>
                </w:tcPr>
                <w:p w14:paraId="019628F0">
                  <w:pPr>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粪大肠菌群</w:t>
                  </w:r>
                </w:p>
              </w:tc>
            </w:tr>
            <w:tr w14:paraId="4CAFA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384" w:type="pct"/>
                  <w:tcBorders>
                    <w:tl2br w:val="nil"/>
                    <w:tr2bl w:val="nil"/>
                  </w:tcBorders>
                  <w:noWrap/>
                  <w:tcMar>
                    <w:left w:w="0" w:type="dxa"/>
                    <w:right w:w="0" w:type="dxa"/>
                  </w:tcMar>
                  <w:vAlign w:val="center"/>
                </w:tcPr>
                <w:p w14:paraId="6CA9D042">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DB44/26-2001第二时段一级排放标准</w:t>
                  </w:r>
                </w:p>
              </w:tc>
              <w:tc>
                <w:tcPr>
                  <w:tcW w:w="600" w:type="pct"/>
                  <w:tcBorders>
                    <w:tl2br w:val="nil"/>
                    <w:tr2bl w:val="nil"/>
                  </w:tcBorders>
                  <w:noWrap/>
                  <w:tcMar>
                    <w:left w:w="0" w:type="dxa"/>
                    <w:right w:w="0" w:type="dxa"/>
                  </w:tcMar>
                  <w:vAlign w:val="center"/>
                </w:tcPr>
                <w:p w14:paraId="2BC1C51A">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490" w:type="pct"/>
                  <w:tcBorders>
                    <w:tl2br w:val="nil"/>
                    <w:tr2bl w:val="nil"/>
                  </w:tcBorders>
                  <w:noWrap/>
                  <w:vAlign w:val="center"/>
                </w:tcPr>
                <w:p w14:paraId="73996904">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w:t>
                  </w:r>
                </w:p>
              </w:tc>
              <w:tc>
                <w:tcPr>
                  <w:tcW w:w="434" w:type="pct"/>
                  <w:tcBorders>
                    <w:tl2br w:val="nil"/>
                    <w:tr2bl w:val="nil"/>
                  </w:tcBorders>
                  <w:noWrap/>
                  <w:vAlign w:val="center"/>
                </w:tcPr>
                <w:p w14:paraId="622D605E">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6~9</w:t>
                  </w:r>
                </w:p>
              </w:tc>
              <w:tc>
                <w:tcPr>
                  <w:tcW w:w="552" w:type="pct"/>
                  <w:tcBorders>
                    <w:tl2br w:val="nil"/>
                    <w:tr2bl w:val="nil"/>
                  </w:tcBorders>
                  <w:noWrap/>
                  <w:vAlign w:val="center"/>
                </w:tcPr>
                <w:p w14:paraId="0E36F3F0">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w:t>
                  </w:r>
                </w:p>
              </w:tc>
              <w:tc>
                <w:tcPr>
                  <w:tcW w:w="816" w:type="pct"/>
                  <w:tcBorders>
                    <w:tl2br w:val="nil"/>
                    <w:tr2bl w:val="nil"/>
                  </w:tcBorders>
                  <w:noWrap/>
                  <w:vAlign w:val="center"/>
                </w:tcPr>
                <w:p w14:paraId="42FA94E6">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w:t>
                  </w:r>
                </w:p>
              </w:tc>
              <w:tc>
                <w:tcPr>
                  <w:tcW w:w="719" w:type="pct"/>
                  <w:tcBorders>
                    <w:tl2br w:val="nil"/>
                    <w:tr2bl w:val="nil"/>
                  </w:tcBorders>
                  <w:noWrap/>
                  <w:vAlign w:val="center"/>
                </w:tcPr>
                <w:p w14:paraId="433CEED1">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52ED2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384" w:type="pct"/>
                  <w:tcBorders>
                    <w:tl2br w:val="nil"/>
                    <w:tr2bl w:val="nil"/>
                  </w:tcBorders>
                  <w:noWrap/>
                  <w:tcMar>
                    <w:left w:w="0" w:type="dxa"/>
                    <w:right w:w="0" w:type="dxa"/>
                  </w:tcMar>
                  <w:vAlign w:val="center"/>
                </w:tcPr>
                <w:p w14:paraId="4462DE30">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GB18918-2002一级</w:t>
                  </w:r>
                  <w:r>
                    <w:rPr>
                      <w:rFonts w:hint="default" w:ascii="Times New Roman" w:hAnsi="Times New Roman" w:cs="Times New Roman"/>
                      <w:color w:val="auto"/>
                      <w:sz w:val="21"/>
                      <w:szCs w:val="21"/>
                      <w:highlight w:val="none"/>
                      <w:lang w:val="en-US" w:eastAsia="zh-CN"/>
                    </w:rPr>
                    <w:t>A</w:t>
                  </w:r>
                  <w:r>
                    <w:rPr>
                      <w:rFonts w:hint="default" w:ascii="Times New Roman" w:hAnsi="Times New Roman" w:cs="Times New Roman"/>
                      <w:color w:val="auto"/>
                      <w:sz w:val="21"/>
                      <w:szCs w:val="21"/>
                      <w:highlight w:val="none"/>
                    </w:rPr>
                    <w:t>标准</w:t>
                  </w:r>
                </w:p>
              </w:tc>
              <w:tc>
                <w:tcPr>
                  <w:tcW w:w="600" w:type="pct"/>
                  <w:tcBorders>
                    <w:tl2br w:val="nil"/>
                    <w:tr2bl w:val="nil"/>
                  </w:tcBorders>
                  <w:noWrap/>
                  <w:tcMar>
                    <w:left w:w="0" w:type="dxa"/>
                    <w:right w:w="0" w:type="dxa"/>
                  </w:tcMar>
                  <w:vAlign w:val="center"/>
                </w:tcPr>
                <w:p w14:paraId="2AE3CE8C">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15</w:t>
                  </w:r>
                </w:p>
              </w:tc>
              <w:tc>
                <w:tcPr>
                  <w:tcW w:w="490" w:type="pct"/>
                  <w:tcBorders>
                    <w:tl2br w:val="nil"/>
                    <w:tr2bl w:val="nil"/>
                  </w:tcBorders>
                  <w:noWrap/>
                  <w:vAlign w:val="center"/>
                </w:tcPr>
                <w:p w14:paraId="031CF48F">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0.5</w:t>
                  </w:r>
                </w:p>
              </w:tc>
              <w:tc>
                <w:tcPr>
                  <w:tcW w:w="434" w:type="pct"/>
                  <w:tcBorders>
                    <w:tl2br w:val="nil"/>
                    <w:tr2bl w:val="nil"/>
                  </w:tcBorders>
                  <w:noWrap/>
                  <w:vAlign w:val="center"/>
                </w:tcPr>
                <w:p w14:paraId="213B6730">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6~9</w:t>
                  </w:r>
                </w:p>
              </w:tc>
              <w:tc>
                <w:tcPr>
                  <w:tcW w:w="552" w:type="pct"/>
                  <w:tcBorders>
                    <w:tl2br w:val="nil"/>
                    <w:tr2bl w:val="nil"/>
                  </w:tcBorders>
                  <w:noWrap/>
                  <w:vAlign w:val="center"/>
                </w:tcPr>
                <w:p w14:paraId="4C425D38">
                  <w:pPr>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1</w:t>
                  </w:r>
                </w:p>
              </w:tc>
              <w:tc>
                <w:tcPr>
                  <w:tcW w:w="816" w:type="pct"/>
                  <w:tcBorders>
                    <w:tl2br w:val="nil"/>
                    <w:tr2bl w:val="nil"/>
                  </w:tcBorders>
                  <w:noWrap/>
                  <w:vAlign w:val="center"/>
                </w:tcPr>
                <w:p w14:paraId="2BBDCDDF">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30</w:t>
                  </w:r>
                </w:p>
              </w:tc>
              <w:tc>
                <w:tcPr>
                  <w:tcW w:w="719" w:type="pct"/>
                  <w:tcBorders>
                    <w:tl2br w:val="nil"/>
                    <w:tr2bl w:val="nil"/>
                  </w:tcBorders>
                  <w:noWrap/>
                  <w:vAlign w:val="center"/>
                </w:tcPr>
                <w:p w14:paraId="490AD877">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1000个/L</w:t>
                  </w:r>
                </w:p>
              </w:tc>
            </w:tr>
            <w:tr w14:paraId="75D16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384" w:type="pct"/>
                  <w:tcBorders>
                    <w:tl2br w:val="nil"/>
                    <w:tr2bl w:val="nil"/>
                  </w:tcBorders>
                  <w:noWrap/>
                  <w:tcMar>
                    <w:left w:w="0" w:type="dxa"/>
                    <w:right w:w="0" w:type="dxa"/>
                  </w:tcMar>
                  <w:vAlign w:val="center"/>
                </w:tcPr>
                <w:p w14:paraId="742A2D3F">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执行限值</w:t>
                  </w:r>
                </w:p>
              </w:tc>
              <w:tc>
                <w:tcPr>
                  <w:tcW w:w="600" w:type="pct"/>
                  <w:tcBorders>
                    <w:tl2br w:val="nil"/>
                    <w:tr2bl w:val="nil"/>
                  </w:tcBorders>
                  <w:noWrap/>
                  <w:tcMar>
                    <w:left w:w="0" w:type="dxa"/>
                    <w:right w:w="0" w:type="dxa"/>
                  </w:tcMar>
                  <w:vAlign w:val="center"/>
                </w:tcPr>
                <w:p w14:paraId="07D5F87A">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15</w:t>
                  </w:r>
                </w:p>
              </w:tc>
              <w:tc>
                <w:tcPr>
                  <w:tcW w:w="490" w:type="pct"/>
                  <w:tcBorders>
                    <w:tl2br w:val="nil"/>
                    <w:tr2bl w:val="nil"/>
                  </w:tcBorders>
                  <w:noWrap/>
                  <w:vAlign w:val="center"/>
                </w:tcPr>
                <w:p w14:paraId="0EC9495B">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w:t>
                  </w:r>
                </w:p>
              </w:tc>
              <w:tc>
                <w:tcPr>
                  <w:tcW w:w="434" w:type="pct"/>
                  <w:tcBorders>
                    <w:tl2br w:val="nil"/>
                    <w:tr2bl w:val="nil"/>
                  </w:tcBorders>
                  <w:noWrap/>
                  <w:vAlign w:val="center"/>
                </w:tcPr>
                <w:p w14:paraId="34ED4C03">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6~9</w:t>
                  </w:r>
                </w:p>
              </w:tc>
              <w:tc>
                <w:tcPr>
                  <w:tcW w:w="552" w:type="pct"/>
                  <w:tcBorders>
                    <w:tl2br w:val="nil"/>
                    <w:tr2bl w:val="nil"/>
                  </w:tcBorders>
                  <w:noWrap/>
                  <w:vAlign w:val="center"/>
                </w:tcPr>
                <w:p w14:paraId="6CE19B29">
                  <w:pPr>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1</w:t>
                  </w:r>
                </w:p>
              </w:tc>
              <w:tc>
                <w:tcPr>
                  <w:tcW w:w="816" w:type="pct"/>
                  <w:tcBorders>
                    <w:tl2br w:val="nil"/>
                    <w:tr2bl w:val="nil"/>
                  </w:tcBorders>
                  <w:noWrap/>
                  <w:vAlign w:val="center"/>
                </w:tcPr>
                <w:p w14:paraId="6FCA0637">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w:t>
                  </w:r>
                </w:p>
              </w:tc>
              <w:tc>
                <w:tcPr>
                  <w:tcW w:w="719" w:type="pct"/>
                  <w:tcBorders>
                    <w:tl2br w:val="nil"/>
                    <w:tr2bl w:val="nil"/>
                  </w:tcBorders>
                  <w:noWrap/>
                  <w:vAlign w:val="center"/>
                </w:tcPr>
                <w:p w14:paraId="69583AB8">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1000个/L</w:t>
                  </w:r>
                </w:p>
              </w:tc>
            </w:tr>
            <w:tr w14:paraId="2126A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384" w:type="pct"/>
                  <w:tcBorders>
                    <w:tl2br w:val="nil"/>
                    <w:tr2bl w:val="nil"/>
                  </w:tcBorders>
                  <w:noWrap/>
                  <w:tcMar>
                    <w:left w:w="0" w:type="dxa"/>
                    <w:right w:w="0" w:type="dxa"/>
                  </w:tcMar>
                  <w:vAlign w:val="center"/>
                </w:tcPr>
                <w:p w14:paraId="0AE98BD8">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备注</w:t>
                  </w:r>
                </w:p>
              </w:tc>
              <w:tc>
                <w:tcPr>
                  <w:tcW w:w="3615" w:type="pct"/>
                  <w:gridSpan w:val="6"/>
                  <w:tcBorders>
                    <w:tl2br w:val="nil"/>
                    <w:tr2bl w:val="nil"/>
                  </w:tcBorders>
                  <w:noWrap/>
                  <w:vAlign w:val="center"/>
                </w:tcPr>
                <w:p w14:paraId="4E7DA137">
                  <w:pPr>
                    <w:widowControl/>
                    <w:spacing w:line="240" w:lineRule="auto"/>
                    <w:jc w:val="center"/>
                    <w:rPr>
                      <w:rFonts w:hint="default" w:ascii="Times New Roman" w:hAnsi="Times New Roman" w:cs="Times New Roman"/>
                      <w:color w:val="auto"/>
                      <w:sz w:val="21"/>
                      <w:szCs w:val="21"/>
                      <w:highlight w:val="none"/>
                      <w:lang w:eastAsia="ja-JP"/>
                    </w:rPr>
                  </w:pPr>
                  <w:r>
                    <w:rPr>
                      <w:rFonts w:hint="default" w:ascii="Times New Roman" w:hAnsi="Times New Roman" w:cs="Times New Roman"/>
                      <w:color w:val="auto"/>
                      <w:sz w:val="21"/>
                      <w:szCs w:val="21"/>
                      <w:highlight w:val="none"/>
                      <w:lang w:eastAsia="ja-JP"/>
                    </w:rPr>
                    <w:t>①</w:t>
                  </w:r>
                  <w:r>
                    <w:rPr>
                      <w:rFonts w:hint="default" w:ascii="Times New Roman" w:hAnsi="Times New Roman" w:eastAsia="宋体" w:cs="Times New Roman"/>
                      <w:color w:val="auto"/>
                      <w:spacing w:val="-2"/>
                      <w:kern w:val="0"/>
                      <w:sz w:val="21"/>
                      <w:szCs w:val="21"/>
                      <w:highlight w:val="none"/>
                      <w:lang w:val="en-US" w:eastAsia="zh-CN"/>
                    </w:rPr>
                    <w:t>括号外数值为水温</w:t>
                  </w:r>
                  <w:r>
                    <w:rPr>
                      <w:rFonts w:hint="default" w:ascii="Times New Roman" w:hAnsi="Times New Roman" w:cs="Times New Roman"/>
                      <w:color w:val="auto"/>
                      <w:spacing w:val="-2"/>
                      <w:kern w:val="0"/>
                      <w:sz w:val="21"/>
                      <w:szCs w:val="21"/>
                      <w:highlight w:val="none"/>
                      <w:lang w:val="en-US" w:eastAsia="zh-CN"/>
                    </w:rPr>
                    <w:t>＞</w:t>
                  </w:r>
                  <w:r>
                    <w:rPr>
                      <w:rFonts w:hint="default" w:ascii="Times New Roman" w:hAnsi="Times New Roman" w:eastAsia="宋体" w:cs="Times New Roman"/>
                      <w:color w:val="auto"/>
                      <w:spacing w:val="-2"/>
                      <w:kern w:val="0"/>
                      <w:sz w:val="21"/>
                      <w:szCs w:val="21"/>
                      <w:highlight w:val="none"/>
                      <w:lang w:val="en-US" w:eastAsia="zh-CN"/>
                    </w:rPr>
                    <w:t>12℃时的控制指标，括号内数值为水温≤12℃时的控制指标。</w:t>
                  </w:r>
                </w:p>
              </w:tc>
            </w:tr>
          </w:tbl>
          <w:p w14:paraId="5DC5D58D">
            <w:pPr>
              <w:keepNext/>
              <w:keepLines/>
              <w:widowControl w:val="0"/>
              <w:numPr>
                <w:ilvl w:val="2"/>
                <w:numId w:val="0"/>
              </w:numPr>
              <w:spacing w:line="360" w:lineRule="auto"/>
              <w:ind w:firstLine="480" w:firstLineChars="200"/>
              <w:jc w:val="both"/>
              <w:outlineLvl w:val="2"/>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三、噪声排放标准</w:t>
            </w:r>
          </w:p>
          <w:p w14:paraId="73F7603C">
            <w:pPr>
              <w:wordWrap w:val="0"/>
              <w:ind w:firstLine="480" w:firstLineChars="20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本项目厂界噪声排放执行《工业企业厂界环境噪声排放标准》（GB</w:t>
            </w:r>
            <w:r>
              <w:rPr>
                <w:rFonts w:hint="eastAsia" w:cs="Times New Roman"/>
                <w:color w:val="auto"/>
                <w:highlight w:val="none"/>
                <w:lang w:val="en-US" w:eastAsia="zh-CN"/>
              </w:rPr>
              <w:t xml:space="preserve"> </w:t>
            </w:r>
            <w:r>
              <w:rPr>
                <w:rFonts w:hint="default" w:ascii="Times New Roman" w:hAnsi="Times New Roman" w:eastAsia="宋体" w:cs="Times New Roman"/>
                <w:color w:val="auto"/>
                <w:highlight w:val="none"/>
              </w:rPr>
              <w:t>12348-2008）3类标准。</w:t>
            </w:r>
          </w:p>
          <w:p w14:paraId="312ED3A7">
            <w:pPr>
              <w:widowControl w:val="0"/>
              <w:spacing w:line="240" w:lineRule="auto"/>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表</w:t>
            </w:r>
            <w:r>
              <w:rPr>
                <w:rFonts w:hint="default" w:ascii="Times New Roman" w:hAnsi="Times New Roman" w:eastAsia="宋体" w:cs="Times New Roman"/>
                <w:b/>
                <w:bCs/>
                <w:color w:val="auto"/>
                <w:kern w:val="2"/>
                <w:sz w:val="21"/>
                <w:szCs w:val="21"/>
                <w:highlight w:val="none"/>
                <w:lang w:val="en-US" w:eastAsia="zh-CN" w:bidi="ar-SA"/>
              </w:rPr>
              <w:fldChar w:fldCharType="begin"/>
            </w:r>
            <w:r>
              <w:rPr>
                <w:rFonts w:hint="default" w:ascii="Times New Roman" w:hAnsi="Times New Roman" w:eastAsia="宋体" w:cs="Times New Roman"/>
                <w:b/>
                <w:bCs/>
                <w:color w:val="auto"/>
                <w:kern w:val="2"/>
                <w:sz w:val="21"/>
                <w:szCs w:val="21"/>
                <w:highlight w:val="none"/>
                <w:lang w:val="en-US" w:eastAsia="zh-CN" w:bidi="ar-SA"/>
              </w:rPr>
              <w:instrText xml:space="preserve"> STYLEREF 1 \s </w:instrText>
            </w:r>
            <w:r>
              <w:rPr>
                <w:rFonts w:hint="default" w:ascii="Times New Roman" w:hAnsi="Times New Roman" w:eastAsia="宋体" w:cs="Times New Roman"/>
                <w:b/>
                <w:bCs/>
                <w:color w:val="auto"/>
                <w:kern w:val="2"/>
                <w:sz w:val="21"/>
                <w:szCs w:val="21"/>
                <w:highlight w:val="none"/>
                <w:lang w:val="en-US" w:eastAsia="zh-CN" w:bidi="ar-SA"/>
              </w:rPr>
              <w:fldChar w:fldCharType="separate"/>
            </w:r>
            <w:r>
              <w:rPr>
                <w:rFonts w:hint="default" w:ascii="Times New Roman" w:hAnsi="Times New Roman" w:eastAsia="宋体" w:cs="Times New Roman"/>
                <w:b/>
                <w:bCs/>
                <w:color w:val="auto"/>
                <w:kern w:val="2"/>
                <w:sz w:val="21"/>
                <w:szCs w:val="21"/>
                <w:highlight w:val="none"/>
                <w:lang w:val="en-US" w:eastAsia="zh-CN" w:bidi="ar-SA"/>
              </w:rPr>
              <w:t>3</w:t>
            </w:r>
            <w:r>
              <w:rPr>
                <w:rFonts w:hint="default" w:ascii="Times New Roman" w:hAnsi="Times New Roman" w:eastAsia="宋体" w:cs="Times New Roman"/>
                <w:b/>
                <w:bCs/>
                <w:color w:val="auto"/>
                <w:kern w:val="2"/>
                <w:sz w:val="21"/>
                <w:szCs w:val="21"/>
                <w:highlight w:val="none"/>
                <w:lang w:val="en-US" w:eastAsia="zh-CN" w:bidi="ar-SA"/>
              </w:rPr>
              <w:fldChar w:fldCharType="end"/>
            </w:r>
            <w:r>
              <w:rPr>
                <w:rFonts w:hint="default" w:ascii="Times New Roman" w:hAnsi="Times New Roman" w:eastAsia="宋体" w:cs="Times New Roman"/>
                <w:b/>
                <w:bCs/>
                <w:color w:val="auto"/>
                <w:kern w:val="2"/>
                <w:sz w:val="21"/>
                <w:szCs w:val="21"/>
                <w:highlight w:val="none"/>
                <w:lang w:val="en-US" w:eastAsia="zh-CN" w:bidi="ar-SA"/>
              </w:rPr>
              <w:t>-</w:t>
            </w:r>
            <w:r>
              <w:rPr>
                <w:rFonts w:hint="eastAsia" w:cs="Times New Roman"/>
                <w:b/>
                <w:bCs/>
                <w:color w:val="auto"/>
                <w:kern w:val="2"/>
                <w:sz w:val="21"/>
                <w:szCs w:val="21"/>
                <w:highlight w:val="none"/>
                <w:lang w:val="en-US" w:eastAsia="zh-CN" w:bidi="ar-SA"/>
              </w:rPr>
              <w:t>8</w:t>
            </w:r>
            <w:r>
              <w:rPr>
                <w:rFonts w:hint="default" w:ascii="Times New Roman" w:hAnsi="Times New Roman" w:eastAsia="宋体" w:cs="Times New Roman"/>
                <w:b/>
                <w:bCs/>
                <w:color w:val="auto"/>
                <w:kern w:val="2"/>
                <w:sz w:val="21"/>
                <w:szCs w:val="21"/>
                <w:highlight w:val="none"/>
                <w:lang w:val="en-US" w:eastAsia="zh-CN" w:bidi="ar-SA"/>
              </w:rPr>
              <w:t>工业企业厂界环境噪声排放标准</w:t>
            </w:r>
          </w:p>
          <w:tbl>
            <w:tblPr>
              <w:tblStyle w:val="44"/>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78"/>
              <w:gridCol w:w="1978"/>
              <w:gridCol w:w="1978"/>
              <w:gridCol w:w="1981"/>
            </w:tblGrid>
            <w:tr w14:paraId="7882A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49" w:type="pct"/>
                  <w:noWrap/>
                  <w:vAlign w:val="center"/>
                </w:tcPr>
                <w:p w14:paraId="78B2C4F1">
                  <w:pPr>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污染物</w:t>
                  </w:r>
                </w:p>
              </w:tc>
              <w:tc>
                <w:tcPr>
                  <w:tcW w:w="1249" w:type="pct"/>
                  <w:tcBorders>
                    <w:right w:val="single" w:color="auto" w:sz="4" w:space="0"/>
                  </w:tcBorders>
                  <w:noWrap/>
                  <w:vAlign w:val="center"/>
                </w:tcPr>
                <w:p w14:paraId="2B48776C">
                  <w:pPr>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昼间</w:t>
                  </w:r>
                </w:p>
              </w:tc>
              <w:tc>
                <w:tcPr>
                  <w:tcW w:w="1249" w:type="pct"/>
                  <w:tcBorders>
                    <w:left w:val="single" w:color="auto" w:sz="4" w:space="0"/>
                  </w:tcBorders>
                  <w:noWrap/>
                  <w:vAlign w:val="center"/>
                </w:tcPr>
                <w:p w14:paraId="5140567B">
                  <w:pPr>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夜间</w:t>
                  </w:r>
                </w:p>
              </w:tc>
              <w:tc>
                <w:tcPr>
                  <w:tcW w:w="1250" w:type="pct"/>
                  <w:tcBorders>
                    <w:left w:val="single" w:color="auto" w:sz="4" w:space="0"/>
                  </w:tcBorders>
                  <w:noWrap/>
                  <w:vAlign w:val="center"/>
                </w:tcPr>
                <w:p w14:paraId="40E9975F">
                  <w:pPr>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单位</w:t>
                  </w:r>
                </w:p>
              </w:tc>
            </w:tr>
            <w:tr w14:paraId="658C6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49" w:type="pct"/>
                  <w:noWrap/>
                  <w:vAlign w:val="center"/>
                </w:tcPr>
                <w:p w14:paraId="684CE63A">
                  <w:pPr>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eastAsia="宋体" w:cs="Times New Roman"/>
                      <w:color w:val="auto"/>
                      <w:position w:val="-10"/>
                      <w:sz w:val="21"/>
                      <w:szCs w:val="21"/>
                      <w:highlight w:val="none"/>
                      <w:lang w:val="en-US" w:eastAsia="zh-CN" w:bidi="ar-SA"/>
                    </w:rPr>
                    <w:t>厂界噪声</w:t>
                  </w:r>
                </w:p>
              </w:tc>
              <w:tc>
                <w:tcPr>
                  <w:tcW w:w="1249" w:type="pct"/>
                  <w:noWrap/>
                  <w:vAlign w:val="center"/>
                </w:tcPr>
                <w:p w14:paraId="4844B036">
                  <w:pPr>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eastAsia="宋体" w:cs="Times New Roman"/>
                      <w:color w:val="auto"/>
                      <w:position w:val="-10"/>
                      <w:sz w:val="21"/>
                      <w:szCs w:val="21"/>
                      <w:highlight w:val="none"/>
                      <w:lang w:val="en-US" w:eastAsia="zh-CN" w:bidi="ar-SA"/>
                    </w:rPr>
                    <w:t>65</w:t>
                  </w:r>
                </w:p>
              </w:tc>
              <w:tc>
                <w:tcPr>
                  <w:tcW w:w="1249" w:type="pct"/>
                  <w:noWrap/>
                  <w:vAlign w:val="center"/>
                </w:tcPr>
                <w:p w14:paraId="0442681D">
                  <w:pPr>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eastAsia="宋体" w:cs="Times New Roman"/>
                      <w:color w:val="auto"/>
                      <w:position w:val="-10"/>
                      <w:sz w:val="21"/>
                      <w:szCs w:val="21"/>
                      <w:highlight w:val="none"/>
                      <w:lang w:val="en-US" w:eastAsia="zh-CN" w:bidi="ar-SA"/>
                    </w:rPr>
                    <w:t>55</w:t>
                  </w:r>
                </w:p>
              </w:tc>
              <w:tc>
                <w:tcPr>
                  <w:tcW w:w="1250" w:type="pct"/>
                  <w:noWrap/>
                  <w:vAlign w:val="center"/>
                </w:tcPr>
                <w:p w14:paraId="78BE6F6F">
                  <w:pPr>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eastAsia="宋体" w:cs="Times New Roman"/>
                      <w:color w:val="auto"/>
                      <w:position w:val="-10"/>
                      <w:sz w:val="21"/>
                      <w:szCs w:val="21"/>
                      <w:highlight w:val="none"/>
                      <w:lang w:val="en-US" w:eastAsia="zh-CN" w:bidi="ar-SA"/>
                    </w:rPr>
                    <w:t>dB（A）</w:t>
                  </w:r>
                </w:p>
              </w:tc>
            </w:tr>
          </w:tbl>
          <w:p w14:paraId="5EBE0038">
            <w:pPr>
              <w:keepNext/>
              <w:keepLines/>
              <w:widowControl w:val="0"/>
              <w:numPr>
                <w:ilvl w:val="2"/>
                <w:numId w:val="0"/>
              </w:numPr>
              <w:spacing w:line="360" w:lineRule="auto"/>
              <w:ind w:firstLine="480" w:firstLineChars="200"/>
              <w:jc w:val="both"/>
              <w:outlineLvl w:val="2"/>
              <w:rPr>
                <w:rFonts w:hint="default" w:ascii="Times New Roman" w:hAnsi="Times New Roman" w:eastAsia="宋体" w:cs="Times New Roman"/>
                <w:b/>
                <w:bCs/>
                <w:color w:val="auto"/>
                <w:kern w:val="2"/>
                <w:sz w:val="24"/>
                <w:szCs w:val="24"/>
                <w:highlight w:val="none"/>
                <w:lang w:val="en-US" w:eastAsia="zh-CN" w:bidi="ar-SA"/>
              </w:rPr>
            </w:pPr>
          </w:p>
          <w:p w14:paraId="42640C08">
            <w:pPr>
              <w:keepNext/>
              <w:keepLines/>
              <w:widowControl w:val="0"/>
              <w:numPr>
                <w:ilvl w:val="2"/>
                <w:numId w:val="0"/>
              </w:numPr>
              <w:spacing w:line="360" w:lineRule="auto"/>
              <w:ind w:firstLine="480" w:firstLineChars="200"/>
              <w:jc w:val="both"/>
              <w:outlineLvl w:val="2"/>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四、固体废物污染控制标准</w:t>
            </w:r>
          </w:p>
          <w:p w14:paraId="790614B4">
            <w:pPr>
              <w:keepNext w:val="0"/>
              <w:keepLines w:val="0"/>
              <w:pageBreakBefore w:val="0"/>
              <w:widowControl/>
              <w:suppressLineNumbers w:val="0"/>
              <w:kinsoku/>
              <w:wordWrap/>
              <w:overflowPunct/>
              <w:topLinePunct w:val="0"/>
              <w:autoSpaceDE/>
              <w:autoSpaceDN/>
              <w:bidi w:val="0"/>
              <w:adjustRightInd/>
              <w:snapToGrid/>
              <w:ind w:firstLine="456" w:firstLineChars="200"/>
              <w:jc w:val="both"/>
              <w:textAlignment w:val="auto"/>
              <w:rPr>
                <w:rFonts w:hint="default" w:ascii="Times New Roman" w:hAnsi="Times New Roman" w:eastAsia="宋体" w:cs="Times New Roman"/>
                <w:color w:val="auto"/>
                <w:spacing w:val="-6"/>
                <w:highlight w:val="none"/>
              </w:rPr>
            </w:pPr>
            <w:r>
              <w:rPr>
                <w:rFonts w:hint="default" w:ascii="Times New Roman" w:hAnsi="Times New Roman" w:eastAsia="宋体" w:cs="Times New Roman"/>
                <w:color w:val="auto"/>
                <w:spacing w:val="-6"/>
                <w:highlight w:val="none"/>
              </w:rPr>
              <w:t>一般工业固体废物在厂内采用库房或包装工具贮存，贮存过程应满足相应防渗漏、防雨淋、防扬尘等环境保护要求；危险废物贮存过程执行《危险废物贮存污染控制标准》（GB</w:t>
            </w:r>
            <w:r>
              <w:rPr>
                <w:rFonts w:hint="eastAsia" w:cs="Times New Roman"/>
                <w:color w:val="auto"/>
                <w:spacing w:val="-6"/>
                <w:highlight w:val="none"/>
                <w:lang w:val="en-US" w:eastAsia="zh-CN"/>
              </w:rPr>
              <w:t xml:space="preserve"> </w:t>
            </w:r>
            <w:r>
              <w:rPr>
                <w:rFonts w:hint="default" w:ascii="Times New Roman" w:hAnsi="Times New Roman" w:eastAsia="宋体" w:cs="Times New Roman"/>
                <w:color w:val="auto"/>
                <w:spacing w:val="-6"/>
                <w:highlight w:val="none"/>
              </w:rPr>
              <w:t>18597-2023）</w:t>
            </w:r>
            <w:r>
              <w:rPr>
                <w:rFonts w:hint="default" w:ascii="Times New Roman" w:hAnsi="Times New Roman" w:eastAsia="宋体" w:cs="Times New Roman"/>
                <w:color w:val="auto"/>
                <w:spacing w:val="-6"/>
                <w:highlight w:val="none"/>
                <w:lang w:eastAsia="zh-CN"/>
              </w:rPr>
              <w:t>和《危险废物收集贮存运输技术规范》（HJ</w:t>
            </w:r>
            <w:r>
              <w:rPr>
                <w:rFonts w:hint="eastAsia" w:cs="Times New Roman"/>
                <w:color w:val="auto"/>
                <w:spacing w:val="-6"/>
                <w:highlight w:val="none"/>
                <w:lang w:val="en-US" w:eastAsia="zh-CN"/>
              </w:rPr>
              <w:t xml:space="preserve"> </w:t>
            </w:r>
            <w:r>
              <w:rPr>
                <w:rFonts w:hint="default" w:ascii="Times New Roman" w:hAnsi="Times New Roman" w:eastAsia="宋体" w:cs="Times New Roman"/>
                <w:color w:val="auto"/>
                <w:spacing w:val="-6"/>
                <w:highlight w:val="none"/>
                <w:lang w:eastAsia="zh-CN"/>
              </w:rPr>
              <w:t>2025-2012）</w:t>
            </w:r>
            <w:r>
              <w:rPr>
                <w:rFonts w:hint="default" w:ascii="Times New Roman" w:hAnsi="Times New Roman" w:eastAsia="宋体" w:cs="Times New Roman"/>
                <w:color w:val="auto"/>
                <w:spacing w:val="-6"/>
                <w:highlight w:val="none"/>
              </w:rPr>
              <w:t>。</w:t>
            </w:r>
          </w:p>
          <w:p w14:paraId="6B3229BC">
            <w:pPr>
              <w:keepNext w:val="0"/>
              <w:keepLines w:val="0"/>
              <w:pageBreakBefore w:val="0"/>
              <w:widowControl/>
              <w:suppressLineNumbers w:val="0"/>
              <w:kinsoku/>
              <w:wordWrap/>
              <w:overflowPunct/>
              <w:topLinePunct w:val="0"/>
              <w:autoSpaceDE/>
              <w:autoSpaceDN/>
              <w:bidi w:val="0"/>
              <w:adjustRightInd/>
              <w:snapToGrid/>
              <w:ind w:firstLine="0" w:firstLineChars="0"/>
              <w:jc w:val="both"/>
              <w:textAlignment w:val="auto"/>
              <w:rPr>
                <w:rFonts w:hint="default" w:ascii="Times New Roman" w:hAnsi="Times New Roman" w:eastAsia="宋体" w:cs="Times New Roman"/>
                <w:color w:val="auto"/>
                <w:spacing w:val="-6"/>
                <w:highlight w:val="none"/>
              </w:rPr>
            </w:pPr>
          </w:p>
        </w:tc>
      </w:tr>
      <w:tr w14:paraId="7A3E4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267" w:type="pct"/>
            <w:vAlign w:val="center"/>
          </w:tcPr>
          <w:p w14:paraId="73588DC2">
            <w:pPr>
              <w:keepNext w:val="0"/>
              <w:keepLines w:val="0"/>
              <w:pageBreakBefore w:val="0"/>
              <w:widowControl w:val="0"/>
              <w:numPr>
                <w:ilvl w:val="1"/>
                <w:numId w:val="0"/>
              </w:numPr>
              <w:tabs>
                <w:tab w:val="left" w:pos="420"/>
              </w:tabs>
              <w:kinsoku/>
              <w:wordWrap/>
              <w:overflowPunct/>
              <w:topLinePunct w:val="0"/>
              <w:autoSpaceDE/>
              <w:autoSpaceDN/>
              <w:bidi w:val="0"/>
              <w:adjustRightInd/>
              <w:snapToGrid/>
              <w:spacing w:line="240" w:lineRule="auto"/>
              <w:textAlignment w:val="auto"/>
              <w:outlineLvl w:val="9"/>
              <w:rPr>
                <w:rFonts w:hint="eastAsia" w:ascii="Times New Roman" w:hAnsi="Times New Roman" w:eastAsia="宋体" w:cs="Times New Roman"/>
                <w:color w:val="auto"/>
                <w:kern w:val="2"/>
                <w:sz w:val="24"/>
                <w:szCs w:val="24"/>
                <w:highlight w:val="none"/>
                <w:lang w:val="en-US" w:eastAsia="zh-CN" w:bidi="ar-SA"/>
              </w:rPr>
            </w:pPr>
            <w:bookmarkStart w:id="84" w:name="_Toc8540"/>
            <w:bookmarkStart w:id="85" w:name="_Toc10891"/>
            <w:bookmarkStart w:id="86" w:name="_Toc31892"/>
            <w:bookmarkStart w:id="87" w:name="_Toc9431"/>
            <w:bookmarkStart w:id="88" w:name="_Toc3077"/>
            <w:bookmarkStart w:id="89" w:name="_Toc7590"/>
            <w:bookmarkStart w:id="90" w:name="_Toc23450"/>
            <w:bookmarkStart w:id="91" w:name="_Toc4557"/>
            <w:bookmarkStart w:id="92" w:name="_Toc8863"/>
            <w:bookmarkStart w:id="93" w:name="_Toc18024"/>
            <w:r>
              <w:rPr>
                <w:rFonts w:hint="default" w:ascii="Times New Roman" w:hAnsi="Times New Roman" w:cs="Times New Roman"/>
                <w:color w:val="auto"/>
                <w:highlight w:val="none"/>
              </w:rPr>
              <w:t>总量控制</w:t>
            </w:r>
            <w:r>
              <w:rPr>
                <w:rFonts w:hint="eastAsia" w:cs="Times New Roman"/>
                <w:color w:val="auto"/>
                <w:highlight w:val="none"/>
                <w:lang w:val="en-US" w:eastAsia="zh-CN"/>
              </w:rPr>
              <w:t>指标</w:t>
            </w:r>
          </w:p>
        </w:tc>
        <w:tc>
          <w:tcPr>
            <w:tcW w:w="4732" w:type="pct"/>
          </w:tcPr>
          <w:p w14:paraId="09CF30FB">
            <w:pPr>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建设单位应根据本项目的废水和废气等污染物的排放量，向上级主管部门和</w:t>
            </w:r>
            <w:r>
              <w:rPr>
                <w:rFonts w:hint="eastAsia" w:cs="Times New Roman"/>
                <w:color w:val="auto"/>
                <w:highlight w:val="none"/>
                <w:lang w:val="en-US" w:eastAsia="zh-CN"/>
              </w:rPr>
              <w:t>生态环境</w:t>
            </w:r>
            <w:r>
              <w:rPr>
                <w:rFonts w:hint="default" w:ascii="Times New Roman" w:hAnsi="Times New Roman" w:cs="Times New Roman"/>
                <w:color w:val="auto"/>
                <w:highlight w:val="none"/>
              </w:rPr>
              <w:t>部门申请各项目污染物排放总量控制指标。</w:t>
            </w:r>
          </w:p>
          <w:p w14:paraId="743E4B82">
            <w:pPr>
              <w:pStyle w:val="9"/>
              <w:numPr>
                <w:ilvl w:val="2"/>
                <w:numId w:val="0"/>
              </w:numPr>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一、水污染物排放总量控制指标</w:t>
            </w:r>
          </w:p>
          <w:p w14:paraId="432D083D">
            <w:pPr>
              <w:pStyle w:val="94"/>
              <w:widowControl/>
              <w:rPr>
                <w:rFonts w:hint="default" w:ascii="Times New Roman" w:hAnsi="Times New Roman" w:cs="Times New Roman"/>
                <w:color w:val="auto"/>
                <w:highlight w:val="none"/>
              </w:rPr>
            </w:pPr>
            <w:r>
              <w:rPr>
                <w:rFonts w:hint="eastAsia" w:cs="Times New Roman"/>
                <w:color w:val="auto"/>
                <w:highlight w:val="none"/>
                <w:lang w:val="en-US" w:eastAsia="zh-CN"/>
              </w:rPr>
              <w:t>项目</w:t>
            </w:r>
            <w:r>
              <w:rPr>
                <w:rFonts w:hint="default" w:ascii="Times New Roman" w:hAnsi="Times New Roman" w:cs="Times New Roman"/>
                <w:color w:val="auto"/>
                <w:highlight w:val="none"/>
              </w:rPr>
              <w:t>生活污水</w:t>
            </w:r>
            <w:r>
              <w:rPr>
                <w:rFonts w:hint="eastAsia" w:cs="Times New Roman"/>
                <w:color w:val="auto"/>
                <w:highlight w:val="none"/>
                <w:lang w:val="en-US" w:eastAsia="zh-CN"/>
              </w:rPr>
              <w:t>总</w:t>
            </w:r>
            <w:r>
              <w:rPr>
                <w:rFonts w:hint="default" w:ascii="Times New Roman" w:hAnsi="Times New Roman" w:cs="Times New Roman"/>
                <w:color w:val="auto"/>
                <w:highlight w:val="none"/>
              </w:rPr>
              <w:t>排放量为</w:t>
            </w:r>
            <w:r>
              <w:rPr>
                <w:rFonts w:hint="eastAsia" w:ascii="Times New Roman" w:hAnsi="Times New Roman" w:cs="Times New Roman"/>
                <w:color w:val="auto"/>
                <w:highlight w:val="none"/>
                <w:lang w:val="en-US" w:eastAsia="zh-CN"/>
              </w:rPr>
              <w:t>50.4</w:t>
            </w:r>
            <w:r>
              <w:rPr>
                <w:rFonts w:hint="default" w:ascii="Times New Roman" w:hAnsi="Times New Roman" w:cs="Times New Roman"/>
                <w:color w:val="auto"/>
                <w:highlight w:val="none"/>
                <w:lang w:val="en-US" w:eastAsia="zh-CN"/>
              </w:rPr>
              <w:t>t</w:t>
            </w:r>
            <w:r>
              <w:rPr>
                <w:rFonts w:hint="default" w:ascii="Times New Roman" w:hAnsi="Times New Roman" w:cs="Times New Roman"/>
                <w:color w:val="auto"/>
                <w:highlight w:val="none"/>
              </w:rPr>
              <w:t>/a，经</w:t>
            </w:r>
            <w:r>
              <w:rPr>
                <w:rFonts w:hint="default" w:ascii="Times New Roman" w:hAnsi="Times New Roman" w:cs="Times New Roman"/>
                <w:color w:val="auto"/>
                <w:highlight w:val="none"/>
                <w:lang w:eastAsia="zh-CN"/>
              </w:rPr>
              <w:t>三级化粪池</w:t>
            </w:r>
            <w:r>
              <w:rPr>
                <w:rFonts w:hint="default" w:ascii="Times New Roman" w:hAnsi="Times New Roman" w:cs="Times New Roman"/>
                <w:color w:val="auto"/>
                <w:highlight w:val="none"/>
              </w:rPr>
              <w:t>预处理后排入园区污水处理厂进行处理，</w:t>
            </w:r>
            <w:r>
              <w:rPr>
                <w:rFonts w:hint="default" w:ascii="Times New Roman" w:hAnsi="Times New Roman" w:cs="Times New Roman"/>
                <w:color w:val="auto"/>
                <w:kern w:val="0"/>
                <w:highlight w:val="none"/>
              </w:rPr>
              <w:t>因此，CODcr</w:t>
            </w:r>
            <w:r>
              <w:rPr>
                <w:rFonts w:hint="default" w:ascii="Times New Roman" w:hAnsi="Times New Roman" w:cs="Times New Roman"/>
                <w:color w:val="auto"/>
                <w:kern w:val="0"/>
                <w:highlight w:val="none"/>
                <w:lang w:eastAsia="zh-CN"/>
              </w:rPr>
              <w:t>（</w:t>
            </w:r>
            <w:r>
              <w:rPr>
                <w:rFonts w:hint="default" w:ascii="Times New Roman" w:hAnsi="Times New Roman" w:cs="Times New Roman"/>
                <w:color w:val="auto"/>
                <w:kern w:val="0"/>
                <w:highlight w:val="none"/>
                <w:lang w:val="en-US" w:eastAsia="zh-CN"/>
              </w:rPr>
              <w:t>0.</w:t>
            </w:r>
            <w:r>
              <w:rPr>
                <w:rFonts w:hint="eastAsia" w:cs="Times New Roman"/>
                <w:color w:val="auto"/>
                <w:kern w:val="0"/>
                <w:highlight w:val="none"/>
                <w:lang w:val="en-US" w:eastAsia="zh-CN"/>
              </w:rPr>
              <w:t>01008</w:t>
            </w:r>
            <w:r>
              <w:rPr>
                <w:rFonts w:hint="default" w:ascii="Times New Roman" w:hAnsi="Times New Roman" w:cs="Times New Roman"/>
                <w:color w:val="auto"/>
                <w:kern w:val="0"/>
                <w:highlight w:val="none"/>
                <w:lang w:val="en-US" w:eastAsia="zh-CN"/>
              </w:rPr>
              <w:t>t/a）</w:t>
            </w:r>
            <w:r>
              <w:rPr>
                <w:rFonts w:hint="default" w:ascii="Times New Roman" w:hAnsi="Times New Roman" w:cs="Times New Roman"/>
                <w:color w:val="auto"/>
                <w:kern w:val="0"/>
                <w:highlight w:val="none"/>
              </w:rPr>
              <w:t>、NH</w:t>
            </w:r>
            <w:r>
              <w:rPr>
                <w:rFonts w:hint="default" w:ascii="Times New Roman" w:hAnsi="Times New Roman" w:cs="Times New Roman"/>
                <w:color w:val="auto"/>
                <w:kern w:val="0"/>
                <w:highlight w:val="none"/>
                <w:vertAlign w:val="subscript"/>
                <w:lang w:val="en-US" w:eastAsia="zh-CN"/>
              </w:rPr>
              <w:t>3</w:t>
            </w:r>
            <w:r>
              <w:rPr>
                <w:rFonts w:hint="default" w:ascii="Times New Roman" w:hAnsi="Times New Roman" w:cs="Times New Roman"/>
                <w:color w:val="auto"/>
                <w:kern w:val="0"/>
                <w:highlight w:val="none"/>
                <w:lang w:val="en-US" w:eastAsia="zh-CN"/>
              </w:rPr>
              <w:t>-</w:t>
            </w:r>
            <w:r>
              <w:rPr>
                <w:rFonts w:hint="default" w:ascii="Times New Roman" w:hAnsi="Times New Roman" w:cs="Times New Roman"/>
                <w:color w:val="auto"/>
                <w:kern w:val="0"/>
                <w:highlight w:val="none"/>
              </w:rPr>
              <w:t>N</w:t>
            </w:r>
            <w:r>
              <w:rPr>
                <w:rFonts w:hint="default" w:ascii="Times New Roman" w:hAnsi="Times New Roman" w:cs="Times New Roman"/>
                <w:color w:val="auto"/>
                <w:kern w:val="0"/>
                <w:highlight w:val="none"/>
                <w:lang w:eastAsia="zh-CN"/>
              </w:rPr>
              <w:t>（</w:t>
            </w:r>
            <w:r>
              <w:rPr>
                <w:rFonts w:hint="default" w:ascii="Times New Roman" w:hAnsi="Times New Roman" w:cs="Times New Roman"/>
                <w:i w:val="0"/>
                <w:iCs w:val="0"/>
                <w:color w:val="auto"/>
                <w:kern w:val="0"/>
                <w:sz w:val="24"/>
                <w:szCs w:val="24"/>
                <w:highlight w:val="none"/>
                <w:u w:val="none"/>
                <w:lang w:val="en-US" w:eastAsia="zh-CN"/>
              </w:rPr>
              <w:t>0.00</w:t>
            </w:r>
            <w:r>
              <w:rPr>
                <w:rFonts w:hint="eastAsia" w:cs="Times New Roman"/>
                <w:i w:val="0"/>
                <w:iCs w:val="0"/>
                <w:color w:val="auto"/>
                <w:kern w:val="0"/>
                <w:sz w:val="24"/>
                <w:szCs w:val="24"/>
                <w:highlight w:val="none"/>
                <w:u w:val="none"/>
                <w:lang w:val="en-US" w:eastAsia="zh-CN"/>
              </w:rPr>
              <w:t>096</w:t>
            </w:r>
            <w:r>
              <w:rPr>
                <w:rFonts w:hint="default" w:ascii="Times New Roman" w:hAnsi="Times New Roman" w:cs="Times New Roman"/>
                <w:color w:val="auto"/>
                <w:kern w:val="0"/>
                <w:highlight w:val="none"/>
                <w:lang w:val="en-US" w:eastAsia="zh-CN"/>
              </w:rPr>
              <w:t>t/a）</w:t>
            </w:r>
            <w:r>
              <w:rPr>
                <w:rFonts w:hint="default" w:ascii="Times New Roman" w:hAnsi="Times New Roman" w:cs="Times New Roman"/>
                <w:color w:val="auto"/>
                <w:kern w:val="0"/>
                <w:highlight w:val="none"/>
              </w:rPr>
              <w:t>纳入园区污水处理厂的总量控制指标，不需再增加新的总量分配指标</w:t>
            </w:r>
            <w:r>
              <w:rPr>
                <w:rFonts w:hint="default" w:ascii="Times New Roman" w:hAnsi="Times New Roman" w:cs="Times New Roman"/>
                <w:color w:val="auto"/>
                <w:highlight w:val="none"/>
              </w:rPr>
              <w:t>。</w:t>
            </w:r>
          </w:p>
          <w:p w14:paraId="7010EF0E">
            <w:pPr>
              <w:widowControl/>
              <w:numPr>
                <w:ilvl w:val="0"/>
                <w:numId w:val="0"/>
              </w:numPr>
              <w:ind w:firstLine="480" w:firstLineChars="200"/>
              <w:jc w:val="both"/>
              <w:rPr>
                <w:rFonts w:hint="eastAsia"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kern w:val="2"/>
                <w:sz w:val="24"/>
                <w:szCs w:val="24"/>
                <w:lang w:val="en-US" w:eastAsia="zh-CN" w:bidi="ar-SA"/>
              </w:rPr>
              <w:t>二</w:t>
            </w:r>
            <w:r>
              <w:rPr>
                <w:rFonts w:hint="eastAsia" w:ascii="Times New Roman" w:hAnsi="Times New Roman" w:eastAsia="宋体" w:cs="Times New Roman"/>
                <w:b/>
                <w:bCs/>
                <w:color w:val="auto"/>
                <w:kern w:val="2"/>
                <w:sz w:val="24"/>
                <w:szCs w:val="24"/>
                <w:lang w:val="en-US" w:eastAsia="zh-CN" w:bidi="ar-SA"/>
              </w:rPr>
              <w:t>、</w:t>
            </w:r>
            <w:r>
              <w:rPr>
                <w:rFonts w:hint="eastAsia" w:ascii="Times New Roman" w:hAnsi="Times New Roman" w:cs="Times New Roman"/>
                <w:b/>
                <w:bCs/>
                <w:color w:val="auto"/>
                <w:highlight w:val="none"/>
                <w:lang w:val="en-US" w:eastAsia="zh-CN"/>
              </w:rPr>
              <w:t>大气</w:t>
            </w:r>
            <w:r>
              <w:rPr>
                <w:rFonts w:hint="default" w:ascii="Times New Roman" w:hAnsi="Times New Roman" w:cs="Times New Roman"/>
                <w:b/>
                <w:bCs/>
                <w:color w:val="auto"/>
                <w:highlight w:val="none"/>
              </w:rPr>
              <w:t>污染物排放总量控制</w:t>
            </w:r>
            <w:r>
              <w:rPr>
                <w:rFonts w:hint="eastAsia" w:ascii="Times New Roman" w:hAnsi="Times New Roman" w:cs="Times New Roman"/>
                <w:b/>
                <w:bCs/>
                <w:color w:val="auto"/>
                <w:highlight w:val="none"/>
                <w:lang w:val="en-US" w:eastAsia="zh-CN"/>
              </w:rPr>
              <w:t>指标</w:t>
            </w:r>
          </w:p>
          <w:p w14:paraId="53ED3646">
            <w:pPr>
              <w:widowControl/>
              <w:numPr>
                <w:ilvl w:val="0"/>
                <w:numId w:val="0"/>
              </w:numPr>
              <w:ind w:firstLine="480" w:firstLineChars="200"/>
              <w:jc w:val="both"/>
              <w:rPr>
                <w:rFonts w:hint="default" w:ascii="Times New Roman" w:hAnsi="Times New Roman" w:eastAsia="宋体" w:cs="Times New Roman"/>
                <w:color w:val="auto"/>
                <w:highlight w:val="none"/>
                <w:lang w:eastAsia="zh-CN"/>
              </w:rPr>
            </w:pPr>
            <w:r>
              <w:rPr>
                <w:rFonts w:hint="eastAsia" w:ascii="Times New Roman" w:hAnsi="Times New Roman" w:cs="Times New Roman"/>
                <w:color w:val="auto"/>
                <w:kern w:val="0"/>
                <w:highlight w:val="none"/>
                <w:lang w:val="en-US" w:eastAsia="zh-CN"/>
              </w:rPr>
              <w:t>本项目主要废气污染物为颗粒物和臭气浓度，</w:t>
            </w:r>
            <w:r>
              <w:rPr>
                <w:rFonts w:hint="default" w:ascii="Times New Roman" w:hAnsi="Times New Roman" w:cs="Times New Roman"/>
                <w:color w:val="auto"/>
                <w:sz w:val="24"/>
                <w:highlight w:val="none"/>
                <w:lang w:val="en-US" w:eastAsia="zh-CN"/>
              </w:rPr>
              <w:t>根据</w:t>
            </w:r>
            <w:r>
              <w:rPr>
                <w:rFonts w:hint="default" w:ascii="Times New Roman" w:hAnsi="Times New Roman" w:cs="Times New Roman"/>
                <w:color w:val="auto"/>
                <w:sz w:val="24"/>
                <w:highlight w:val="none"/>
              </w:rPr>
              <w:t>生态环境部“十四五”主要污染物总量减排有关文件以及</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广东省人民政府关于印发</w:t>
            </w:r>
            <w:r>
              <w:rPr>
                <w:rFonts w:hint="eastAsia" w:ascii="Times New Roman" w:hAnsi="Times New Roman" w:cs="Times New Roman"/>
                <w:color w:val="auto"/>
                <w:sz w:val="24"/>
                <w:highlight w:val="none"/>
                <w:lang w:val="en-US" w:eastAsia="zh-CN"/>
              </w:rPr>
              <w:t>&lt;</w:t>
            </w:r>
            <w:r>
              <w:rPr>
                <w:rFonts w:hint="default" w:ascii="Times New Roman" w:hAnsi="Times New Roman" w:cs="Times New Roman"/>
                <w:color w:val="auto"/>
                <w:sz w:val="24"/>
                <w:highlight w:val="none"/>
              </w:rPr>
              <w:t>广东省“三线一单”生态环境分区管控方案</w:t>
            </w:r>
            <w:r>
              <w:rPr>
                <w:rFonts w:hint="eastAsia" w:ascii="Times New Roman" w:hAnsi="Times New Roman" w:cs="Times New Roman"/>
                <w:color w:val="auto"/>
                <w:sz w:val="24"/>
                <w:highlight w:val="none"/>
                <w:lang w:val="en-US" w:eastAsia="zh-CN"/>
              </w:rPr>
              <w:t>&gt;</w:t>
            </w:r>
            <w:r>
              <w:rPr>
                <w:rFonts w:hint="default" w:ascii="Times New Roman" w:hAnsi="Times New Roman" w:cs="Times New Roman"/>
                <w:color w:val="auto"/>
                <w:sz w:val="24"/>
                <w:highlight w:val="none"/>
              </w:rPr>
              <w:t>的通知</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粤府〔2020〕71号</w:t>
            </w:r>
            <w:r>
              <w:rPr>
                <w:rFonts w:hint="default" w:ascii="Times New Roman" w:hAnsi="Times New Roman" w:cs="Times New Roman"/>
                <w:color w:val="auto"/>
                <w:sz w:val="24"/>
                <w:highlight w:val="none"/>
                <w:lang w:eastAsia="zh-CN"/>
              </w:rPr>
              <w:t>），重点污染物排放总量指标包括化学需氧量、氨氮、氮氧化物及挥发性有机物等</w:t>
            </w:r>
            <w:r>
              <w:rPr>
                <w:rFonts w:hint="default" w:ascii="Times New Roman" w:hAnsi="Times New Roman" w:cs="Times New Roman"/>
                <w:color w:val="auto"/>
                <w:sz w:val="24"/>
                <w:highlight w:val="none"/>
                <w:lang w:val="en-US" w:eastAsia="zh-CN"/>
              </w:rPr>
              <w:t>四项</w:t>
            </w:r>
            <w:r>
              <w:rPr>
                <w:rFonts w:hint="eastAsia" w:ascii="Times New Roman" w:hAnsi="Times New Roman" w:cs="Times New Roman"/>
                <w:color w:val="auto"/>
                <w:sz w:val="24"/>
                <w:highlight w:val="none"/>
                <w:lang w:eastAsia="zh-CN"/>
              </w:rPr>
              <w:t>，</w:t>
            </w:r>
            <w:r>
              <w:rPr>
                <w:rFonts w:hint="default" w:ascii="Times New Roman" w:hAnsi="Times New Roman" w:eastAsia="宋体" w:cs="Times New Roman"/>
                <w:color w:val="auto"/>
                <w:kern w:val="0"/>
                <w:sz w:val="24"/>
                <w:szCs w:val="24"/>
                <w:highlight w:val="none"/>
                <w:lang w:val="en-US" w:eastAsia="zh-CN"/>
              </w:rPr>
              <w:t>颗粒物</w:t>
            </w:r>
            <w:r>
              <w:rPr>
                <w:rFonts w:hint="eastAsia" w:eastAsia="宋体" w:cs="Times New Roman"/>
                <w:color w:val="auto"/>
                <w:kern w:val="0"/>
                <w:sz w:val="24"/>
                <w:szCs w:val="24"/>
                <w:highlight w:val="none"/>
                <w:lang w:val="en-US" w:eastAsia="zh-CN"/>
              </w:rPr>
              <w:t>和臭气浓度</w:t>
            </w:r>
            <w:r>
              <w:rPr>
                <w:rFonts w:hint="default" w:ascii="Times New Roman" w:hAnsi="Times New Roman" w:eastAsia="宋体" w:cs="Times New Roman"/>
                <w:color w:val="auto"/>
                <w:kern w:val="0"/>
                <w:sz w:val="24"/>
                <w:szCs w:val="24"/>
                <w:highlight w:val="none"/>
                <w:lang w:val="en-US" w:eastAsia="zh-CN"/>
              </w:rPr>
              <w:t>无需设置大气污染物总量控制指标</w:t>
            </w:r>
            <w:r>
              <w:rPr>
                <w:rFonts w:hint="default" w:ascii="Times New Roman" w:hAnsi="Times New Roman" w:cs="Times New Roman"/>
                <w:color w:val="auto"/>
                <w:sz w:val="24"/>
                <w:highlight w:val="none"/>
              </w:rPr>
              <w:t>。</w:t>
            </w:r>
            <w:r>
              <w:rPr>
                <w:rFonts w:hint="eastAsia" w:ascii="Times New Roman" w:hAnsi="Times New Roman" w:cs="Times New Roman"/>
                <w:color w:val="auto"/>
                <w:sz w:val="24"/>
                <w:highlight w:val="none"/>
                <w:lang w:val="en-US" w:eastAsia="zh-CN"/>
              </w:rPr>
              <w:t>因此本项目无需申请总量</w:t>
            </w:r>
            <w:r>
              <w:rPr>
                <w:rFonts w:hint="default" w:ascii="Times New Roman" w:hAnsi="Times New Roman" w:cs="Times New Roman"/>
                <w:color w:val="auto"/>
                <w:kern w:val="0"/>
                <w:highlight w:val="none"/>
                <w:lang w:eastAsia="zh-CN"/>
              </w:rPr>
              <w:t>。</w:t>
            </w:r>
          </w:p>
          <w:p w14:paraId="0308BD29">
            <w:pPr>
              <w:pStyle w:val="9"/>
              <w:numPr>
                <w:ilvl w:val="2"/>
                <w:numId w:val="0"/>
              </w:numPr>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三、固体废物排放总量控制指标</w:t>
            </w:r>
          </w:p>
          <w:p w14:paraId="68F2E29C">
            <w:pPr>
              <w:pStyle w:val="9"/>
              <w:numPr>
                <w:ilvl w:val="2"/>
                <w:numId w:val="0"/>
              </w:numPr>
              <w:ind w:firstLine="480" w:firstLineChars="200"/>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rPr>
              <w:t>本项目固体废物不自行处理排放，不设置固体废物总量控制指标。</w:t>
            </w:r>
          </w:p>
          <w:p w14:paraId="3E73F97D">
            <w:pPr>
              <w:keepNext w:val="0"/>
              <w:keepLines w:val="0"/>
              <w:pageBreakBefore w:val="0"/>
              <w:widowControl/>
              <w:suppressLineNumbers w:val="0"/>
              <w:kinsoku/>
              <w:wordWrap/>
              <w:overflowPunct/>
              <w:topLinePunct w:val="0"/>
              <w:autoSpaceDE/>
              <w:autoSpaceDN/>
              <w:bidi w:val="0"/>
              <w:adjustRightInd/>
              <w:snapToGrid/>
              <w:ind w:firstLine="456" w:firstLineChars="200"/>
              <w:jc w:val="both"/>
              <w:textAlignment w:val="auto"/>
              <w:rPr>
                <w:rFonts w:hint="default" w:ascii="Times New Roman" w:hAnsi="Times New Roman" w:eastAsia="宋体" w:cs="Times New Roman"/>
                <w:color w:val="auto"/>
                <w:spacing w:val="-6"/>
                <w:highlight w:val="none"/>
              </w:rPr>
            </w:pPr>
          </w:p>
        </w:tc>
      </w:tr>
      <w:bookmarkEnd w:id="84"/>
      <w:bookmarkEnd w:id="85"/>
      <w:bookmarkEnd w:id="86"/>
      <w:bookmarkEnd w:id="87"/>
      <w:bookmarkEnd w:id="88"/>
      <w:bookmarkEnd w:id="89"/>
      <w:bookmarkEnd w:id="90"/>
      <w:bookmarkEnd w:id="91"/>
      <w:bookmarkEnd w:id="92"/>
      <w:bookmarkEnd w:id="93"/>
    </w:tbl>
    <w:p w14:paraId="09D4B0D3">
      <w:pPr>
        <w:bidi w:val="0"/>
        <w:rPr>
          <w:rFonts w:hint="default"/>
          <w:color w:val="auto"/>
          <w:highlight w:val="none"/>
        </w:rPr>
        <w:sectPr>
          <w:footerReference r:id="rId6" w:type="default"/>
          <w:pgSz w:w="11906" w:h="16838"/>
          <w:pgMar w:top="1440" w:right="1797" w:bottom="1440" w:left="1797" w:header="851" w:footer="680" w:gutter="0"/>
          <w:pgBorders>
            <w:top w:val="none" w:sz="0" w:space="0"/>
            <w:left w:val="none" w:sz="0" w:space="0"/>
            <w:bottom w:val="none" w:sz="0" w:space="0"/>
            <w:right w:val="none" w:sz="0" w:space="0"/>
          </w:pgBorders>
          <w:pgNumType w:fmt="decimal" w:start="1"/>
          <w:cols w:space="720" w:num="1"/>
          <w:docGrid w:type="linesAndChars" w:linePitch="312" w:charSpace="0"/>
        </w:sectPr>
      </w:pPr>
    </w:p>
    <w:p w14:paraId="68F7E799">
      <w:pPr>
        <w:pStyle w:val="7"/>
        <w:numPr>
          <w:ilvl w:val="0"/>
          <w:numId w:val="0"/>
        </w:numPr>
        <w:rPr>
          <w:rFonts w:hint="default" w:ascii="Times New Roman" w:hAnsi="Times New Roman" w:cs="Times New Roman"/>
          <w:color w:val="auto"/>
          <w:highlight w:val="none"/>
        </w:rPr>
      </w:pPr>
      <w:bookmarkStart w:id="94" w:name="_Toc22008"/>
      <w:bookmarkStart w:id="95" w:name="_Toc27519"/>
      <w:bookmarkStart w:id="96" w:name="_Toc32008"/>
      <w:r>
        <w:rPr>
          <w:rFonts w:hint="default" w:ascii="Times New Roman" w:hAnsi="Times New Roman" w:cs="Times New Roman"/>
          <w:color w:val="auto"/>
          <w:highlight w:val="none"/>
        </w:rPr>
        <w:t>四、主要环境影响和保护措施</w:t>
      </w:r>
      <w:bookmarkEnd w:id="94"/>
      <w:bookmarkEnd w:id="95"/>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2"/>
        <w:gridCol w:w="8046"/>
      </w:tblGrid>
      <w:tr w14:paraId="25C2E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0" w:hRule="atLeast"/>
        </w:trPr>
        <w:tc>
          <w:tcPr>
            <w:tcW w:w="482" w:type="dxa"/>
            <w:vAlign w:val="center"/>
          </w:tcPr>
          <w:p w14:paraId="5AB375AC">
            <w:pPr>
              <w:numPr>
                <w:ilvl w:val="1"/>
                <w:numId w:val="0"/>
              </w:numPr>
              <w:tabs>
                <w:tab w:val="left" w:pos="420"/>
              </w:tabs>
              <w:outlineLvl w:val="9"/>
              <w:rPr>
                <w:rFonts w:hint="default" w:ascii="Times New Roman" w:hAnsi="Times New Roman" w:cs="Times New Roman"/>
                <w:color w:val="auto"/>
                <w:highlight w:val="none"/>
              </w:rPr>
            </w:pPr>
            <w:bookmarkStart w:id="97" w:name="_Toc30266"/>
            <w:bookmarkStart w:id="98" w:name="_Toc22339"/>
            <w:bookmarkStart w:id="99" w:name="_Toc18588"/>
            <w:bookmarkStart w:id="100" w:name="_Toc25331"/>
            <w:bookmarkStart w:id="101" w:name="_Toc25142"/>
            <w:bookmarkStart w:id="102" w:name="_Toc7895"/>
            <w:bookmarkStart w:id="103" w:name="_Toc3227"/>
            <w:r>
              <w:rPr>
                <w:rFonts w:hint="default" w:ascii="Times New Roman" w:hAnsi="Times New Roman" w:cs="Times New Roman"/>
                <w:color w:val="auto"/>
                <w:highlight w:val="none"/>
              </w:rPr>
              <w:t>施工期环境保护措施</w:t>
            </w:r>
            <w:bookmarkEnd w:id="97"/>
            <w:bookmarkEnd w:id="98"/>
            <w:bookmarkEnd w:id="99"/>
            <w:bookmarkEnd w:id="100"/>
            <w:bookmarkEnd w:id="101"/>
            <w:bookmarkEnd w:id="102"/>
            <w:bookmarkEnd w:id="103"/>
          </w:p>
        </w:tc>
        <w:tc>
          <w:tcPr>
            <w:tcW w:w="8046" w:type="dxa"/>
            <w:vAlign w:val="center"/>
          </w:tcPr>
          <w:p w14:paraId="4467FED7">
            <w:pPr>
              <w:pStyle w:val="21"/>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本项目租赁已建成的工业厂房进行生产，不涉及土建工程，只需在原有厂房内进行简单的装修及设备安装，施工期间施工人员食宿等生活问题依托周边设施解决。故施工期产生的污染源主要为</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施工过</w:t>
            </w:r>
            <w:r>
              <w:rPr>
                <w:rFonts w:hint="eastAsia" w:cs="Times New Roman"/>
                <w:color w:val="auto"/>
                <w:highlight w:val="none"/>
                <w:lang w:eastAsia="zh-CN"/>
              </w:rPr>
              <w:t>程中</w:t>
            </w:r>
            <w:r>
              <w:rPr>
                <w:rFonts w:hint="default" w:ascii="Times New Roman" w:hAnsi="Times New Roman" w:cs="Times New Roman"/>
                <w:color w:val="auto"/>
                <w:highlight w:val="none"/>
              </w:rPr>
              <w:t>产生的少量装修废气</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车间装修、设备安装施工时产生的少量建筑垃圾、包装垃圾</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装修设备和设备调试产生的噪声等。施工过程对环境会带来短暂性的影响，其影响在施工结束后消除。因此，只需要加强施工期间的管理，本项目施工期产生的污染对周围环境的影响在可接受的范围内。</w:t>
            </w:r>
          </w:p>
        </w:tc>
      </w:tr>
    </w:tbl>
    <w:p w14:paraId="46E9E338">
      <w:pPr>
        <w:rPr>
          <w:rFonts w:hint="default" w:ascii="Times New Roman" w:hAnsi="Times New Roman" w:eastAsia="宋体" w:cs="Times New Roman"/>
          <w:color w:val="auto"/>
          <w:highlight w:val="none"/>
        </w:rPr>
      </w:pPr>
    </w:p>
    <w:p w14:paraId="363ABA24">
      <w:pPr>
        <w:rPr>
          <w:rFonts w:hint="default" w:ascii="Times New Roman" w:hAnsi="Times New Roman" w:eastAsia="宋体" w:cs="Times New Roman"/>
          <w:color w:val="auto"/>
          <w:highlight w:val="none"/>
        </w:rPr>
        <w:sectPr>
          <w:pgSz w:w="11906" w:h="16838"/>
          <w:pgMar w:top="1440" w:right="1797" w:bottom="1440" w:left="1797" w:header="851" w:footer="680" w:gutter="0"/>
          <w:pgBorders>
            <w:top w:val="none" w:sz="0" w:space="0"/>
            <w:left w:val="none" w:sz="0" w:space="0"/>
            <w:bottom w:val="none" w:sz="0" w:space="0"/>
            <w:right w:val="none" w:sz="0" w:space="0"/>
          </w:pgBorders>
          <w:pgNumType w:fmt="decimal"/>
          <w:cols w:space="720" w:num="1"/>
          <w:docGrid w:type="linesAndChars" w:linePitch="312" w:charSpace="0"/>
        </w:sectPr>
      </w:pPr>
    </w:p>
    <w:tbl>
      <w:tblPr>
        <w:tblStyle w:val="4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3712"/>
      </w:tblGrid>
      <w:tr w14:paraId="6A1D0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2" w:hRule="atLeast"/>
        </w:trPr>
        <w:tc>
          <w:tcPr>
            <w:tcW w:w="133" w:type="pct"/>
            <w:vAlign w:val="center"/>
          </w:tcPr>
          <w:p w14:paraId="0AD5EABB">
            <w:pPr>
              <w:numPr>
                <w:ilvl w:val="1"/>
                <w:numId w:val="0"/>
              </w:numPr>
              <w:tabs>
                <w:tab w:val="left" w:pos="420"/>
              </w:tabs>
              <w:outlineLvl w:val="9"/>
              <w:rPr>
                <w:rFonts w:hint="default" w:ascii="Times New Roman" w:hAnsi="Times New Roman" w:cs="Times New Roman"/>
                <w:color w:val="auto"/>
                <w:highlight w:val="none"/>
              </w:rPr>
            </w:pPr>
            <w:bookmarkStart w:id="104" w:name="_Toc14651"/>
            <w:bookmarkStart w:id="105" w:name="_Toc15252"/>
            <w:bookmarkStart w:id="106" w:name="_Toc8375"/>
            <w:bookmarkStart w:id="107" w:name="_Toc12228"/>
            <w:bookmarkStart w:id="108" w:name="_Toc665"/>
            <w:bookmarkStart w:id="109" w:name="_Toc29600"/>
            <w:bookmarkStart w:id="110" w:name="_Toc20905"/>
            <w:r>
              <w:rPr>
                <w:rFonts w:hint="default" w:ascii="Times New Roman" w:hAnsi="Times New Roman" w:cs="Times New Roman"/>
                <w:color w:val="auto"/>
                <w:highlight w:val="none"/>
              </w:rPr>
              <w:t>运营期环境影响和保护措施</w:t>
            </w:r>
            <w:bookmarkEnd w:id="104"/>
            <w:bookmarkEnd w:id="105"/>
            <w:bookmarkEnd w:id="106"/>
            <w:bookmarkEnd w:id="107"/>
            <w:bookmarkEnd w:id="108"/>
            <w:bookmarkEnd w:id="109"/>
            <w:bookmarkEnd w:id="110"/>
          </w:p>
        </w:tc>
        <w:tc>
          <w:tcPr>
            <w:tcW w:w="4866" w:type="pct"/>
            <w:vAlign w:val="center"/>
          </w:tcPr>
          <w:p w14:paraId="21D70578">
            <w:pPr>
              <w:pStyle w:val="10"/>
              <w:numPr>
                <w:ilvl w:val="3"/>
                <w:numId w:val="0"/>
              </w:numPr>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一、废气</w:t>
            </w:r>
          </w:p>
          <w:p w14:paraId="0CD1855B">
            <w:pPr>
              <w:pStyle w:val="30"/>
              <w:numPr>
                <w:ilvl w:val="0"/>
                <w:numId w:val="0"/>
              </w:numPr>
              <w:tabs>
                <w:tab w:val="left" w:pos="0"/>
              </w:tabs>
              <w:spacing w:after="0" w:line="360" w:lineRule="auto"/>
              <w:ind w:left="0" w:leftChars="0" w:firstLine="420" w:firstLineChars="0"/>
              <w:rPr>
                <w:rFonts w:hint="default" w:ascii="Times New Roman" w:hAnsi="Times New Roman" w:cs="Times New Roman"/>
                <w:b/>
                <w:bCs/>
                <w:color w:val="auto"/>
                <w:kern w:val="2"/>
                <w:sz w:val="24"/>
                <w:szCs w:val="24"/>
                <w:highlight w:val="none"/>
                <w:lang w:val="en-US" w:eastAsia="zh-CN" w:bidi="ar-SA"/>
              </w:rPr>
            </w:pPr>
            <w:r>
              <w:rPr>
                <w:rFonts w:hint="default" w:ascii="Times New Roman" w:hAnsi="Times New Roman" w:cs="Times New Roman"/>
                <w:b/>
                <w:bCs/>
                <w:color w:val="auto"/>
                <w:kern w:val="2"/>
                <w:sz w:val="24"/>
                <w:szCs w:val="24"/>
                <w:highlight w:val="none"/>
                <w:lang w:val="en-US" w:eastAsia="zh-CN" w:bidi="ar-SA"/>
              </w:rPr>
              <w:t>1、污染源排放汇总</w:t>
            </w:r>
          </w:p>
          <w:p w14:paraId="6F72238B">
            <w:pPr>
              <w:pStyle w:val="30"/>
              <w:numPr>
                <w:ilvl w:val="0"/>
                <w:numId w:val="0"/>
              </w:numPr>
              <w:tabs>
                <w:tab w:val="left" w:pos="0"/>
              </w:tabs>
              <w:spacing w:after="0" w:line="360" w:lineRule="auto"/>
              <w:ind w:left="0" w:leftChars="0" w:firstLine="420" w:firstLineChars="0"/>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项目废气污染物排放情况、污染源源强核算结果及相关参数见下列一览表</w:t>
            </w:r>
            <w:r>
              <w:rPr>
                <w:rFonts w:hint="default" w:ascii="Times New Roman" w:hAnsi="Times New Roman" w:cs="Times New Roman"/>
                <w:b w:val="0"/>
                <w:bCs w:val="0"/>
                <w:color w:val="auto"/>
                <w:kern w:val="2"/>
                <w:sz w:val="24"/>
                <w:szCs w:val="24"/>
                <w:highlight w:val="none"/>
                <w:lang w:val="en-US" w:eastAsia="zh-CN" w:bidi="ar-SA"/>
              </w:rPr>
              <w:t>。</w:t>
            </w:r>
          </w:p>
          <w:p w14:paraId="4C8446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表4-</w:t>
            </w:r>
            <w:r>
              <w:rPr>
                <w:rFonts w:hint="default" w:ascii="Times New Roman" w:hAnsi="Times New Roman" w:cs="Times New Roman"/>
                <w:b/>
                <w:color w:val="auto"/>
                <w:sz w:val="21"/>
                <w:szCs w:val="21"/>
                <w:highlight w:val="none"/>
                <w:lang w:val="en-US" w:eastAsia="zh-CN"/>
              </w:rPr>
              <w:t>1</w:t>
            </w:r>
            <w:r>
              <w:rPr>
                <w:rFonts w:hint="default" w:ascii="Times New Roman" w:hAnsi="Times New Roman" w:cs="Times New Roman"/>
                <w:b/>
                <w:color w:val="auto"/>
                <w:sz w:val="21"/>
                <w:szCs w:val="21"/>
                <w:highlight w:val="none"/>
              </w:rPr>
              <w:t>废气污染源源强核算结果及相关参数一览表</w:t>
            </w:r>
          </w:p>
          <w:tbl>
            <w:tblPr>
              <w:tblStyle w:val="44"/>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67"/>
              <w:gridCol w:w="642"/>
              <w:gridCol w:w="734"/>
              <w:gridCol w:w="858"/>
              <w:gridCol w:w="648"/>
              <w:gridCol w:w="710"/>
              <w:gridCol w:w="856"/>
              <w:gridCol w:w="839"/>
              <w:gridCol w:w="777"/>
              <w:gridCol w:w="664"/>
              <w:gridCol w:w="785"/>
              <w:gridCol w:w="499"/>
              <w:gridCol w:w="499"/>
              <w:gridCol w:w="710"/>
              <w:gridCol w:w="715"/>
              <w:gridCol w:w="839"/>
              <w:gridCol w:w="777"/>
              <w:gridCol w:w="662"/>
              <w:gridCol w:w="705"/>
            </w:tblGrid>
            <w:tr w14:paraId="62CE2E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jc w:val="center"/>
              </w:trPr>
              <w:tc>
                <w:tcPr>
                  <w:tcW w:w="210" w:type="pct"/>
                  <w:vMerge w:val="restart"/>
                  <w:tcBorders>
                    <w:left w:val="single" w:color="auto" w:sz="4" w:space="0"/>
                  </w:tcBorders>
                  <w:vAlign w:val="center"/>
                </w:tcPr>
                <w:p w14:paraId="4BA9F87D">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污染源</w:t>
                  </w:r>
                </w:p>
              </w:tc>
              <w:tc>
                <w:tcPr>
                  <w:tcW w:w="238" w:type="pct"/>
                  <w:vMerge w:val="restart"/>
                  <w:tcBorders>
                    <w:left w:val="single" w:color="auto" w:sz="4" w:space="0"/>
                  </w:tcBorders>
                  <w:vAlign w:val="center"/>
                </w:tcPr>
                <w:p w14:paraId="14962572">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w:t>
                  </w:r>
                </w:p>
              </w:tc>
              <w:tc>
                <w:tcPr>
                  <w:tcW w:w="272" w:type="pct"/>
                  <w:vMerge w:val="restart"/>
                  <w:tcBorders>
                    <w:left w:val="single" w:color="auto" w:sz="4" w:space="0"/>
                  </w:tcBorders>
                  <w:vAlign w:val="center"/>
                </w:tcPr>
                <w:p w14:paraId="410000D2">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工序/生产线</w:t>
                  </w:r>
                </w:p>
              </w:tc>
              <w:tc>
                <w:tcPr>
                  <w:tcW w:w="318" w:type="pct"/>
                  <w:vMerge w:val="restart"/>
                  <w:tcBorders>
                    <w:left w:val="single" w:color="auto" w:sz="4" w:space="0"/>
                  </w:tcBorders>
                  <w:vAlign w:val="center"/>
                </w:tcPr>
                <w:p w14:paraId="58B8097D">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装置</w:t>
                  </w:r>
                </w:p>
              </w:tc>
              <w:tc>
                <w:tcPr>
                  <w:tcW w:w="240" w:type="pct"/>
                  <w:vMerge w:val="restart"/>
                  <w:tcBorders>
                    <w:right w:val="single" w:color="auto" w:sz="4" w:space="0"/>
                  </w:tcBorders>
                  <w:vAlign w:val="center"/>
                </w:tcPr>
                <w:p w14:paraId="62E62AB6">
                  <w:pPr>
                    <w:pStyle w:val="61"/>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产生量</w:t>
                  </w:r>
                  <w:r>
                    <w:rPr>
                      <w:rFonts w:hint="default" w:ascii="Times New Roman" w:hAnsi="Times New Roman" w:eastAsia="宋体" w:cs="Times New Roman"/>
                      <w:b/>
                      <w:bCs/>
                      <w:color w:val="auto"/>
                      <w:sz w:val="21"/>
                      <w:szCs w:val="21"/>
                      <w:highlight w:val="none"/>
                      <w:lang w:val="en-US" w:eastAsia="zh-CN"/>
                    </w:rPr>
                    <w:t>t/a</w:t>
                  </w:r>
                </w:p>
              </w:tc>
              <w:tc>
                <w:tcPr>
                  <w:tcW w:w="1425" w:type="pct"/>
                  <w:gridSpan w:val="5"/>
                  <w:tcBorders>
                    <w:bottom w:val="single" w:color="auto" w:sz="4" w:space="0"/>
                    <w:right w:val="single" w:color="auto" w:sz="4" w:space="0"/>
                  </w:tcBorders>
                  <w:vAlign w:val="center"/>
                </w:tcPr>
                <w:p w14:paraId="461CF4A1">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污染物产生</w:t>
                  </w:r>
                </w:p>
              </w:tc>
              <w:tc>
                <w:tcPr>
                  <w:tcW w:w="661" w:type="pct"/>
                  <w:gridSpan w:val="3"/>
                  <w:tcBorders>
                    <w:right w:val="single" w:color="auto" w:sz="4" w:space="0"/>
                  </w:tcBorders>
                  <w:vAlign w:val="center"/>
                </w:tcPr>
                <w:p w14:paraId="14ACC87D">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治理措施</w:t>
                  </w:r>
                </w:p>
              </w:tc>
              <w:tc>
                <w:tcPr>
                  <w:tcW w:w="1372" w:type="pct"/>
                  <w:gridSpan w:val="5"/>
                  <w:tcBorders>
                    <w:left w:val="single" w:color="auto" w:sz="4" w:space="0"/>
                  </w:tcBorders>
                  <w:vAlign w:val="center"/>
                </w:tcPr>
                <w:p w14:paraId="405C5647">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污染物排放</w:t>
                  </w:r>
                </w:p>
              </w:tc>
              <w:tc>
                <w:tcPr>
                  <w:tcW w:w="261" w:type="pct"/>
                  <w:vMerge w:val="restart"/>
                  <w:tcBorders>
                    <w:left w:val="single" w:color="auto" w:sz="4" w:space="0"/>
                  </w:tcBorders>
                  <w:vAlign w:val="center"/>
                </w:tcPr>
                <w:p w14:paraId="602BC492">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eastAsia="zh-CN"/>
                    </w:rPr>
                    <w:t>排放时间</w:t>
                  </w:r>
                  <w:r>
                    <w:rPr>
                      <w:rFonts w:hint="default" w:ascii="Times New Roman" w:hAnsi="Times New Roman" w:eastAsia="宋体" w:cs="Times New Roman"/>
                      <w:b/>
                      <w:bCs/>
                      <w:color w:val="auto"/>
                      <w:sz w:val="21"/>
                      <w:szCs w:val="21"/>
                      <w:highlight w:val="none"/>
                      <w:lang w:val="en-US" w:eastAsia="zh-CN"/>
                    </w:rPr>
                    <w:t>/h</w:t>
                  </w:r>
                </w:p>
              </w:tc>
            </w:tr>
            <w:tr w14:paraId="63F03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7" w:hRule="atLeast"/>
                <w:jc w:val="center"/>
              </w:trPr>
              <w:tc>
                <w:tcPr>
                  <w:tcW w:w="210" w:type="pct"/>
                  <w:vMerge w:val="continue"/>
                  <w:tcBorders>
                    <w:left w:val="single" w:color="auto" w:sz="4" w:space="0"/>
                  </w:tcBorders>
                  <w:vAlign w:val="center"/>
                </w:tcPr>
                <w:p w14:paraId="758C7B5D">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rPr>
                  </w:pPr>
                </w:p>
              </w:tc>
              <w:tc>
                <w:tcPr>
                  <w:tcW w:w="238" w:type="pct"/>
                  <w:vMerge w:val="continue"/>
                  <w:tcBorders>
                    <w:left w:val="single" w:color="auto" w:sz="4" w:space="0"/>
                  </w:tcBorders>
                  <w:vAlign w:val="center"/>
                </w:tcPr>
                <w:p w14:paraId="6BDEFB01">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rPr>
                  </w:pPr>
                </w:p>
              </w:tc>
              <w:tc>
                <w:tcPr>
                  <w:tcW w:w="272" w:type="pct"/>
                  <w:vMerge w:val="continue"/>
                  <w:tcBorders>
                    <w:left w:val="single" w:color="auto" w:sz="4" w:space="0"/>
                  </w:tcBorders>
                  <w:vAlign w:val="center"/>
                </w:tcPr>
                <w:p w14:paraId="01896272">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rPr>
                  </w:pPr>
                </w:p>
              </w:tc>
              <w:tc>
                <w:tcPr>
                  <w:tcW w:w="318" w:type="pct"/>
                  <w:vMerge w:val="continue"/>
                  <w:tcBorders>
                    <w:left w:val="single" w:color="auto" w:sz="4" w:space="0"/>
                  </w:tcBorders>
                  <w:vAlign w:val="center"/>
                </w:tcPr>
                <w:p w14:paraId="748ECC6E">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rPr>
                  </w:pPr>
                </w:p>
              </w:tc>
              <w:tc>
                <w:tcPr>
                  <w:tcW w:w="240" w:type="pct"/>
                  <w:vMerge w:val="continue"/>
                  <w:tcBorders>
                    <w:right w:val="single" w:color="auto" w:sz="4" w:space="0"/>
                  </w:tcBorders>
                  <w:vAlign w:val="center"/>
                </w:tcPr>
                <w:p w14:paraId="60BE6D18">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rPr>
                  </w:pPr>
                </w:p>
              </w:tc>
              <w:tc>
                <w:tcPr>
                  <w:tcW w:w="263" w:type="pct"/>
                  <w:tcBorders>
                    <w:top w:val="single" w:color="auto" w:sz="4" w:space="0"/>
                    <w:right w:val="single" w:color="auto" w:sz="4" w:space="0"/>
                  </w:tcBorders>
                  <w:vAlign w:val="center"/>
                </w:tcPr>
                <w:p w14:paraId="3BBEA9B1">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核算方法</w:t>
                  </w:r>
                </w:p>
              </w:tc>
              <w:tc>
                <w:tcPr>
                  <w:tcW w:w="317" w:type="pct"/>
                  <w:tcBorders>
                    <w:top w:val="single" w:color="auto" w:sz="4" w:space="0"/>
                    <w:left w:val="single" w:color="auto" w:sz="4" w:space="0"/>
                    <w:right w:val="single" w:color="auto" w:sz="4" w:space="0"/>
                  </w:tcBorders>
                  <w:vAlign w:val="center"/>
                </w:tcPr>
                <w:p w14:paraId="1C6BE1ED">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废气产生量m³/h</w:t>
                  </w:r>
                </w:p>
              </w:tc>
              <w:tc>
                <w:tcPr>
                  <w:tcW w:w="311" w:type="pct"/>
                  <w:tcBorders>
                    <w:top w:val="single" w:color="auto" w:sz="4" w:space="0"/>
                    <w:left w:val="single" w:color="auto" w:sz="4" w:space="0"/>
                    <w:right w:val="single" w:color="auto" w:sz="4" w:space="0"/>
                  </w:tcBorders>
                  <w:vAlign w:val="center"/>
                </w:tcPr>
                <w:p w14:paraId="5F076943">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产生浓度mg/m³</w:t>
                  </w:r>
                </w:p>
              </w:tc>
              <w:tc>
                <w:tcPr>
                  <w:tcW w:w="288" w:type="pct"/>
                  <w:tcBorders>
                    <w:top w:val="single" w:color="auto" w:sz="4" w:space="0"/>
                    <w:left w:val="single" w:color="auto" w:sz="4" w:space="0"/>
                  </w:tcBorders>
                  <w:vAlign w:val="center"/>
                </w:tcPr>
                <w:p w14:paraId="37BBD1EF">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产生速率kg/h</w:t>
                  </w:r>
                </w:p>
              </w:tc>
              <w:tc>
                <w:tcPr>
                  <w:tcW w:w="246" w:type="pct"/>
                  <w:tcBorders>
                    <w:right w:val="single" w:color="auto" w:sz="4" w:space="0"/>
                  </w:tcBorders>
                  <w:vAlign w:val="center"/>
                </w:tcPr>
                <w:p w14:paraId="432E1256">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产生量t/a</w:t>
                  </w:r>
                </w:p>
              </w:tc>
              <w:tc>
                <w:tcPr>
                  <w:tcW w:w="291" w:type="pct"/>
                  <w:tcBorders>
                    <w:right w:val="single" w:color="auto" w:sz="4" w:space="0"/>
                  </w:tcBorders>
                  <w:vAlign w:val="center"/>
                </w:tcPr>
                <w:p w14:paraId="4733ED65">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工艺</w:t>
                  </w:r>
                </w:p>
              </w:tc>
              <w:tc>
                <w:tcPr>
                  <w:tcW w:w="185" w:type="pct"/>
                  <w:tcBorders>
                    <w:left w:val="single" w:color="auto" w:sz="4" w:space="0"/>
                  </w:tcBorders>
                  <w:vAlign w:val="center"/>
                </w:tcPr>
                <w:p w14:paraId="5F83F051">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收集</w:t>
                  </w:r>
                </w:p>
                <w:p w14:paraId="3F71A950">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效率</w:t>
                  </w:r>
                </w:p>
              </w:tc>
              <w:tc>
                <w:tcPr>
                  <w:tcW w:w="185" w:type="pct"/>
                  <w:tcBorders>
                    <w:right w:val="single" w:color="auto" w:sz="4" w:space="0"/>
                  </w:tcBorders>
                  <w:vAlign w:val="center"/>
                </w:tcPr>
                <w:p w14:paraId="47DD3DBD">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处理</w:t>
                  </w:r>
                </w:p>
                <w:p w14:paraId="6FBDCBBC">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效率</w:t>
                  </w:r>
                </w:p>
              </w:tc>
              <w:tc>
                <w:tcPr>
                  <w:tcW w:w="263" w:type="pct"/>
                  <w:tcBorders>
                    <w:left w:val="single" w:color="auto" w:sz="4" w:space="0"/>
                    <w:right w:val="single" w:color="auto" w:sz="4" w:space="0"/>
                  </w:tcBorders>
                  <w:vAlign w:val="center"/>
                </w:tcPr>
                <w:p w14:paraId="6102D6ED">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核算方法</w:t>
                  </w:r>
                </w:p>
              </w:tc>
              <w:tc>
                <w:tcPr>
                  <w:tcW w:w="265" w:type="pct"/>
                  <w:tcBorders>
                    <w:left w:val="single" w:color="auto" w:sz="4" w:space="0"/>
                    <w:right w:val="single" w:color="auto" w:sz="4" w:space="0"/>
                  </w:tcBorders>
                  <w:vAlign w:val="center"/>
                </w:tcPr>
                <w:p w14:paraId="17527A61">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废气排放量</w:t>
                  </w:r>
                </w:p>
                <w:p w14:paraId="15C51F40">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m³/h</w:t>
                  </w:r>
                </w:p>
              </w:tc>
              <w:tc>
                <w:tcPr>
                  <w:tcW w:w="311" w:type="pct"/>
                  <w:tcBorders>
                    <w:left w:val="single" w:color="auto" w:sz="4" w:space="0"/>
                    <w:right w:val="single" w:color="auto" w:sz="4" w:space="0"/>
                  </w:tcBorders>
                  <w:vAlign w:val="center"/>
                </w:tcPr>
                <w:p w14:paraId="5FCC1321">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color w:val="auto"/>
                      <w:sz w:val="21"/>
                      <w:szCs w:val="21"/>
                      <w:highlight w:val="none"/>
                    </w:rPr>
                  </w:pPr>
                  <w:r>
                    <w:rPr>
                      <w:rFonts w:hint="default" w:ascii="Times New Roman" w:hAnsi="Times New Roman" w:cs="Times New Roman"/>
                      <w:b/>
                      <w:bCs/>
                      <w:color w:val="auto"/>
                      <w:sz w:val="21"/>
                      <w:szCs w:val="21"/>
                      <w:highlight w:val="none"/>
                      <w:lang w:val="en-US" w:eastAsia="zh-CN"/>
                    </w:rPr>
                    <w:t>排放</w:t>
                  </w:r>
                  <w:r>
                    <w:rPr>
                      <w:rFonts w:hint="default" w:ascii="Times New Roman" w:hAnsi="Times New Roman" w:eastAsia="宋体" w:cs="Times New Roman"/>
                      <w:b/>
                      <w:bCs/>
                      <w:color w:val="auto"/>
                      <w:sz w:val="21"/>
                      <w:szCs w:val="21"/>
                      <w:highlight w:val="none"/>
                    </w:rPr>
                    <w:t>浓度mg/m³</w:t>
                  </w:r>
                </w:p>
              </w:tc>
              <w:tc>
                <w:tcPr>
                  <w:tcW w:w="288" w:type="pct"/>
                  <w:tcBorders>
                    <w:left w:val="single" w:color="auto" w:sz="4" w:space="0"/>
                  </w:tcBorders>
                  <w:vAlign w:val="center"/>
                </w:tcPr>
                <w:p w14:paraId="58A9CDD1">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排放</w:t>
                  </w:r>
                  <w:r>
                    <w:rPr>
                      <w:rFonts w:hint="default" w:ascii="Times New Roman" w:hAnsi="Times New Roman" w:eastAsia="宋体" w:cs="Times New Roman"/>
                      <w:b/>
                      <w:bCs/>
                      <w:color w:val="auto"/>
                      <w:sz w:val="21"/>
                      <w:szCs w:val="21"/>
                      <w:highlight w:val="none"/>
                    </w:rPr>
                    <w:t>速率kg/h</w:t>
                  </w:r>
                </w:p>
              </w:tc>
              <w:tc>
                <w:tcPr>
                  <w:tcW w:w="245" w:type="pct"/>
                  <w:tcBorders>
                    <w:left w:val="single" w:color="auto" w:sz="4" w:space="0"/>
                  </w:tcBorders>
                  <w:vAlign w:val="center"/>
                </w:tcPr>
                <w:p w14:paraId="5F819547">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color w:val="auto"/>
                      <w:sz w:val="21"/>
                      <w:szCs w:val="21"/>
                      <w:highlight w:val="none"/>
                    </w:rPr>
                  </w:pPr>
                  <w:r>
                    <w:rPr>
                      <w:rFonts w:hint="default" w:ascii="Times New Roman" w:hAnsi="Times New Roman" w:cs="Times New Roman"/>
                      <w:b/>
                      <w:bCs/>
                      <w:color w:val="auto"/>
                      <w:sz w:val="21"/>
                      <w:szCs w:val="21"/>
                      <w:highlight w:val="none"/>
                      <w:lang w:val="en-US" w:eastAsia="zh-CN"/>
                    </w:rPr>
                    <w:t>排放</w:t>
                  </w:r>
                  <w:r>
                    <w:rPr>
                      <w:rFonts w:hint="default" w:ascii="Times New Roman" w:hAnsi="Times New Roman" w:eastAsia="宋体" w:cs="Times New Roman"/>
                      <w:b/>
                      <w:bCs/>
                      <w:color w:val="auto"/>
                      <w:sz w:val="21"/>
                      <w:szCs w:val="21"/>
                      <w:highlight w:val="none"/>
                      <w:lang w:val="en-US" w:eastAsia="zh-CN"/>
                    </w:rPr>
                    <w:t>量t/a</w:t>
                  </w:r>
                </w:p>
              </w:tc>
              <w:tc>
                <w:tcPr>
                  <w:tcW w:w="261" w:type="pct"/>
                  <w:vMerge w:val="continue"/>
                  <w:tcBorders>
                    <w:left w:val="single" w:color="auto" w:sz="4" w:space="0"/>
                  </w:tcBorders>
                  <w:vAlign w:val="center"/>
                </w:tcPr>
                <w:p w14:paraId="0551CA69">
                  <w:pPr>
                    <w:pStyle w:val="61"/>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lang w:eastAsia="zh-CN"/>
                    </w:rPr>
                  </w:pPr>
                </w:p>
              </w:tc>
            </w:tr>
            <w:tr w14:paraId="0B8F9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9" w:hRule="atLeast"/>
                <w:jc w:val="center"/>
              </w:trPr>
              <w:tc>
                <w:tcPr>
                  <w:tcW w:w="210" w:type="pct"/>
                  <w:vMerge w:val="restart"/>
                  <w:tcBorders>
                    <w:left w:val="single" w:color="auto" w:sz="4" w:space="0"/>
                  </w:tcBorders>
                  <w:vAlign w:val="center"/>
                </w:tcPr>
                <w:p w14:paraId="3256D099">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无组织</w:t>
                  </w:r>
                </w:p>
              </w:tc>
              <w:tc>
                <w:tcPr>
                  <w:tcW w:w="238" w:type="pct"/>
                  <w:vMerge w:val="restart"/>
                  <w:tcBorders>
                    <w:left w:val="single" w:color="auto" w:sz="4" w:space="0"/>
                  </w:tcBorders>
                  <w:vAlign w:val="center"/>
                </w:tcPr>
                <w:p w14:paraId="312E3913">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颗粒物</w:t>
                  </w:r>
                </w:p>
              </w:tc>
              <w:tc>
                <w:tcPr>
                  <w:tcW w:w="272" w:type="pct"/>
                  <w:tcBorders>
                    <w:left w:val="single" w:color="auto" w:sz="4" w:space="0"/>
                  </w:tcBorders>
                  <w:vAlign w:val="center"/>
                </w:tcPr>
                <w:p w14:paraId="6AAE7DA1">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卸料</w:t>
                  </w:r>
                </w:p>
              </w:tc>
              <w:tc>
                <w:tcPr>
                  <w:tcW w:w="318" w:type="pct"/>
                  <w:tcBorders>
                    <w:left w:val="single" w:color="auto" w:sz="4" w:space="0"/>
                  </w:tcBorders>
                  <w:vAlign w:val="center"/>
                </w:tcPr>
                <w:p w14:paraId="61679F87">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堆放点</w:t>
                  </w:r>
                </w:p>
              </w:tc>
              <w:tc>
                <w:tcPr>
                  <w:tcW w:w="240" w:type="pct"/>
                  <w:tcBorders>
                    <w:right w:val="single" w:color="auto" w:sz="4" w:space="0"/>
                  </w:tcBorders>
                  <w:vAlign w:val="center"/>
                </w:tcPr>
                <w:p w14:paraId="06576880">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olor w:val="auto"/>
                      <w:lang w:val="en-US" w:eastAsia="zh-CN"/>
                    </w:rPr>
                    <w:t>0.8</w:t>
                  </w:r>
                </w:p>
              </w:tc>
              <w:tc>
                <w:tcPr>
                  <w:tcW w:w="263" w:type="pct"/>
                  <w:vMerge w:val="restart"/>
                  <w:tcBorders>
                    <w:right w:val="single" w:color="auto" w:sz="4" w:space="0"/>
                  </w:tcBorders>
                  <w:vAlign w:val="center"/>
                </w:tcPr>
                <w:p w14:paraId="454B70CA">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产污系数法</w:t>
                  </w:r>
                </w:p>
              </w:tc>
              <w:tc>
                <w:tcPr>
                  <w:tcW w:w="317" w:type="pct"/>
                  <w:tcBorders>
                    <w:left w:val="single" w:color="auto" w:sz="4" w:space="0"/>
                    <w:right w:val="single" w:color="auto" w:sz="4" w:space="0"/>
                  </w:tcBorders>
                  <w:vAlign w:val="center"/>
                </w:tcPr>
                <w:p w14:paraId="7A181176">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11" w:type="pct"/>
                  <w:tcBorders>
                    <w:left w:val="single" w:color="auto" w:sz="4" w:space="0"/>
                    <w:right w:val="single" w:color="auto" w:sz="4" w:space="0"/>
                  </w:tcBorders>
                  <w:vAlign w:val="center"/>
                </w:tcPr>
                <w:p w14:paraId="09336D6A">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88" w:type="pct"/>
                  <w:tcBorders>
                    <w:top w:val="single" w:color="auto" w:sz="4" w:space="0"/>
                    <w:left w:val="single" w:color="auto" w:sz="4" w:space="0"/>
                    <w:bottom w:val="single" w:color="auto" w:sz="4" w:space="0"/>
                  </w:tcBorders>
                  <w:vAlign w:val="center"/>
                </w:tcPr>
                <w:p w14:paraId="61E7E4B2">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0.62</w:t>
                  </w:r>
                </w:p>
              </w:tc>
              <w:tc>
                <w:tcPr>
                  <w:tcW w:w="246" w:type="pct"/>
                  <w:tcBorders>
                    <w:right w:val="single" w:color="auto" w:sz="4" w:space="0"/>
                  </w:tcBorders>
                  <w:vAlign w:val="center"/>
                </w:tcPr>
                <w:p w14:paraId="4567D987">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0.8</w:t>
                  </w:r>
                </w:p>
              </w:tc>
              <w:tc>
                <w:tcPr>
                  <w:tcW w:w="291" w:type="pct"/>
                  <w:tcBorders>
                    <w:right w:val="single" w:color="auto" w:sz="4" w:space="0"/>
                  </w:tcBorders>
                  <w:vAlign w:val="center"/>
                </w:tcPr>
                <w:p w14:paraId="19EAF301">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加强厂房通风</w:t>
                  </w:r>
                </w:p>
              </w:tc>
              <w:tc>
                <w:tcPr>
                  <w:tcW w:w="185" w:type="pct"/>
                  <w:tcBorders>
                    <w:left w:val="single" w:color="auto" w:sz="4" w:space="0"/>
                  </w:tcBorders>
                  <w:vAlign w:val="center"/>
                </w:tcPr>
                <w:p w14:paraId="34D96750">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185" w:type="pct"/>
                  <w:vAlign w:val="center"/>
                </w:tcPr>
                <w:p w14:paraId="27C8BBBC">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63" w:type="pct"/>
                  <w:vMerge w:val="restart"/>
                  <w:tcBorders>
                    <w:right w:val="single" w:color="auto" w:sz="4" w:space="0"/>
                  </w:tcBorders>
                  <w:vAlign w:val="center"/>
                </w:tcPr>
                <w:p w14:paraId="3A670147">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产污系数法</w:t>
                  </w:r>
                </w:p>
              </w:tc>
              <w:tc>
                <w:tcPr>
                  <w:tcW w:w="265" w:type="pct"/>
                  <w:tcBorders>
                    <w:left w:val="single" w:color="auto" w:sz="4" w:space="0"/>
                    <w:right w:val="single" w:color="auto" w:sz="4" w:space="0"/>
                  </w:tcBorders>
                  <w:vAlign w:val="center"/>
                </w:tcPr>
                <w:p w14:paraId="3E5C1E6F">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11" w:type="pct"/>
                  <w:tcBorders>
                    <w:left w:val="single" w:color="auto" w:sz="4" w:space="0"/>
                    <w:right w:val="single" w:color="auto" w:sz="4" w:space="0"/>
                  </w:tcBorders>
                  <w:vAlign w:val="center"/>
                </w:tcPr>
                <w:p w14:paraId="571ED744">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777" w:type="dxa"/>
                  <w:tcBorders>
                    <w:top w:val="single" w:color="auto" w:sz="4" w:space="0"/>
                    <w:left w:val="single" w:color="auto" w:sz="4" w:space="0"/>
                    <w:bottom w:val="single" w:color="auto" w:sz="4" w:space="0"/>
                  </w:tcBorders>
                  <w:vAlign w:val="center"/>
                </w:tcPr>
                <w:p w14:paraId="27261583">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0.62</w:t>
                  </w:r>
                </w:p>
              </w:tc>
              <w:tc>
                <w:tcPr>
                  <w:tcW w:w="662" w:type="dxa"/>
                  <w:tcBorders>
                    <w:top w:val="single" w:color="auto" w:sz="4" w:space="0"/>
                    <w:left w:val="single" w:color="auto" w:sz="4" w:space="0"/>
                    <w:bottom w:val="single" w:color="auto" w:sz="4" w:space="0"/>
                  </w:tcBorders>
                  <w:vAlign w:val="center"/>
                </w:tcPr>
                <w:p w14:paraId="78CE65DD">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0.8</w:t>
                  </w:r>
                </w:p>
              </w:tc>
              <w:tc>
                <w:tcPr>
                  <w:tcW w:w="261" w:type="pct"/>
                  <w:tcBorders>
                    <w:top w:val="single" w:color="auto" w:sz="4" w:space="0"/>
                    <w:left w:val="single" w:color="auto" w:sz="4" w:space="0"/>
                  </w:tcBorders>
                  <w:vAlign w:val="center"/>
                </w:tcPr>
                <w:p w14:paraId="4EC21458">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1300</w:t>
                  </w:r>
                </w:p>
              </w:tc>
            </w:tr>
            <w:tr w14:paraId="6F91F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9" w:hRule="atLeast"/>
                <w:jc w:val="center"/>
              </w:trPr>
              <w:tc>
                <w:tcPr>
                  <w:tcW w:w="210" w:type="pct"/>
                  <w:vMerge w:val="continue"/>
                  <w:tcBorders>
                    <w:left w:val="single" w:color="auto" w:sz="4" w:space="0"/>
                  </w:tcBorders>
                  <w:vAlign w:val="center"/>
                </w:tcPr>
                <w:p w14:paraId="67D98895">
                  <w:pPr>
                    <w:pStyle w:val="61"/>
                    <w:keepNext w:val="0"/>
                    <w:keepLines w:val="0"/>
                    <w:suppressLineNumbers w:val="0"/>
                    <w:spacing w:before="0" w:beforeAutospacing="0" w:after="0" w:afterAutospacing="0"/>
                    <w:ind w:left="0" w:right="0"/>
                    <w:jc w:val="center"/>
                    <w:rPr>
                      <w:rFonts w:hint="eastAsia" w:cs="Times New Roman"/>
                      <w:color w:val="auto"/>
                      <w:sz w:val="21"/>
                      <w:szCs w:val="21"/>
                      <w:highlight w:val="none"/>
                      <w:lang w:val="en-US" w:eastAsia="zh-CN"/>
                    </w:rPr>
                  </w:pPr>
                </w:p>
              </w:tc>
              <w:tc>
                <w:tcPr>
                  <w:tcW w:w="238" w:type="pct"/>
                  <w:vMerge w:val="continue"/>
                  <w:tcBorders>
                    <w:left w:val="single" w:color="auto" w:sz="4" w:space="0"/>
                  </w:tcBorders>
                  <w:vAlign w:val="center"/>
                </w:tcPr>
                <w:p w14:paraId="0AEF852E">
                  <w:pPr>
                    <w:pStyle w:val="61"/>
                    <w:keepNext w:val="0"/>
                    <w:keepLines w:val="0"/>
                    <w:suppressLineNumbers w:val="0"/>
                    <w:spacing w:before="0" w:beforeAutospacing="0" w:after="0" w:afterAutospacing="0"/>
                    <w:ind w:left="0" w:right="0"/>
                    <w:jc w:val="center"/>
                    <w:rPr>
                      <w:rFonts w:hint="eastAsia" w:cs="Times New Roman"/>
                      <w:color w:val="auto"/>
                      <w:sz w:val="21"/>
                      <w:szCs w:val="21"/>
                      <w:highlight w:val="none"/>
                      <w:lang w:val="en-US" w:eastAsia="zh-CN"/>
                    </w:rPr>
                  </w:pPr>
                </w:p>
              </w:tc>
              <w:tc>
                <w:tcPr>
                  <w:tcW w:w="272" w:type="pct"/>
                  <w:tcBorders>
                    <w:left w:val="single" w:color="auto" w:sz="4" w:space="0"/>
                  </w:tcBorders>
                  <w:vAlign w:val="center"/>
                </w:tcPr>
                <w:p w14:paraId="3AC8A885">
                  <w:pPr>
                    <w:pStyle w:val="61"/>
                    <w:keepNext w:val="0"/>
                    <w:keepLines w:val="0"/>
                    <w:suppressLineNumbers w:val="0"/>
                    <w:spacing w:before="0" w:beforeAutospacing="0" w:after="0" w:afterAutospacing="0"/>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分拣</w:t>
                  </w:r>
                </w:p>
              </w:tc>
              <w:tc>
                <w:tcPr>
                  <w:tcW w:w="318" w:type="pct"/>
                  <w:tcBorders>
                    <w:left w:val="single" w:color="auto" w:sz="4" w:space="0"/>
                  </w:tcBorders>
                  <w:vAlign w:val="center"/>
                </w:tcPr>
                <w:p w14:paraId="5906EC76">
                  <w:pPr>
                    <w:pStyle w:val="61"/>
                    <w:keepNext w:val="0"/>
                    <w:keepLines w:val="0"/>
                    <w:suppressLineNumbers w:val="0"/>
                    <w:spacing w:before="0" w:beforeAutospacing="0" w:after="0" w:afterAutospacing="0"/>
                    <w:ind w:left="0" w:right="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人工分拣线</w:t>
                  </w:r>
                </w:p>
              </w:tc>
              <w:tc>
                <w:tcPr>
                  <w:tcW w:w="240" w:type="pct"/>
                  <w:tcBorders>
                    <w:right w:val="single" w:color="auto" w:sz="4" w:space="0"/>
                  </w:tcBorders>
                  <w:vAlign w:val="center"/>
                </w:tcPr>
                <w:p w14:paraId="19BDF681">
                  <w:pPr>
                    <w:pStyle w:val="61"/>
                    <w:keepNext w:val="0"/>
                    <w:keepLines w:val="0"/>
                    <w:suppressLineNumbers w:val="0"/>
                    <w:spacing w:before="0" w:beforeAutospacing="0" w:after="0" w:afterAutospacing="0"/>
                    <w:ind w:left="0" w:right="0"/>
                    <w:jc w:val="center"/>
                    <w:rPr>
                      <w:rFonts w:hint="default"/>
                      <w:color w:val="auto"/>
                      <w:lang w:val="en-US" w:eastAsia="zh-CN"/>
                    </w:rPr>
                  </w:pPr>
                  <w:r>
                    <w:rPr>
                      <w:rFonts w:hint="eastAsia"/>
                      <w:color w:val="auto"/>
                      <w:lang w:val="en-US" w:eastAsia="zh-CN"/>
                    </w:rPr>
                    <w:t>0.4</w:t>
                  </w:r>
                </w:p>
              </w:tc>
              <w:tc>
                <w:tcPr>
                  <w:tcW w:w="263" w:type="pct"/>
                  <w:vMerge w:val="continue"/>
                  <w:tcBorders>
                    <w:right w:val="single" w:color="auto" w:sz="4" w:space="0"/>
                  </w:tcBorders>
                  <w:vAlign w:val="center"/>
                </w:tcPr>
                <w:p w14:paraId="62E18ECB">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eastAsia="zh-CN"/>
                    </w:rPr>
                  </w:pPr>
                </w:p>
              </w:tc>
              <w:tc>
                <w:tcPr>
                  <w:tcW w:w="317" w:type="pct"/>
                  <w:tcBorders>
                    <w:left w:val="single" w:color="auto" w:sz="4" w:space="0"/>
                    <w:right w:val="single" w:color="auto" w:sz="4" w:space="0"/>
                  </w:tcBorders>
                  <w:vAlign w:val="center"/>
                </w:tcPr>
                <w:p w14:paraId="3EE2B6FB">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11" w:type="pct"/>
                  <w:tcBorders>
                    <w:left w:val="single" w:color="auto" w:sz="4" w:space="0"/>
                    <w:right w:val="single" w:color="auto" w:sz="4" w:space="0"/>
                  </w:tcBorders>
                  <w:vAlign w:val="center"/>
                </w:tcPr>
                <w:p w14:paraId="02D1A00E">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88" w:type="pct"/>
                  <w:tcBorders>
                    <w:top w:val="single" w:color="auto" w:sz="4" w:space="0"/>
                    <w:left w:val="single" w:color="auto" w:sz="4" w:space="0"/>
                    <w:bottom w:val="single" w:color="auto" w:sz="4" w:space="0"/>
                  </w:tcBorders>
                  <w:vAlign w:val="center"/>
                </w:tcPr>
                <w:p w14:paraId="0222AC19">
                  <w:pPr>
                    <w:pStyle w:val="61"/>
                    <w:keepNext w:val="0"/>
                    <w:keepLines w:val="0"/>
                    <w:suppressLineNumbers w:val="0"/>
                    <w:spacing w:before="0" w:beforeAutospacing="0" w:after="0" w:afterAutospacing="0"/>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0.15</w:t>
                  </w:r>
                </w:p>
              </w:tc>
              <w:tc>
                <w:tcPr>
                  <w:tcW w:w="246" w:type="pct"/>
                  <w:tcBorders>
                    <w:right w:val="single" w:color="auto" w:sz="4" w:space="0"/>
                  </w:tcBorders>
                  <w:vAlign w:val="center"/>
                </w:tcPr>
                <w:p w14:paraId="54E46A27">
                  <w:pPr>
                    <w:pStyle w:val="61"/>
                    <w:keepNext w:val="0"/>
                    <w:keepLines w:val="0"/>
                    <w:suppressLineNumbers w:val="0"/>
                    <w:spacing w:before="0" w:beforeAutospacing="0" w:after="0" w:afterAutospacing="0"/>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0.4</w:t>
                  </w:r>
                </w:p>
              </w:tc>
              <w:tc>
                <w:tcPr>
                  <w:tcW w:w="291" w:type="pct"/>
                  <w:tcBorders>
                    <w:right w:val="single" w:color="auto" w:sz="4" w:space="0"/>
                  </w:tcBorders>
                  <w:vAlign w:val="center"/>
                </w:tcPr>
                <w:p w14:paraId="6A516C87">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加强厂房通风</w:t>
                  </w:r>
                </w:p>
              </w:tc>
              <w:tc>
                <w:tcPr>
                  <w:tcW w:w="185" w:type="pct"/>
                  <w:tcBorders>
                    <w:left w:val="single" w:color="auto" w:sz="4" w:space="0"/>
                  </w:tcBorders>
                  <w:vAlign w:val="center"/>
                </w:tcPr>
                <w:p w14:paraId="25FC1619">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185" w:type="pct"/>
                  <w:vAlign w:val="center"/>
                </w:tcPr>
                <w:p w14:paraId="0A5018F3">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63" w:type="pct"/>
                  <w:vMerge w:val="continue"/>
                  <w:tcBorders>
                    <w:right w:val="single" w:color="auto" w:sz="4" w:space="0"/>
                  </w:tcBorders>
                  <w:vAlign w:val="center"/>
                </w:tcPr>
                <w:p w14:paraId="641A4467">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265" w:type="pct"/>
                  <w:tcBorders>
                    <w:left w:val="single" w:color="auto" w:sz="4" w:space="0"/>
                    <w:right w:val="single" w:color="auto" w:sz="4" w:space="0"/>
                  </w:tcBorders>
                  <w:vAlign w:val="center"/>
                </w:tcPr>
                <w:p w14:paraId="3B53E83A">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11" w:type="pct"/>
                  <w:tcBorders>
                    <w:left w:val="single" w:color="auto" w:sz="4" w:space="0"/>
                    <w:right w:val="single" w:color="auto" w:sz="4" w:space="0"/>
                  </w:tcBorders>
                  <w:vAlign w:val="center"/>
                </w:tcPr>
                <w:p w14:paraId="0A0FF87A">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777" w:type="dxa"/>
                  <w:tcBorders>
                    <w:top w:val="single" w:color="auto" w:sz="4" w:space="0"/>
                    <w:left w:val="single" w:color="auto" w:sz="4" w:space="0"/>
                    <w:bottom w:val="single" w:color="auto" w:sz="4" w:space="0"/>
                  </w:tcBorders>
                  <w:vAlign w:val="center"/>
                </w:tcPr>
                <w:p w14:paraId="0E9FC7FA">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0.15</w:t>
                  </w:r>
                </w:p>
              </w:tc>
              <w:tc>
                <w:tcPr>
                  <w:tcW w:w="662" w:type="dxa"/>
                  <w:tcBorders>
                    <w:top w:val="single" w:color="auto" w:sz="4" w:space="0"/>
                    <w:left w:val="single" w:color="auto" w:sz="4" w:space="0"/>
                    <w:bottom w:val="single" w:color="auto" w:sz="4" w:space="0"/>
                  </w:tcBorders>
                  <w:vAlign w:val="center"/>
                </w:tcPr>
                <w:p w14:paraId="5294BE6E">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0.4</w:t>
                  </w:r>
                </w:p>
              </w:tc>
              <w:tc>
                <w:tcPr>
                  <w:tcW w:w="261" w:type="pct"/>
                  <w:vMerge w:val="restart"/>
                  <w:tcBorders>
                    <w:left w:val="single" w:color="auto" w:sz="4" w:space="0"/>
                  </w:tcBorders>
                  <w:vAlign w:val="center"/>
                </w:tcPr>
                <w:p w14:paraId="22175194">
                  <w:pPr>
                    <w:pStyle w:val="61"/>
                    <w:keepNext w:val="0"/>
                    <w:keepLines w:val="0"/>
                    <w:suppressLineNumbers w:val="0"/>
                    <w:spacing w:before="0" w:beforeAutospacing="0" w:after="0" w:afterAutospacing="0"/>
                    <w:ind w:left="0" w:right="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2600</w:t>
                  </w:r>
                </w:p>
              </w:tc>
            </w:tr>
            <w:tr w14:paraId="6F231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9" w:hRule="atLeast"/>
                <w:jc w:val="center"/>
              </w:trPr>
              <w:tc>
                <w:tcPr>
                  <w:tcW w:w="210" w:type="pct"/>
                  <w:vMerge w:val="continue"/>
                  <w:tcBorders>
                    <w:left w:val="single" w:color="auto" w:sz="4" w:space="0"/>
                  </w:tcBorders>
                  <w:vAlign w:val="center"/>
                </w:tcPr>
                <w:p w14:paraId="35BC4D52">
                  <w:pPr>
                    <w:pStyle w:val="61"/>
                    <w:keepNext w:val="0"/>
                    <w:keepLines w:val="0"/>
                    <w:suppressLineNumbers w:val="0"/>
                    <w:spacing w:before="0" w:beforeAutospacing="0" w:after="0" w:afterAutospacing="0"/>
                    <w:ind w:left="0" w:right="0"/>
                    <w:jc w:val="center"/>
                    <w:rPr>
                      <w:rFonts w:hint="eastAsia" w:cs="Times New Roman"/>
                      <w:color w:val="auto"/>
                      <w:sz w:val="21"/>
                      <w:szCs w:val="21"/>
                      <w:highlight w:val="none"/>
                      <w:lang w:val="en-US" w:eastAsia="zh-CN"/>
                    </w:rPr>
                  </w:pPr>
                </w:p>
              </w:tc>
              <w:tc>
                <w:tcPr>
                  <w:tcW w:w="238" w:type="pct"/>
                  <w:vMerge w:val="continue"/>
                  <w:tcBorders>
                    <w:left w:val="single" w:color="auto" w:sz="4" w:space="0"/>
                  </w:tcBorders>
                  <w:vAlign w:val="center"/>
                </w:tcPr>
                <w:p w14:paraId="1E51413B">
                  <w:pPr>
                    <w:pStyle w:val="61"/>
                    <w:keepNext w:val="0"/>
                    <w:keepLines w:val="0"/>
                    <w:suppressLineNumbers w:val="0"/>
                    <w:spacing w:before="0" w:beforeAutospacing="0" w:after="0" w:afterAutospacing="0"/>
                    <w:ind w:left="0" w:right="0"/>
                    <w:jc w:val="center"/>
                    <w:rPr>
                      <w:rFonts w:hint="eastAsia" w:cs="Times New Roman"/>
                      <w:color w:val="auto"/>
                      <w:sz w:val="21"/>
                      <w:szCs w:val="21"/>
                      <w:highlight w:val="none"/>
                      <w:lang w:val="en-US" w:eastAsia="zh-CN"/>
                    </w:rPr>
                  </w:pPr>
                </w:p>
              </w:tc>
              <w:tc>
                <w:tcPr>
                  <w:tcW w:w="272" w:type="pct"/>
                  <w:tcBorders>
                    <w:left w:val="single" w:color="auto" w:sz="4" w:space="0"/>
                  </w:tcBorders>
                  <w:vAlign w:val="center"/>
                </w:tcPr>
                <w:p w14:paraId="15E9249E">
                  <w:pPr>
                    <w:pStyle w:val="61"/>
                    <w:keepNext w:val="0"/>
                    <w:keepLines w:val="0"/>
                    <w:suppressLineNumbers w:val="0"/>
                    <w:spacing w:before="0" w:beforeAutospacing="0" w:after="0" w:afterAutospacing="0"/>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压实打包</w:t>
                  </w:r>
                </w:p>
              </w:tc>
              <w:tc>
                <w:tcPr>
                  <w:tcW w:w="318" w:type="pct"/>
                  <w:tcBorders>
                    <w:left w:val="single" w:color="auto" w:sz="4" w:space="0"/>
                  </w:tcBorders>
                  <w:vAlign w:val="center"/>
                </w:tcPr>
                <w:p w14:paraId="73293A60">
                  <w:pPr>
                    <w:pStyle w:val="61"/>
                    <w:keepNext w:val="0"/>
                    <w:keepLines w:val="0"/>
                    <w:suppressLineNumbers w:val="0"/>
                    <w:spacing w:before="0" w:beforeAutospacing="0" w:after="0" w:afterAutospacing="0"/>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立式液压打包机</w:t>
                  </w:r>
                </w:p>
              </w:tc>
              <w:tc>
                <w:tcPr>
                  <w:tcW w:w="240" w:type="pct"/>
                  <w:tcBorders>
                    <w:right w:val="single" w:color="auto" w:sz="4" w:space="0"/>
                  </w:tcBorders>
                  <w:vAlign w:val="center"/>
                </w:tcPr>
                <w:p w14:paraId="07C9A95E">
                  <w:pPr>
                    <w:pStyle w:val="61"/>
                    <w:keepNext w:val="0"/>
                    <w:keepLines w:val="0"/>
                    <w:suppressLineNumbers w:val="0"/>
                    <w:spacing w:before="0" w:beforeAutospacing="0" w:after="0" w:afterAutospacing="0"/>
                    <w:ind w:left="0" w:right="0"/>
                    <w:jc w:val="center"/>
                    <w:rPr>
                      <w:rFonts w:hint="default"/>
                      <w:color w:val="auto"/>
                      <w:lang w:val="en-US" w:eastAsia="zh-CN"/>
                    </w:rPr>
                  </w:pPr>
                  <w:r>
                    <w:rPr>
                      <w:rFonts w:hint="eastAsia"/>
                      <w:color w:val="auto"/>
                      <w:lang w:val="en-US" w:eastAsia="zh-CN"/>
                    </w:rPr>
                    <w:t>0.48</w:t>
                  </w:r>
                </w:p>
              </w:tc>
              <w:tc>
                <w:tcPr>
                  <w:tcW w:w="263" w:type="pct"/>
                  <w:vMerge w:val="continue"/>
                  <w:tcBorders>
                    <w:right w:val="single" w:color="auto" w:sz="4" w:space="0"/>
                  </w:tcBorders>
                  <w:vAlign w:val="center"/>
                </w:tcPr>
                <w:p w14:paraId="2DCB92BF">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eastAsia="zh-CN"/>
                    </w:rPr>
                  </w:pPr>
                </w:p>
              </w:tc>
              <w:tc>
                <w:tcPr>
                  <w:tcW w:w="317" w:type="pct"/>
                  <w:tcBorders>
                    <w:left w:val="single" w:color="auto" w:sz="4" w:space="0"/>
                    <w:right w:val="single" w:color="auto" w:sz="4" w:space="0"/>
                  </w:tcBorders>
                  <w:vAlign w:val="center"/>
                </w:tcPr>
                <w:p w14:paraId="08FD1419">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11" w:type="pct"/>
                  <w:tcBorders>
                    <w:left w:val="single" w:color="auto" w:sz="4" w:space="0"/>
                    <w:right w:val="single" w:color="auto" w:sz="4" w:space="0"/>
                  </w:tcBorders>
                  <w:vAlign w:val="center"/>
                </w:tcPr>
                <w:p w14:paraId="733DCB8B">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88" w:type="pct"/>
                  <w:tcBorders>
                    <w:top w:val="single" w:color="auto" w:sz="4" w:space="0"/>
                    <w:left w:val="single" w:color="auto" w:sz="4" w:space="0"/>
                    <w:bottom w:val="single" w:color="auto" w:sz="4" w:space="0"/>
                  </w:tcBorders>
                  <w:vAlign w:val="center"/>
                </w:tcPr>
                <w:p w14:paraId="2C65BEB8">
                  <w:pPr>
                    <w:pStyle w:val="61"/>
                    <w:keepNext w:val="0"/>
                    <w:keepLines w:val="0"/>
                    <w:suppressLineNumbers w:val="0"/>
                    <w:spacing w:before="0" w:beforeAutospacing="0" w:after="0" w:afterAutospacing="0"/>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0.18</w:t>
                  </w:r>
                </w:p>
              </w:tc>
              <w:tc>
                <w:tcPr>
                  <w:tcW w:w="246" w:type="pct"/>
                  <w:tcBorders>
                    <w:right w:val="single" w:color="auto" w:sz="4" w:space="0"/>
                  </w:tcBorders>
                  <w:vAlign w:val="center"/>
                </w:tcPr>
                <w:p w14:paraId="3A30F573">
                  <w:pPr>
                    <w:pStyle w:val="61"/>
                    <w:keepNext w:val="0"/>
                    <w:keepLines w:val="0"/>
                    <w:suppressLineNumbers w:val="0"/>
                    <w:spacing w:before="0" w:beforeAutospacing="0" w:after="0" w:afterAutospacing="0"/>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0.48</w:t>
                  </w:r>
                </w:p>
              </w:tc>
              <w:tc>
                <w:tcPr>
                  <w:tcW w:w="291" w:type="pct"/>
                  <w:tcBorders>
                    <w:right w:val="single" w:color="auto" w:sz="4" w:space="0"/>
                  </w:tcBorders>
                  <w:vAlign w:val="center"/>
                </w:tcPr>
                <w:p w14:paraId="7F8D424F">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加强厂房通风</w:t>
                  </w:r>
                </w:p>
              </w:tc>
              <w:tc>
                <w:tcPr>
                  <w:tcW w:w="185" w:type="pct"/>
                  <w:tcBorders>
                    <w:left w:val="single" w:color="auto" w:sz="4" w:space="0"/>
                  </w:tcBorders>
                  <w:vAlign w:val="center"/>
                </w:tcPr>
                <w:p w14:paraId="09F97B46">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185" w:type="pct"/>
                  <w:vAlign w:val="center"/>
                </w:tcPr>
                <w:p w14:paraId="22B51E09">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63" w:type="pct"/>
                  <w:vMerge w:val="continue"/>
                  <w:tcBorders>
                    <w:right w:val="single" w:color="auto" w:sz="4" w:space="0"/>
                  </w:tcBorders>
                  <w:vAlign w:val="center"/>
                </w:tcPr>
                <w:p w14:paraId="204FEF69">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265" w:type="pct"/>
                  <w:tcBorders>
                    <w:left w:val="single" w:color="auto" w:sz="4" w:space="0"/>
                    <w:right w:val="single" w:color="auto" w:sz="4" w:space="0"/>
                  </w:tcBorders>
                  <w:vAlign w:val="center"/>
                </w:tcPr>
                <w:p w14:paraId="3BC85A5D">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11" w:type="pct"/>
                  <w:tcBorders>
                    <w:left w:val="single" w:color="auto" w:sz="4" w:space="0"/>
                    <w:right w:val="single" w:color="auto" w:sz="4" w:space="0"/>
                  </w:tcBorders>
                  <w:vAlign w:val="center"/>
                </w:tcPr>
                <w:p w14:paraId="0BA68BFF">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88" w:type="pct"/>
                  <w:tcBorders>
                    <w:top w:val="single" w:color="auto" w:sz="4" w:space="0"/>
                    <w:left w:val="single" w:color="auto" w:sz="4" w:space="0"/>
                    <w:bottom w:val="single" w:color="auto" w:sz="4" w:space="0"/>
                  </w:tcBorders>
                  <w:vAlign w:val="center"/>
                </w:tcPr>
                <w:p w14:paraId="12FA0CE5">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0.18</w:t>
                  </w:r>
                </w:p>
              </w:tc>
              <w:tc>
                <w:tcPr>
                  <w:tcW w:w="245" w:type="pct"/>
                  <w:tcBorders>
                    <w:top w:val="single" w:color="auto" w:sz="4" w:space="0"/>
                    <w:left w:val="single" w:color="auto" w:sz="4" w:space="0"/>
                    <w:bottom w:val="single" w:color="auto" w:sz="4" w:space="0"/>
                  </w:tcBorders>
                  <w:vAlign w:val="center"/>
                </w:tcPr>
                <w:p w14:paraId="49B83EE5">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0.48</w:t>
                  </w:r>
                </w:p>
              </w:tc>
              <w:tc>
                <w:tcPr>
                  <w:tcW w:w="261" w:type="pct"/>
                  <w:vMerge w:val="continue"/>
                  <w:tcBorders>
                    <w:left w:val="single" w:color="auto" w:sz="4" w:space="0"/>
                  </w:tcBorders>
                  <w:vAlign w:val="center"/>
                </w:tcPr>
                <w:p w14:paraId="66F63CF8">
                  <w:pPr>
                    <w:pStyle w:val="61"/>
                    <w:keepNext w:val="0"/>
                    <w:keepLines w:val="0"/>
                    <w:suppressLineNumbers w:val="0"/>
                    <w:spacing w:before="0" w:beforeAutospacing="0" w:after="0" w:afterAutospacing="0"/>
                    <w:ind w:left="0" w:right="0"/>
                    <w:jc w:val="center"/>
                    <w:rPr>
                      <w:rFonts w:hint="eastAsia" w:cs="Times New Roman"/>
                      <w:color w:val="auto"/>
                      <w:sz w:val="21"/>
                      <w:szCs w:val="21"/>
                      <w:highlight w:val="none"/>
                      <w:lang w:val="en-US" w:eastAsia="zh-CN"/>
                    </w:rPr>
                  </w:pPr>
                </w:p>
              </w:tc>
            </w:tr>
            <w:tr w14:paraId="5ACF6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9" w:hRule="atLeast"/>
                <w:jc w:val="center"/>
              </w:trPr>
              <w:tc>
                <w:tcPr>
                  <w:tcW w:w="210" w:type="pct"/>
                  <w:vMerge w:val="continue"/>
                  <w:tcBorders>
                    <w:left w:val="single" w:color="auto" w:sz="4" w:space="0"/>
                  </w:tcBorders>
                  <w:vAlign w:val="center"/>
                </w:tcPr>
                <w:p w14:paraId="4F77E555">
                  <w:pPr>
                    <w:pStyle w:val="61"/>
                    <w:keepNext w:val="0"/>
                    <w:keepLines w:val="0"/>
                    <w:suppressLineNumbers w:val="0"/>
                    <w:spacing w:before="0" w:beforeAutospacing="0" w:after="0" w:afterAutospacing="0"/>
                    <w:ind w:left="0" w:right="0"/>
                    <w:jc w:val="center"/>
                    <w:rPr>
                      <w:rFonts w:hint="eastAsia" w:cs="Times New Roman"/>
                      <w:color w:val="auto"/>
                      <w:sz w:val="21"/>
                      <w:szCs w:val="21"/>
                      <w:highlight w:val="none"/>
                      <w:lang w:val="en-US" w:eastAsia="zh-CN"/>
                    </w:rPr>
                  </w:pPr>
                </w:p>
              </w:tc>
              <w:tc>
                <w:tcPr>
                  <w:tcW w:w="238" w:type="pct"/>
                  <w:vMerge w:val="continue"/>
                  <w:tcBorders>
                    <w:left w:val="single" w:color="auto" w:sz="4" w:space="0"/>
                  </w:tcBorders>
                  <w:vAlign w:val="center"/>
                </w:tcPr>
                <w:p w14:paraId="08CD778F">
                  <w:pPr>
                    <w:pStyle w:val="61"/>
                    <w:keepNext w:val="0"/>
                    <w:keepLines w:val="0"/>
                    <w:suppressLineNumbers w:val="0"/>
                    <w:spacing w:before="0" w:beforeAutospacing="0" w:after="0" w:afterAutospacing="0"/>
                    <w:ind w:left="0" w:right="0"/>
                    <w:jc w:val="center"/>
                    <w:rPr>
                      <w:rFonts w:hint="eastAsia" w:cs="Times New Roman"/>
                      <w:color w:val="auto"/>
                      <w:sz w:val="21"/>
                      <w:szCs w:val="21"/>
                      <w:highlight w:val="none"/>
                      <w:lang w:val="en-US" w:eastAsia="zh-CN"/>
                    </w:rPr>
                  </w:pPr>
                </w:p>
              </w:tc>
              <w:tc>
                <w:tcPr>
                  <w:tcW w:w="272" w:type="pct"/>
                  <w:tcBorders>
                    <w:left w:val="single" w:color="auto" w:sz="4" w:space="0"/>
                  </w:tcBorders>
                  <w:vAlign w:val="center"/>
                </w:tcPr>
                <w:p w14:paraId="1546DC16">
                  <w:pPr>
                    <w:pStyle w:val="61"/>
                    <w:keepNext w:val="0"/>
                    <w:keepLines w:val="0"/>
                    <w:suppressLineNumbers w:val="0"/>
                    <w:spacing w:before="0" w:beforeAutospacing="0" w:after="0" w:afterAutospacing="0"/>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堆放</w:t>
                  </w:r>
                </w:p>
              </w:tc>
              <w:tc>
                <w:tcPr>
                  <w:tcW w:w="318" w:type="pct"/>
                  <w:tcBorders>
                    <w:left w:val="single" w:color="auto" w:sz="4" w:space="0"/>
                  </w:tcBorders>
                  <w:vAlign w:val="center"/>
                </w:tcPr>
                <w:p w14:paraId="663318A4">
                  <w:pPr>
                    <w:pStyle w:val="61"/>
                    <w:keepNext w:val="0"/>
                    <w:keepLines w:val="0"/>
                    <w:suppressLineNumbers w:val="0"/>
                    <w:spacing w:before="0" w:beforeAutospacing="0" w:after="0" w:afterAutospacing="0"/>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贮存区</w:t>
                  </w:r>
                </w:p>
              </w:tc>
              <w:tc>
                <w:tcPr>
                  <w:tcW w:w="240" w:type="pct"/>
                  <w:tcBorders>
                    <w:right w:val="single" w:color="auto" w:sz="4" w:space="0"/>
                  </w:tcBorders>
                  <w:vAlign w:val="center"/>
                </w:tcPr>
                <w:p w14:paraId="71BB391A">
                  <w:pPr>
                    <w:pStyle w:val="61"/>
                    <w:keepNext w:val="0"/>
                    <w:keepLines w:val="0"/>
                    <w:suppressLineNumbers w:val="0"/>
                    <w:spacing w:before="0" w:beforeAutospacing="0" w:after="0" w:afterAutospacing="0"/>
                    <w:ind w:left="0" w:right="0"/>
                    <w:jc w:val="center"/>
                    <w:rPr>
                      <w:rFonts w:hint="default"/>
                      <w:color w:val="auto"/>
                      <w:lang w:val="en-US" w:eastAsia="zh-CN"/>
                    </w:rPr>
                  </w:pPr>
                  <w:r>
                    <w:rPr>
                      <w:rFonts w:hint="eastAsia"/>
                      <w:color w:val="auto"/>
                      <w:lang w:val="en-US" w:eastAsia="zh-CN"/>
                    </w:rPr>
                    <w:t>0.90</w:t>
                  </w:r>
                </w:p>
              </w:tc>
              <w:tc>
                <w:tcPr>
                  <w:tcW w:w="263" w:type="pct"/>
                  <w:vMerge w:val="continue"/>
                  <w:tcBorders>
                    <w:right w:val="single" w:color="auto" w:sz="4" w:space="0"/>
                  </w:tcBorders>
                  <w:vAlign w:val="center"/>
                </w:tcPr>
                <w:p w14:paraId="05BF60E4">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eastAsia="zh-CN"/>
                    </w:rPr>
                  </w:pPr>
                </w:p>
              </w:tc>
              <w:tc>
                <w:tcPr>
                  <w:tcW w:w="317" w:type="pct"/>
                  <w:tcBorders>
                    <w:left w:val="single" w:color="auto" w:sz="4" w:space="0"/>
                    <w:right w:val="single" w:color="auto" w:sz="4" w:space="0"/>
                  </w:tcBorders>
                  <w:vAlign w:val="center"/>
                </w:tcPr>
                <w:p w14:paraId="4C8B5151">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11" w:type="pct"/>
                  <w:tcBorders>
                    <w:left w:val="single" w:color="auto" w:sz="4" w:space="0"/>
                    <w:right w:val="single" w:color="auto" w:sz="4" w:space="0"/>
                  </w:tcBorders>
                  <w:vAlign w:val="center"/>
                </w:tcPr>
                <w:p w14:paraId="4A80BEEC">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88" w:type="pct"/>
                  <w:tcBorders>
                    <w:top w:val="single" w:color="auto" w:sz="4" w:space="0"/>
                    <w:left w:val="single" w:color="auto" w:sz="4" w:space="0"/>
                    <w:bottom w:val="single" w:color="auto" w:sz="4" w:space="0"/>
                  </w:tcBorders>
                  <w:vAlign w:val="center"/>
                </w:tcPr>
                <w:p w14:paraId="31BBA98C">
                  <w:pPr>
                    <w:pStyle w:val="61"/>
                    <w:keepNext w:val="0"/>
                    <w:keepLines w:val="0"/>
                    <w:suppressLineNumbers w:val="0"/>
                    <w:spacing w:before="0" w:beforeAutospacing="0" w:after="0" w:afterAutospacing="0"/>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0.10</w:t>
                  </w:r>
                </w:p>
              </w:tc>
              <w:tc>
                <w:tcPr>
                  <w:tcW w:w="246" w:type="pct"/>
                  <w:tcBorders>
                    <w:right w:val="single" w:color="auto" w:sz="4" w:space="0"/>
                  </w:tcBorders>
                  <w:vAlign w:val="center"/>
                </w:tcPr>
                <w:p w14:paraId="149FD036">
                  <w:pPr>
                    <w:pStyle w:val="61"/>
                    <w:keepNext w:val="0"/>
                    <w:keepLines w:val="0"/>
                    <w:suppressLineNumbers w:val="0"/>
                    <w:spacing w:before="0" w:beforeAutospacing="0" w:after="0" w:afterAutospacing="0"/>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0.90</w:t>
                  </w:r>
                </w:p>
              </w:tc>
              <w:tc>
                <w:tcPr>
                  <w:tcW w:w="291" w:type="pct"/>
                  <w:tcBorders>
                    <w:right w:val="single" w:color="auto" w:sz="4" w:space="0"/>
                  </w:tcBorders>
                  <w:vAlign w:val="center"/>
                </w:tcPr>
                <w:p w14:paraId="75D31700">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加强厂房通风</w:t>
                  </w:r>
                </w:p>
              </w:tc>
              <w:tc>
                <w:tcPr>
                  <w:tcW w:w="185" w:type="pct"/>
                  <w:tcBorders>
                    <w:left w:val="single" w:color="auto" w:sz="4" w:space="0"/>
                  </w:tcBorders>
                  <w:vAlign w:val="center"/>
                </w:tcPr>
                <w:p w14:paraId="656D4026">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185" w:type="pct"/>
                  <w:vAlign w:val="center"/>
                </w:tcPr>
                <w:p w14:paraId="2319B38B">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63" w:type="pct"/>
                  <w:vMerge w:val="continue"/>
                  <w:tcBorders>
                    <w:right w:val="single" w:color="auto" w:sz="4" w:space="0"/>
                  </w:tcBorders>
                  <w:vAlign w:val="center"/>
                </w:tcPr>
                <w:p w14:paraId="40AB65F3">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265" w:type="pct"/>
                  <w:tcBorders>
                    <w:left w:val="single" w:color="auto" w:sz="4" w:space="0"/>
                    <w:right w:val="single" w:color="auto" w:sz="4" w:space="0"/>
                  </w:tcBorders>
                  <w:vAlign w:val="center"/>
                </w:tcPr>
                <w:p w14:paraId="683F88EC">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11" w:type="pct"/>
                  <w:tcBorders>
                    <w:left w:val="single" w:color="auto" w:sz="4" w:space="0"/>
                    <w:right w:val="single" w:color="auto" w:sz="4" w:space="0"/>
                  </w:tcBorders>
                  <w:vAlign w:val="center"/>
                </w:tcPr>
                <w:p w14:paraId="5ABB46B0">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777" w:type="dxa"/>
                  <w:tcBorders>
                    <w:top w:val="single" w:color="auto" w:sz="4" w:space="0"/>
                    <w:left w:val="single" w:color="auto" w:sz="4" w:space="0"/>
                    <w:bottom w:val="single" w:color="auto" w:sz="4" w:space="0"/>
                  </w:tcBorders>
                  <w:vAlign w:val="center"/>
                </w:tcPr>
                <w:p w14:paraId="21DD7BC6">
                  <w:pPr>
                    <w:pStyle w:val="61"/>
                    <w:keepNext w:val="0"/>
                    <w:keepLines w:val="0"/>
                    <w:suppressLineNumbers w:val="0"/>
                    <w:spacing w:before="0" w:beforeAutospacing="0" w:after="0" w:afterAutospacing="0"/>
                    <w:ind w:left="0" w:leftChars="0" w:right="0" w:right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0.10</w:t>
                  </w:r>
                </w:p>
              </w:tc>
              <w:tc>
                <w:tcPr>
                  <w:tcW w:w="662" w:type="dxa"/>
                  <w:tcBorders>
                    <w:top w:val="single" w:color="auto" w:sz="4" w:space="0"/>
                    <w:left w:val="single" w:color="auto" w:sz="4" w:space="0"/>
                    <w:bottom w:val="single" w:color="auto" w:sz="4" w:space="0"/>
                  </w:tcBorders>
                  <w:vAlign w:val="center"/>
                </w:tcPr>
                <w:p w14:paraId="738511CA">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0.90</w:t>
                  </w:r>
                </w:p>
              </w:tc>
              <w:tc>
                <w:tcPr>
                  <w:tcW w:w="261" w:type="pct"/>
                  <w:tcBorders>
                    <w:left w:val="single" w:color="auto" w:sz="4" w:space="0"/>
                  </w:tcBorders>
                  <w:vAlign w:val="center"/>
                </w:tcPr>
                <w:p w14:paraId="2E1ECC5D">
                  <w:pPr>
                    <w:pStyle w:val="61"/>
                    <w:keepNext w:val="0"/>
                    <w:keepLines w:val="0"/>
                    <w:suppressLineNumbers w:val="0"/>
                    <w:spacing w:before="0" w:beforeAutospacing="0" w:after="0" w:afterAutospacing="0"/>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8760</w:t>
                  </w:r>
                </w:p>
              </w:tc>
            </w:tr>
            <w:tr w14:paraId="0C561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3" w:hRule="atLeast"/>
                <w:jc w:val="center"/>
              </w:trPr>
              <w:tc>
                <w:tcPr>
                  <w:tcW w:w="210" w:type="pct"/>
                  <w:vMerge w:val="continue"/>
                  <w:tcBorders>
                    <w:left w:val="single" w:color="auto" w:sz="4" w:space="0"/>
                  </w:tcBorders>
                  <w:vAlign w:val="center"/>
                </w:tcPr>
                <w:p w14:paraId="483470C1">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238" w:type="pct"/>
                  <w:vMerge w:val="restart"/>
                  <w:tcBorders>
                    <w:left w:val="single" w:color="auto" w:sz="4" w:space="0"/>
                  </w:tcBorders>
                  <w:vAlign w:val="center"/>
                </w:tcPr>
                <w:p w14:paraId="3E436298">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臭气浓度</w:t>
                  </w:r>
                </w:p>
              </w:tc>
              <w:tc>
                <w:tcPr>
                  <w:tcW w:w="272" w:type="pct"/>
                  <w:tcBorders>
                    <w:left w:val="single" w:color="auto" w:sz="4" w:space="0"/>
                  </w:tcBorders>
                  <w:vAlign w:val="center"/>
                </w:tcPr>
                <w:p w14:paraId="7E5E4BAC">
                  <w:pPr>
                    <w:pStyle w:val="61"/>
                    <w:keepNext w:val="0"/>
                    <w:keepLines w:val="0"/>
                    <w:suppressLineNumbers w:val="0"/>
                    <w:spacing w:before="0" w:beforeAutospacing="0" w:after="0" w:afterAutospacing="0"/>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卸料</w:t>
                  </w:r>
                </w:p>
              </w:tc>
              <w:tc>
                <w:tcPr>
                  <w:tcW w:w="318" w:type="pct"/>
                  <w:tcBorders>
                    <w:left w:val="single" w:color="auto" w:sz="4" w:space="0"/>
                  </w:tcBorders>
                  <w:vAlign w:val="center"/>
                </w:tcPr>
                <w:p w14:paraId="25688EB2">
                  <w:pPr>
                    <w:pStyle w:val="61"/>
                    <w:keepNext w:val="0"/>
                    <w:keepLines w:val="0"/>
                    <w:suppressLineNumbers w:val="0"/>
                    <w:spacing w:before="0" w:beforeAutospacing="0" w:after="0" w:afterAutospacing="0"/>
                    <w:ind w:left="-120" w:leftChars="-50" w:right="-120" w:rightChars="-5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40" w:type="pct"/>
                  <w:tcBorders>
                    <w:right w:val="single" w:color="auto" w:sz="4" w:space="0"/>
                  </w:tcBorders>
                  <w:vAlign w:val="center"/>
                </w:tcPr>
                <w:p w14:paraId="3FCF720F">
                  <w:pPr>
                    <w:pStyle w:val="61"/>
                    <w:keepNext w:val="0"/>
                    <w:keepLines w:val="0"/>
                    <w:suppressLineNumbers w:val="0"/>
                    <w:spacing w:before="0" w:beforeAutospacing="0" w:after="0" w:afterAutospacing="0"/>
                    <w:ind w:left="-120" w:leftChars="-50" w:right="-120" w:rightChars="-5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少量</w:t>
                  </w:r>
                </w:p>
              </w:tc>
              <w:tc>
                <w:tcPr>
                  <w:tcW w:w="263" w:type="pct"/>
                  <w:vMerge w:val="continue"/>
                  <w:tcBorders>
                    <w:right w:val="single" w:color="auto" w:sz="4" w:space="0"/>
                  </w:tcBorders>
                  <w:vAlign w:val="center"/>
                </w:tcPr>
                <w:p w14:paraId="749D91C9">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317" w:type="pct"/>
                  <w:tcBorders>
                    <w:left w:val="single" w:color="auto" w:sz="4" w:space="0"/>
                    <w:right w:val="single" w:color="auto" w:sz="4" w:space="0"/>
                  </w:tcBorders>
                  <w:vAlign w:val="center"/>
                </w:tcPr>
                <w:p w14:paraId="4799AB46">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11" w:type="pct"/>
                  <w:tcBorders>
                    <w:left w:val="single" w:color="auto" w:sz="4" w:space="0"/>
                    <w:right w:val="single" w:color="auto" w:sz="4" w:space="0"/>
                  </w:tcBorders>
                  <w:vAlign w:val="center"/>
                </w:tcPr>
                <w:p w14:paraId="24A86D97">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88" w:type="pct"/>
                  <w:tcBorders>
                    <w:top w:val="single" w:color="auto" w:sz="4" w:space="0"/>
                    <w:left w:val="single" w:color="auto" w:sz="4" w:space="0"/>
                  </w:tcBorders>
                  <w:vAlign w:val="center"/>
                </w:tcPr>
                <w:p w14:paraId="2A17CDE9">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少量</w:t>
                  </w:r>
                </w:p>
              </w:tc>
              <w:tc>
                <w:tcPr>
                  <w:tcW w:w="246" w:type="pct"/>
                  <w:tcBorders>
                    <w:right w:val="single" w:color="auto" w:sz="4" w:space="0"/>
                  </w:tcBorders>
                  <w:vAlign w:val="center"/>
                </w:tcPr>
                <w:p w14:paraId="16D11E0B">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少量</w:t>
                  </w:r>
                </w:p>
              </w:tc>
              <w:tc>
                <w:tcPr>
                  <w:tcW w:w="291" w:type="pct"/>
                  <w:tcBorders>
                    <w:right w:val="single" w:color="auto" w:sz="4" w:space="0"/>
                  </w:tcBorders>
                  <w:vAlign w:val="center"/>
                </w:tcPr>
                <w:p w14:paraId="279E6690">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加强厂房通风</w:t>
                  </w:r>
                </w:p>
              </w:tc>
              <w:tc>
                <w:tcPr>
                  <w:tcW w:w="185" w:type="pct"/>
                  <w:tcBorders>
                    <w:left w:val="single" w:color="auto" w:sz="4" w:space="0"/>
                  </w:tcBorders>
                  <w:vAlign w:val="center"/>
                </w:tcPr>
                <w:p w14:paraId="6686173C">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185" w:type="pct"/>
                  <w:vAlign w:val="center"/>
                </w:tcPr>
                <w:p w14:paraId="6234BE1F">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63" w:type="pct"/>
                  <w:vMerge w:val="continue"/>
                  <w:tcBorders>
                    <w:right w:val="single" w:color="auto" w:sz="4" w:space="0"/>
                  </w:tcBorders>
                  <w:vAlign w:val="center"/>
                </w:tcPr>
                <w:p w14:paraId="0159AC9F">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265" w:type="pct"/>
                  <w:tcBorders>
                    <w:left w:val="single" w:color="auto" w:sz="4" w:space="0"/>
                    <w:right w:val="single" w:color="auto" w:sz="4" w:space="0"/>
                  </w:tcBorders>
                  <w:vAlign w:val="center"/>
                </w:tcPr>
                <w:p w14:paraId="588C8D9C">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11" w:type="pct"/>
                  <w:tcBorders>
                    <w:left w:val="single" w:color="auto" w:sz="4" w:space="0"/>
                    <w:right w:val="single" w:color="auto" w:sz="4" w:space="0"/>
                  </w:tcBorders>
                  <w:vAlign w:val="center"/>
                </w:tcPr>
                <w:p w14:paraId="649E54BF">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88" w:type="pct"/>
                  <w:tcBorders>
                    <w:top w:val="single" w:color="auto" w:sz="4" w:space="0"/>
                    <w:left w:val="single" w:color="auto" w:sz="4" w:space="0"/>
                    <w:bottom w:val="single" w:color="auto" w:sz="4" w:space="0"/>
                  </w:tcBorders>
                  <w:vAlign w:val="center"/>
                </w:tcPr>
                <w:p w14:paraId="75E128BC">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少量</w:t>
                  </w:r>
                </w:p>
              </w:tc>
              <w:tc>
                <w:tcPr>
                  <w:tcW w:w="245" w:type="pct"/>
                  <w:tcBorders>
                    <w:top w:val="single" w:color="auto" w:sz="4" w:space="0"/>
                    <w:left w:val="single" w:color="auto" w:sz="4" w:space="0"/>
                    <w:bottom w:val="single" w:color="auto" w:sz="4" w:space="0"/>
                  </w:tcBorders>
                  <w:vAlign w:val="center"/>
                </w:tcPr>
                <w:p w14:paraId="51047E55">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少量</w:t>
                  </w:r>
                </w:p>
              </w:tc>
              <w:tc>
                <w:tcPr>
                  <w:tcW w:w="261" w:type="pct"/>
                  <w:vMerge w:val="restart"/>
                  <w:tcBorders>
                    <w:left w:val="single" w:color="auto" w:sz="4" w:space="0"/>
                  </w:tcBorders>
                  <w:vAlign w:val="center"/>
                </w:tcPr>
                <w:p w14:paraId="5D77F99A">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2600</w:t>
                  </w:r>
                </w:p>
              </w:tc>
            </w:tr>
            <w:tr w14:paraId="49928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3" w:hRule="atLeast"/>
                <w:jc w:val="center"/>
              </w:trPr>
              <w:tc>
                <w:tcPr>
                  <w:tcW w:w="210" w:type="pct"/>
                  <w:vMerge w:val="continue"/>
                  <w:tcBorders>
                    <w:left w:val="single" w:color="auto" w:sz="4" w:space="0"/>
                  </w:tcBorders>
                  <w:vAlign w:val="center"/>
                </w:tcPr>
                <w:p w14:paraId="5F50D3A3">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238" w:type="pct"/>
                  <w:vMerge w:val="continue"/>
                  <w:tcBorders>
                    <w:left w:val="single" w:color="auto" w:sz="4" w:space="0"/>
                  </w:tcBorders>
                  <w:vAlign w:val="center"/>
                </w:tcPr>
                <w:p w14:paraId="22B789DF">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272" w:type="pct"/>
                  <w:tcBorders>
                    <w:left w:val="single" w:color="auto" w:sz="4" w:space="0"/>
                  </w:tcBorders>
                  <w:vAlign w:val="center"/>
                </w:tcPr>
                <w:p w14:paraId="31301765">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分拣</w:t>
                  </w:r>
                </w:p>
              </w:tc>
              <w:tc>
                <w:tcPr>
                  <w:tcW w:w="318" w:type="pct"/>
                  <w:tcBorders>
                    <w:left w:val="single" w:color="auto" w:sz="4" w:space="0"/>
                  </w:tcBorders>
                  <w:vAlign w:val="center"/>
                </w:tcPr>
                <w:p w14:paraId="50224E7E">
                  <w:pPr>
                    <w:pStyle w:val="61"/>
                    <w:keepNext w:val="0"/>
                    <w:keepLines w:val="0"/>
                    <w:suppressLineNumbers w:val="0"/>
                    <w:spacing w:before="0" w:beforeAutospacing="0" w:after="0" w:afterAutospacing="0"/>
                    <w:ind w:left="-120" w:leftChars="-50" w:right="-120" w:rightChars="-5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人工分拣线</w:t>
                  </w:r>
                </w:p>
              </w:tc>
              <w:tc>
                <w:tcPr>
                  <w:tcW w:w="240" w:type="pct"/>
                  <w:tcBorders>
                    <w:right w:val="single" w:color="auto" w:sz="4" w:space="0"/>
                  </w:tcBorders>
                  <w:vAlign w:val="center"/>
                </w:tcPr>
                <w:p w14:paraId="5197722E">
                  <w:pPr>
                    <w:pStyle w:val="61"/>
                    <w:keepNext w:val="0"/>
                    <w:keepLines w:val="0"/>
                    <w:suppressLineNumbers w:val="0"/>
                    <w:spacing w:before="0" w:beforeAutospacing="0" w:after="0" w:afterAutospacing="0"/>
                    <w:ind w:left="-120" w:leftChars="-50" w:right="-120" w:rightChars="-5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少量</w:t>
                  </w:r>
                </w:p>
              </w:tc>
              <w:tc>
                <w:tcPr>
                  <w:tcW w:w="263" w:type="pct"/>
                  <w:vMerge w:val="continue"/>
                  <w:tcBorders>
                    <w:right w:val="single" w:color="auto" w:sz="4" w:space="0"/>
                  </w:tcBorders>
                  <w:vAlign w:val="center"/>
                </w:tcPr>
                <w:p w14:paraId="12E18C40">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317" w:type="pct"/>
                  <w:tcBorders>
                    <w:left w:val="single" w:color="auto" w:sz="4" w:space="0"/>
                    <w:right w:val="single" w:color="auto" w:sz="4" w:space="0"/>
                  </w:tcBorders>
                  <w:vAlign w:val="center"/>
                </w:tcPr>
                <w:p w14:paraId="3C370F14">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w:t>
                  </w:r>
                </w:p>
              </w:tc>
              <w:tc>
                <w:tcPr>
                  <w:tcW w:w="311" w:type="pct"/>
                  <w:tcBorders>
                    <w:left w:val="single" w:color="auto" w:sz="4" w:space="0"/>
                    <w:right w:val="single" w:color="auto" w:sz="4" w:space="0"/>
                  </w:tcBorders>
                  <w:vAlign w:val="center"/>
                </w:tcPr>
                <w:p w14:paraId="4C20603A">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88" w:type="pct"/>
                  <w:tcBorders>
                    <w:top w:val="single" w:color="auto" w:sz="4" w:space="0"/>
                    <w:left w:val="single" w:color="auto" w:sz="4" w:space="0"/>
                  </w:tcBorders>
                  <w:vAlign w:val="center"/>
                </w:tcPr>
                <w:p w14:paraId="735BC03A">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少量</w:t>
                  </w:r>
                </w:p>
              </w:tc>
              <w:tc>
                <w:tcPr>
                  <w:tcW w:w="246" w:type="pct"/>
                  <w:tcBorders>
                    <w:right w:val="single" w:color="auto" w:sz="4" w:space="0"/>
                  </w:tcBorders>
                  <w:vAlign w:val="center"/>
                </w:tcPr>
                <w:p w14:paraId="7F30975B">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少量</w:t>
                  </w:r>
                </w:p>
              </w:tc>
              <w:tc>
                <w:tcPr>
                  <w:tcW w:w="291" w:type="pct"/>
                  <w:tcBorders>
                    <w:right w:val="single" w:color="auto" w:sz="4" w:space="0"/>
                  </w:tcBorders>
                  <w:vAlign w:val="center"/>
                </w:tcPr>
                <w:p w14:paraId="2EA9698D">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加强厂房通风</w:t>
                  </w:r>
                </w:p>
              </w:tc>
              <w:tc>
                <w:tcPr>
                  <w:tcW w:w="185" w:type="pct"/>
                  <w:tcBorders>
                    <w:left w:val="single" w:color="auto" w:sz="4" w:space="0"/>
                  </w:tcBorders>
                  <w:vAlign w:val="center"/>
                </w:tcPr>
                <w:p w14:paraId="062941D8">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w:t>
                  </w:r>
                </w:p>
              </w:tc>
              <w:tc>
                <w:tcPr>
                  <w:tcW w:w="185" w:type="pct"/>
                  <w:vAlign w:val="center"/>
                </w:tcPr>
                <w:p w14:paraId="35964ADB">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63" w:type="pct"/>
                  <w:vMerge w:val="continue"/>
                  <w:tcBorders>
                    <w:right w:val="single" w:color="auto" w:sz="4" w:space="0"/>
                  </w:tcBorders>
                  <w:vAlign w:val="center"/>
                </w:tcPr>
                <w:p w14:paraId="36C333B6">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265" w:type="pct"/>
                  <w:tcBorders>
                    <w:left w:val="single" w:color="auto" w:sz="4" w:space="0"/>
                    <w:right w:val="single" w:color="auto" w:sz="4" w:space="0"/>
                  </w:tcBorders>
                  <w:vAlign w:val="center"/>
                </w:tcPr>
                <w:p w14:paraId="085026F1">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w:t>
                  </w:r>
                </w:p>
              </w:tc>
              <w:tc>
                <w:tcPr>
                  <w:tcW w:w="311" w:type="pct"/>
                  <w:tcBorders>
                    <w:left w:val="single" w:color="auto" w:sz="4" w:space="0"/>
                    <w:right w:val="single" w:color="auto" w:sz="4" w:space="0"/>
                  </w:tcBorders>
                  <w:vAlign w:val="center"/>
                </w:tcPr>
                <w:p w14:paraId="65E91CEB">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88" w:type="pct"/>
                  <w:tcBorders>
                    <w:top w:val="single" w:color="auto" w:sz="4" w:space="0"/>
                    <w:left w:val="single" w:color="auto" w:sz="4" w:space="0"/>
                    <w:bottom w:val="single" w:color="auto" w:sz="4" w:space="0"/>
                  </w:tcBorders>
                  <w:vAlign w:val="center"/>
                </w:tcPr>
                <w:p w14:paraId="0B18CA63">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少量</w:t>
                  </w:r>
                </w:p>
              </w:tc>
              <w:tc>
                <w:tcPr>
                  <w:tcW w:w="245" w:type="pct"/>
                  <w:tcBorders>
                    <w:top w:val="single" w:color="auto" w:sz="4" w:space="0"/>
                    <w:left w:val="single" w:color="auto" w:sz="4" w:space="0"/>
                    <w:bottom w:val="single" w:color="auto" w:sz="4" w:space="0"/>
                  </w:tcBorders>
                  <w:vAlign w:val="center"/>
                </w:tcPr>
                <w:p w14:paraId="60CD38AC">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少量</w:t>
                  </w:r>
                </w:p>
              </w:tc>
              <w:tc>
                <w:tcPr>
                  <w:tcW w:w="261" w:type="pct"/>
                  <w:vMerge w:val="continue"/>
                  <w:tcBorders>
                    <w:left w:val="single" w:color="auto" w:sz="4" w:space="0"/>
                  </w:tcBorders>
                  <w:vAlign w:val="center"/>
                </w:tcPr>
                <w:p w14:paraId="70DC2234">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r>
            <w:tr w14:paraId="587E4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3" w:hRule="atLeast"/>
                <w:jc w:val="center"/>
              </w:trPr>
              <w:tc>
                <w:tcPr>
                  <w:tcW w:w="210" w:type="pct"/>
                  <w:vMerge w:val="continue"/>
                  <w:tcBorders>
                    <w:left w:val="single" w:color="auto" w:sz="4" w:space="0"/>
                  </w:tcBorders>
                  <w:vAlign w:val="center"/>
                </w:tcPr>
                <w:p w14:paraId="5C5F8BFF">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238" w:type="pct"/>
                  <w:vMerge w:val="continue"/>
                  <w:tcBorders>
                    <w:left w:val="single" w:color="auto" w:sz="4" w:space="0"/>
                  </w:tcBorders>
                  <w:vAlign w:val="center"/>
                </w:tcPr>
                <w:p w14:paraId="4EAC5562">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eastAsia="zh-CN"/>
                    </w:rPr>
                  </w:pPr>
                </w:p>
              </w:tc>
              <w:tc>
                <w:tcPr>
                  <w:tcW w:w="272" w:type="pct"/>
                  <w:tcBorders>
                    <w:left w:val="single" w:color="auto" w:sz="4" w:space="0"/>
                  </w:tcBorders>
                  <w:vAlign w:val="center"/>
                </w:tcPr>
                <w:p w14:paraId="750E9C72">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压实打包</w:t>
                  </w:r>
                </w:p>
              </w:tc>
              <w:tc>
                <w:tcPr>
                  <w:tcW w:w="318" w:type="pct"/>
                  <w:tcBorders>
                    <w:left w:val="single" w:color="auto" w:sz="4" w:space="0"/>
                  </w:tcBorders>
                  <w:vAlign w:val="center"/>
                </w:tcPr>
                <w:p w14:paraId="6D59F87A">
                  <w:pPr>
                    <w:pStyle w:val="61"/>
                    <w:keepNext w:val="0"/>
                    <w:keepLines w:val="0"/>
                    <w:suppressLineNumbers w:val="0"/>
                    <w:spacing w:before="0" w:beforeAutospacing="0" w:after="0" w:afterAutospacing="0"/>
                    <w:ind w:left="-120" w:leftChars="-50" w:right="-120" w:rightChars="-50"/>
                    <w:jc w:val="center"/>
                    <w:rPr>
                      <w:rFonts w:hint="default"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立式液压打包机</w:t>
                  </w:r>
                </w:p>
              </w:tc>
              <w:tc>
                <w:tcPr>
                  <w:tcW w:w="240" w:type="pct"/>
                  <w:tcBorders>
                    <w:right w:val="single" w:color="auto" w:sz="4" w:space="0"/>
                  </w:tcBorders>
                  <w:vAlign w:val="center"/>
                </w:tcPr>
                <w:p w14:paraId="0BD91497">
                  <w:pPr>
                    <w:pStyle w:val="61"/>
                    <w:keepNext w:val="0"/>
                    <w:keepLines w:val="0"/>
                    <w:suppressLineNumbers w:val="0"/>
                    <w:spacing w:before="0" w:beforeAutospacing="0" w:after="0" w:afterAutospacing="0"/>
                    <w:ind w:left="-120" w:leftChars="-50" w:right="-120" w:rightChars="-5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少量</w:t>
                  </w:r>
                </w:p>
              </w:tc>
              <w:tc>
                <w:tcPr>
                  <w:tcW w:w="263" w:type="pct"/>
                  <w:vMerge w:val="continue"/>
                  <w:tcBorders>
                    <w:right w:val="single" w:color="auto" w:sz="4" w:space="0"/>
                  </w:tcBorders>
                  <w:vAlign w:val="center"/>
                </w:tcPr>
                <w:p w14:paraId="0F37CBDA">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317" w:type="pct"/>
                  <w:tcBorders>
                    <w:left w:val="single" w:color="auto" w:sz="4" w:space="0"/>
                    <w:right w:val="single" w:color="auto" w:sz="4" w:space="0"/>
                  </w:tcBorders>
                  <w:vAlign w:val="center"/>
                </w:tcPr>
                <w:p w14:paraId="06F03EC4">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w:t>
                  </w:r>
                </w:p>
              </w:tc>
              <w:tc>
                <w:tcPr>
                  <w:tcW w:w="311" w:type="pct"/>
                  <w:tcBorders>
                    <w:left w:val="single" w:color="auto" w:sz="4" w:space="0"/>
                    <w:right w:val="single" w:color="auto" w:sz="4" w:space="0"/>
                  </w:tcBorders>
                  <w:vAlign w:val="center"/>
                </w:tcPr>
                <w:p w14:paraId="453A4AB6">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88" w:type="pct"/>
                  <w:tcBorders>
                    <w:top w:val="single" w:color="auto" w:sz="4" w:space="0"/>
                    <w:left w:val="single" w:color="auto" w:sz="4" w:space="0"/>
                    <w:bottom w:val="single" w:color="auto" w:sz="4" w:space="0"/>
                  </w:tcBorders>
                  <w:vAlign w:val="center"/>
                </w:tcPr>
                <w:p w14:paraId="04C70FB3">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少量</w:t>
                  </w:r>
                </w:p>
              </w:tc>
              <w:tc>
                <w:tcPr>
                  <w:tcW w:w="246" w:type="pct"/>
                  <w:tcBorders>
                    <w:right w:val="single" w:color="auto" w:sz="4" w:space="0"/>
                  </w:tcBorders>
                  <w:vAlign w:val="center"/>
                </w:tcPr>
                <w:p w14:paraId="3132DC6C">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少量</w:t>
                  </w:r>
                </w:p>
              </w:tc>
              <w:tc>
                <w:tcPr>
                  <w:tcW w:w="291" w:type="pct"/>
                  <w:tcBorders>
                    <w:right w:val="single" w:color="auto" w:sz="4" w:space="0"/>
                  </w:tcBorders>
                  <w:vAlign w:val="center"/>
                </w:tcPr>
                <w:p w14:paraId="297D116D">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加强厂房通风</w:t>
                  </w:r>
                </w:p>
              </w:tc>
              <w:tc>
                <w:tcPr>
                  <w:tcW w:w="185" w:type="pct"/>
                  <w:tcBorders>
                    <w:left w:val="single" w:color="auto" w:sz="4" w:space="0"/>
                  </w:tcBorders>
                  <w:vAlign w:val="center"/>
                </w:tcPr>
                <w:p w14:paraId="54F4879E">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rPr>
                  </w:pPr>
                  <w:r>
                    <w:rPr>
                      <w:rFonts w:hint="eastAsia" w:cs="Times New Roman"/>
                      <w:color w:val="auto"/>
                      <w:sz w:val="21"/>
                      <w:szCs w:val="21"/>
                      <w:highlight w:val="none"/>
                      <w:lang w:val="en-US" w:eastAsia="zh-CN"/>
                    </w:rPr>
                    <w:t>/</w:t>
                  </w:r>
                </w:p>
              </w:tc>
              <w:tc>
                <w:tcPr>
                  <w:tcW w:w="185" w:type="pct"/>
                  <w:vAlign w:val="center"/>
                </w:tcPr>
                <w:p w14:paraId="3F69E11F">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63" w:type="pct"/>
                  <w:vMerge w:val="continue"/>
                  <w:tcBorders>
                    <w:right w:val="single" w:color="auto" w:sz="4" w:space="0"/>
                  </w:tcBorders>
                  <w:vAlign w:val="center"/>
                </w:tcPr>
                <w:p w14:paraId="422414AE">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265" w:type="pct"/>
                  <w:tcBorders>
                    <w:left w:val="single" w:color="auto" w:sz="4" w:space="0"/>
                    <w:right w:val="single" w:color="auto" w:sz="4" w:space="0"/>
                  </w:tcBorders>
                  <w:vAlign w:val="center"/>
                </w:tcPr>
                <w:p w14:paraId="17D29372">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w:t>
                  </w:r>
                </w:p>
              </w:tc>
              <w:tc>
                <w:tcPr>
                  <w:tcW w:w="311" w:type="pct"/>
                  <w:tcBorders>
                    <w:left w:val="single" w:color="auto" w:sz="4" w:space="0"/>
                    <w:right w:val="single" w:color="auto" w:sz="4" w:space="0"/>
                  </w:tcBorders>
                  <w:vAlign w:val="center"/>
                </w:tcPr>
                <w:p w14:paraId="5C15F0FB">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88" w:type="pct"/>
                  <w:tcBorders>
                    <w:top w:val="single" w:color="auto" w:sz="4" w:space="0"/>
                    <w:left w:val="single" w:color="auto" w:sz="4" w:space="0"/>
                    <w:bottom w:val="single" w:color="auto" w:sz="4" w:space="0"/>
                  </w:tcBorders>
                  <w:vAlign w:val="center"/>
                </w:tcPr>
                <w:p w14:paraId="18DF1E53">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少量</w:t>
                  </w:r>
                </w:p>
              </w:tc>
              <w:tc>
                <w:tcPr>
                  <w:tcW w:w="245" w:type="pct"/>
                  <w:tcBorders>
                    <w:top w:val="single" w:color="auto" w:sz="4" w:space="0"/>
                    <w:left w:val="single" w:color="auto" w:sz="4" w:space="0"/>
                    <w:bottom w:val="single" w:color="auto" w:sz="4" w:space="0"/>
                  </w:tcBorders>
                  <w:vAlign w:val="center"/>
                </w:tcPr>
                <w:p w14:paraId="662E05DA">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少量</w:t>
                  </w:r>
                </w:p>
              </w:tc>
              <w:tc>
                <w:tcPr>
                  <w:tcW w:w="261" w:type="pct"/>
                  <w:vMerge w:val="continue"/>
                  <w:tcBorders>
                    <w:left w:val="single" w:color="auto" w:sz="4" w:space="0"/>
                  </w:tcBorders>
                  <w:vAlign w:val="center"/>
                </w:tcPr>
                <w:p w14:paraId="6A0F8B7F">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r>
            <w:tr w14:paraId="6267B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3" w:hRule="atLeast"/>
                <w:jc w:val="center"/>
              </w:trPr>
              <w:tc>
                <w:tcPr>
                  <w:tcW w:w="210" w:type="pct"/>
                  <w:vMerge w:val="continue"/>
                  <w:tcBorders>
                    <w:left w:val="single" w:color="auto" w:sz="4" w:space="0"/>
                  </w:tcBorders>
                  <w:vAlign w:val="center"/>
                </w:tcPr>
                <w:p w14:paraId="78EE44A5">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238" w:type="pct"/>
                  <w:vMerge w:val="continue"/>
                  <w:tcBorders>
                    <w:left w:val="single" w:color="auto" w:sz="4" w:space="0"/>
                  </w:tcBorders>
                  <w:vAlign w:val="center"/>
                </w:tcPr>
                <w:p w14:paraId="67E9CE48">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eastAsia="zh-CN"/>
                    </w:rPr>
                  </w:pPr>
                </w:p>
              </w:tc>
              <w:tc>
                <w:tcPr>
                  <w:tcW w:w="272" w:type="pct"/>
                  <w:tcBorders>
                    <w:left w:val="single" w:color="auto" w:sz="4" w:space="0"/>
                  </w:tcBorders>
                  <w:vAlign w:val="center"/>
                </w:tcPr>
                <w:p w14:paraId="76A85255">
                  <w:pPr>
                    <w:pStyle w:val="61"/>
                    <w:keepNext w:val="0"/>
                    <w:keepLines w:val="0"/>
                    <w:suppressLineNumbers w:val="0"/>
                    <w:spacing w:before="0" w:beforeAutospacing="0" w:after="0" w:afterAutospacing="0"/>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入库</w:t>
                  </w:r>
                </w:p>
              </w:tc>
              <w:tc>
                <w:tcPr>
                  <w:tcW w:w="318" w:type="pct"/>
                  <w:tcBorders>
                    <w:left w:val="single" w:color="auto" w:sz="4" w:space="0"/>
                  </w:tcBorders>
                  <w:vAlign w:val="center"/>
                </w:tcPr>
                <w:p w14:paraId="09EB83FA">
                  <w:pPr>
                    <w:pStyle w:val="61"/>
                    <w:keepNext w:val="0"/>
                    <w:keepLines w:val="0"/>
                    <w:suppressLineNumbers w:val="0"/>
                    <w:spacing w:before="0" w:beforeAutospacing="0" w:after="0" w:afterAutospacing="0"/>
                    <w:ind w:left="-120" w:leftChars="-50" w:right="-120" w:rightChars="-5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40" w:type="pct"/>
                  <w:tcBorders>
                    <w:right w:val="single" w:color="auto" w:sz="4" w:space="0"/>
                  </w:tcBorders>
                  <w:vAlign w:val="center"/>
                </w:tcPr>
                <w:p w14:paraId="063835D8">
                  <w:pPr>
                    <w:pStyle w:val="61"/>
                    <w:keepNext w:val="0"/>
                    <w:keepLines w:val="0"/>
                    <w:suppressLineNumbers w:val="0"/>
                    <w:spacing w:before="0" w:beforeAutospacing="0" w:after="0" w:afterAutospacing="0"/>
                    <w:ind w:left="-120" w:leftChars="-50" w:right="-120" w:rightChars="-5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少量</w:t>
                  </w:r>
                </w:p>
              </w:tc>
              <w:tc>
                <w:tcPr>
                  <w:tcW w:w="263" w:type="pct"/>
                  <w:vMerge w:val="continue"/>
                  <w:tcBorders>
                    <w:right w:val="single" w:color="auto" w:sz="4" w:space="0"/>
                  </w:tcBorders>
                  <w:vAlign w:val="center"/>
                </w:tcPr>
                <w:p w14:paraId="1415FA2E">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317" w:type="pct"/>
                  <w:tcBorders>
                    <w:left w:val="single" w:color="auto" w:sz="4" w:space="0"/>
                    <w:right w:val="single" w:color="auto" w:sz="4" w:space="0"/>
                  </w:tcBorders>
                  <w:vAlign w:val="center"/>
                </w:tcPr>
                <w:p w14:paraId="5D4DF4E5">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11" w:type="pct"/>
                  <w:tcBorders>
                    <w:left w:val="single" w:color="auto" w:sz="4" w:space="0"/>
                    <w:right w:val="single" w:color="auto" w:sz="4" w:space="0"/>
                  </w:tcBorders>
                  <w:vAlign w:val="center"/>
                </w:tcPr>
                <w:p w14:paraId="751777AC">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88" w:type="pct"/>
                  <w:tcBorders>
                    <w:top w:val="single" w:color="auto" w:sz="4" w:space="0"/>
                    <w:left w:val="single" w:color="auto" w:sz="4" w:space="0"/>
                  </w:tcBorders>
                  <w:vAlign w:val="center"/>
                </w:tcPr>
                <w:p w14:paraId="5F604037">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少量</w:t>
                  </w:r>
                </w:p>
              </w:tc>
              <w:tc>
                <w:tcPr>
                  <w:tcW w:w="246" w:type="pct"/>
                  <w:tcBorders>
                    <w:right w:val="single" w:color="auto" w:sz="4" w:space="0"/>
                  </w:tcBorders>
                  <w:vAlign w:val="center"/>
                </w:tcPr>
                <w:p w14:paraId="74E7B563">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少量</w:t>
                  </w:r>
                </w:p>
              </w:tc>
              <w:tc>
                <w:tcPr>
                  <w:tcW w:w="291" w:type="pct"/>
                  <w:tcBorders>
                    <w:right w:val="single" w:color="auto" w:sz="4" w:space="0"/>
                  </w:tcBorders>
                  <w:vAlign w:val="center"/>
                </w:tcPr>
                <w:p w14:paraId="18EA7187">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加强厂房通风</w:t>
                  </w:r>
                </w:p>
              </w:tc>
              <w:tc>
                <w:tcPr>
                  <w:tcW w:w="185" w:type="pct"/>
                  <w:tcBorders>
                    <w:left w:val="single" w:color="auto" w:sz="4" w:space="0"/>
                  </w:tcBorders>
                  <w:vAlign w:val="center"/>
                </w:tcPr>
                <w:p w14:paraId="5590B514">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185" w:type="pct"/>
                  <w:vAlign w:val="center"/>
                </w:tcPr>
                <w:p w14:paraId="24FD6960">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63" w:type="pct"/>
                  <w:vMerge w:val="continue"/>
                  <w:tcBorders>
                    <w:right w:val="single" w:color="auto" w:sz="4" w:space="0"/>
                  </w:tcBorders>
                  <w:vAlign w:val="center"/>
                </w:tcPr>
                <w:p w14:paraId="1D3841D9">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265" w:type="pct"/>
                  <w:tcBorders>
                    <w:left w:val="single" w:color="auto" w:sz="4" w:space="0"/>
                    <w:right w:val="single" w:color="auto" w:sz="4" w:space="0"/>
                  </w:tcBorders>
                  <w:vAlign w:val="center"/>
                </w:tcPr>
                <w:p w14:paraId="090F874F">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11" w:type="pct"/>
                  <w:tcBorders>
                    <w:left w:val="single" w:color="auto" w:sz="4" w:space="0"/>
                    <w:right w:val="single" w:color="auto" w:sz="4" w:space="0"/>
                  </w:tcBorders>
                  <w:vAlign w:val="center"/>
                </w:tcPr>
                <w:p w14:paraId="79FEF1E2">
                  <w:pPr>
                    <w:pStyle w:val="61"/>
                    <w:keepNext w:val="0"/>
                    <w:keepLines w:val="0"/>
                    <w:suppressLineNumbers w:val="0"/>
                    <w:spacing w:before="0" w:beforeAutospacing="0" w:after="0" w:afterAutospacing="0"/>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88" w:type="pct"/>
                  <w:tcBorders>
                    <w:top w:val="single" w:color="auto" w:sz="4" w:space="0"/>
                    <w:left w:val="single" w:color="auto" w:sz="4" w:space="0"/>
                    <w:bottom w:val="single" w:color="auto" w:sz="4" w:space="0"/>
                  </w:tcBorders>
                  <w:vAlign w:val="center"/>
                </w:tcPr>
                <w:p w14:paraId="608B80D7">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少量</w:t>
                  </w:r>
                </w:p>
              </w:tc>
              <w:tc>
                <w:tcPr>
                  <w:tcW w:w="245" w:type="pct"/>
                  <w:tcBorders>
                    <w:top w:val="single" w:color="auto" w:sz="4" w:space="0"/>
                    <w:left w:val="single" w:color="auto" w:sz="4" w:space="0"/>
                    <w:bottom w:val="single" w:color="auto" w:sz="4" w:space="0"/>
                  </w:tcBorders>
                  <w:vAlign w:val="center"/>
                </w:tcPr>
                <w:p w14:paraId="54087FDB">
                  <w:pPr>
                    <w:pStyle w:val="6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少量</w:t>
                  </w:r>
                </w:p>
              </w:tc>
              <w:tc>
                <w:tcPr>
                  <w:tcW w:w="261" w:type="pct"/>
                  <w:tcBorders>
                    <w:left w:val="single" w:color="auto" w:sz="4" w:space="0"/>
                    <w:bottom w:val="single" w:color="auto" w:sz="4" w:space="0"/>
                  </w:tcBorders>
                  <w:vAlign w:val="center"/>
                </w:tcPr>
                <w:p w14:paraId="07149FEC">
                  <w:pPr>
                    <w:pStyle w:val="6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3650</w:t>
                  </w:r>
                </w:p>
              </w:tc>
            </w:tr>
          </w:tbl>
          <w:p w14:paraId="55D84E3F">
            <w:pPr>
              <w:pStyle w:val="30"/>
              <w:numPr>
                <w:ilvl w:val="0"/>
                <w:numId w:val="0"/>
              </w:numPr>
              <w:tabs>
                <w:tab w:val="left" w:pos="0"/>
              </w:tabs>
              <w:spacing w:after="0" w:line="360" w:lineRule="auto"/>
              <w:ind w:left="0" w:leftChars="0" w:firstLine="420" w:firstLineChars="0"/>
              <w:rPr>
                <w:rFonts w:hint="default" w:ascii="Times New Roman" w:hAnsi="Times New Roman" w:cs="Times New Roman"/>
                <w:b/>
                <w:bCs/>
                <w:color w:val="auto"/>
                <w:kern w:val="2"/>
                <w:sz w:val="24"/>
                <w:szCs w:val="24"/>
                <w:highlight w:val="none"/>
                <w:lang w:val="en-US" w:eastAsia="zh-CN" w:bidi="ar-SA"/>
              </w:rPr>
            </w:pPr>
          </w:p>
          <w:p w14:paraId="1FB9403E">
            <w:pPr>
              <w:pStyle w:val="30"/>
              <w:numPr>
                <w:ilvl w:val="0"/>
                <w:numId w:val="0"/>
              </w:numPr>
              <w:tabs>
                <w:tab w:val="left" w:pos="0"/>
              </w:tabs>
              <w:spacing w:after="0" w:line="360" w:lineRule="auto"/>
              <w:ind w:left="0" w:leftChars="0" w:firstLine="420" w:firstLineChars="0"/>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cs="Times New Roman"/>
                <w:b/>
                <w:bCs/>
                <w:color w:val="auto"/>
                <w:kern w:val="2"/>
                <w:sz w:val="24"/>
                <w:szCs w:val="24"/>
                <w:highlight w:val="none"/>
                <w:lang w:val="en-US" w:eastAsia="zh-CN" w:bidi="ar-SA"/>
              </w:rPr>
              <w:t>2、监测要求</w:t>
            </w:r>
          </w:p>
          <w:p w14:paraId="63ADD8A9">
            <w:pPr>
              <w:pStyle w:val="30"/>
              <w:numPr>
                <w:ilvl w:val="0"/>
                <w:numId w:val="0"/>
              </w:numPr>
              <w:tabs>
                <w:tab w:val="left" w:pos="0"/>
              </w:tabs>
              <w:spacing w:after="0" w:line="360" w:lineRule="auto"/>
              <w:ind w:left="0" w:leftChars="0" w:firstLine="420" w:firstLineChars="0"/>
              <w:rPr>
                <w:rFonts w:hint="default" w:ascii="Times New Roman" w:hAnsi="Times New Roman"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按照《固定污染源排污许可分类管理名录》（2019年版），本项目属于</w:t>
            </w:r>
            <w:r>
              <w:rPr>
                <w:rFonts w:hint="eastAsia" w:cs="Times New Roman"/>
                <w:b w:val="0"/>
                <w:bCs w:val="0"/>
                <w:color w:val="auto"/>
                <w:kern w:val="2"/>
                <w:sz w:val="24"/>
                <w:szCs w:val="24"/>
                <w:highlight w:val="none"/>
                <w:lang w:val="en-US" w:eastAsia="zh-CN" w:bidi="ar-SA"/>
              </w:rPr>
              <w:t>重点</w:t>
            </w:r>
            <w:r>
              <w:rPr>
                <w:rFonts w:hint="default" w:ascii="Times New Roman" w:hAnsi="Times New Roman" w:eastAsia="宋体" w:cs="Times New Roman"/>
                <w:b w:val="0"/>
                <w:bCs w:val="0"/>
                <w:color w:val="auto"/>
                <w:kern w:val="2"/>
                <w:sz w:val="24"/>
                <w:szCs w:val="24"/>
                <w:highlight w:val="none"/>
                <w:lang w:val="en-US" w:eastAsia="zh-CN" w:bidi="ar-SA"/>
              </w:rPr>
              <w:t>管理。本项目参照《排污单位自行监测技术指南 工业固体废物和危险废物治理》（HJ 12</w:t>
            </w:r>
            <w:r>
              <w:rPr>
                <w:rFonts w:hint="eastAsia" w:cs="Times New Roman"/>
                <w:b w:val="0"/>
                <w:bCs w:val="0"/>
                <w:color w:val="auto"/>
                <w:kern w:val="2"/>
                <w:sz w:val="24"/>
                <w:szCs w:val="24"/>
                <w:highlight w:val="none"/>
                <w:lang w:val="en-US" w:eastAsia="zh-CN" w:bidi="ar-SA"/>
              </w:rPr>
              <w:t>50</w:t>
            </w:r>
            <w:r>
              <w:rPr>
                <w:rFonts w:hint="default" w:ascii="Times New Roman" w:hAnsi="Times New Roman" w:eastAsia="宋体" w:cs="Times New Roman"/>
                <w:b w:val="0"/>
                <w:bCs w:val="0"/>
                <w:color w:val="auto"/>
                <w:kern w:val="2"/>
                <w:sz w:val="24"/>
                <w:szCs w:val="24"/>
                <w:highlight w:val="none"/>
                <w:lang w:val="en-US" w:eastAsia="zh-CN" w:bidi="ar-SA"/>
              </w:rPr>
              <w:t>-202</w:t>
            </w:r>
            <w:r>
              <w:rPr>
                <w:rFonts w:hint="eastAsia" w:cs="Times New Roman"/>
                <w:b w:val="0"/>
                <w:bCs w:val="0"/>
                <w:color w:val="auto"/>
                <w:kern w:val="2"/>
                <w:sz w:val="24"/>
                <w:szCs w:val="24"/>
                <w:highlight w:val="none"/>
                <w:lang w:val="en-US" w:eastAsia="zh-CN" w:bidi="ar-SA"/>
              </w:rPr>
              <w:t>2</w:t>
            </w:r>
            <w:r>
              <w:rPr>
                <w:rFonts w:hint="default" w:ascii="Times New Roman" w:hAnsi="Times New Roman" w:eastAsia="宋体" w:cs="Times New Roman"/>
                <w:b w:val="0"/>
                <w:bCs w:val="0"/>
                <w:color w:val="auto"/>
                <w:kern w:val="2"/>
                <w:sz w:val="24"/>
                <w:szCs w:val="24"/>
                <w:highlight w:val="none"/>
                <w:lang w:val="en-US" w:eastAsia="zh-CN" w:bidi="ar-SA"/>
              </w:rPr>
              <w:t>）中表8一般工业固体废物和危险废物治理单位无组织废气排放监测点位、监测指标及最低监测频次</w:t>
            </w:r>
            <w:r>
              <w:rPr>
                <w:rFonts w:hint="eastAsia" w:cs="Times New Roman"/>
                <w:b w:val="0"/>
                <w:bCs w:val="0"/>
                <w:color w:val="auto"/>
                <w:kern w:val="2"/>
                <w:sz w:val="24"/>
                <w:szCs w:val="24"/>
                <w:highlight w:val="none"/>
                <w:lang w:val="en-US" w:eastAsia="zh-CN" w:bidi="ar-SA"/>
              </w:rPr>
              <w:t>，</w:t>
            </w:r>
            <w:r>
              <w:rPr>
                <w:rFonts w:hint="default" w:ascii="Times New Roman" w:hAnsi="Times New Roman" w:eastAsia="宋体" w:cs="Times New Roman"/>
                <w:b w:val="0"/>
                <w:bCs w:val="0"/>
                <w:color w:val="auto"/>
                <w:kern w:val="2"/>
                <w:sz w:val="24"/>
                <w:szCs w:val="24"/>
                <w:highlight w:val="none"/>
                <w:lang w:val="en-US" w:eastAsia="zh-CN" w:bidi="ar-SA"/>
              </w:rPr>
              <w:t>结合项目运营期间污染物排放特点，制定本项目的污染源监测计划，建设单位需保证按监测计划实施。</w:t>
            </w:r>
          </w:p>
          <w:p w14:paraId="4A756938">
            <w:pPr>
              <w:rPr>
                <w:rFonts w:hint="default" w:ascii="Times New Roman" w:hAnsi="Times New Roman" w:cs="Times New Roman"/>
                <w:b w:val="0"/>
                <w:bCs w:val="0"/>
                <w:color w:val="auto"/>
                <w:kern w:val="2"/>
                <w:sz w:val="24"/>
                <w:szCs w:val="24"/>
                <w:highlight w:val="none"/>
                <w:lang w:val="en-US" w:eastAsia="zh-CN" w:bidi="ar-SA"/>
              </w:rPr>
            </w:pPr>
          </w:p>
          <w:p w14:paraId="2BDA3E42">
            <w:pPr>
              <w:rPr>
                <w:rFonts w:hint="default" w:ascii="Times New Roman" w:hAnsi="Times New Roman" w:cs="Times New Roman"/>
                <w:b w:val="0"/>
                <w:bCs w:val="0"/>
                <w:color w:val="auto"/>
                <w:kern w:val="2"/>
                <w:sz w:val="24"/>
                <w:szCs w:val="24"/>
                <w:highlight w:val="none"/>
                <w:lang w:val="en-US" w:eastAsia="zh-CN" w:bidi="ar-SA"/>
              </w:rPr>
            </w:pPr>
          </w:p>
          <w:p w14:paraId="0465C5ED">
            <w:pPr>
              <w:rPr>
                <w:rFonts w:hint="default" w:ascii="Times New Roman" w:hAnsi="Times New Roman" w:cs="Times New Roman"/>
                <w:b w:val="0"/>
                <w:bCs w:val="0"/>
                <w:color w:val="auto"/>
                <w:kern w:val="2"/>
                <w:sz w:val="24"/>
                <w:szCs w:val="24"/>
                <w:highlight w:val="none"/>
                <w:lang w:val="en-US" w:eastAsia="zh-CN" w:bidi="ar-SA"/>
              </w:rPr>
            </w:pPr>
          </w:p>
          <w:p w14:paraId="49BC88E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表4-</w:t>
            </w:r>
            <w:r>
              <w:rPr>
                <w:rFonts w:hint="default" w:ascii="Times New Roman" w:hAnsi="Times New Roman" w:cs="Times New Roman"/>
                <w:b/>
                <w:color w:val="auto"/>
                <w:sz w:val="21"/>
                <w:szCs w:val="21"/>
                <w:highlight w:val="none"/>
                <w:lang w:val="en-US" w:eastAsia="zh-CN"/>
              </w:rPr>
              <w:t>2</w:t>
            </w:r>
            <w:r>
              <w:rPr>
                <w:rFonts w:hint="default" w:ascii="Times New Roman" w:hAnsi="Times New Roman" w:cs="Times New Roman"/>
                <w:b/>
                <w:color w:val="auto"/>
                <w:sz w:val="21"/>
                <w:szCs w:val="21"/>
                <w:highlight w:val="none"/>
              </w:rPr>
              <w:t>废气监测计划表</w:t>
            </w:r>
          </w:p>
          <w:tbl>
            <w:tblPr>
              <w:tblStyle w:val="4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1173"/>
              <w:gridCol w:w="1335"/>
              <w:gridCol w:w="1211"/>
              <w:gridCol w:w="1928"/>
              <w:gridCol w:w="1711"/>
              <w:gridCol w:w="5263"/>
            </w:tblGrid>
            <w:tr w14:paraId="12AD6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9" w:type="pct"/>
                  <w:vMerge w:val="restart"/>
                  <w:vAlign w:val="center"/>
                </w:tcPr>
                <w:p w14:paraId="13E149FF">
                  <w:pPr>
                    <w:pStyle w:val="124"/>
                    <w:bidi w:val="0"/>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项目</w:t>
                  </w:r>
                </w:p>
              </w:tc>
              <w:tc>
                <w:tcPr>
                  <w:tcW w:w="435" w:type="pct"/>
                  <w:vMerge w:val="restart"/>
                  <w:vAlign w:val="center"/>
                </w:tcPr>
                <w:p w14:paraId="6F3E76A4">
                  <w:pPr>
                    <w:pStyle w:val="124"/>
                    <w:bidi w:val="0"/>
                    <w:rPr>
                      <w:rFonts w:hint="default" w:ascii="Times New Roman" w:hAnsi="Times New Roman" w:cs="Times New Roman"/>
                      <w:b/>
                      <w:bCs/>
                      <w:color w:val="auto"/>
                      <w:highlight w:val="none"/>
                      <w:lang w:eastAsia="zh-CN"/>
                    </w:rPr>
                  </w:pPr>
                  <w:r>
                    <w:rPr>
                      <w:rFonts w:hint="default" w:ascii="Times New Roman" w:hAnsi="Times New Roman" w:cs="Times New Roman"/>
                      <w:b/>
                      <w:bCs/>
                      <w:color w:val="auto"/>
                      <w:highlight w:val="none"/>
                      <w:lang w:eastAsia="zh-CN"/>
                    </w:rPr>
                    <w:t>监测点位</w:t>
                  </w:r>
                </w:p>
              </w:tc>
              <w:tc>
                <w:tcPr>
                  <w:tcW w:w="495" w:type="pct"/>
                  <w:vMerge w:val="restart"/>
                  <w:vAlign w:val="center"/>
                </w:tcPr>
                <w:p w14:paraId="5535CBAB">
                  <w:pPr>
                    <w:pStyle w:val="124"/>
                    <w:bidi w:val="0"/>
                    <w:rPr>
                      <w:rFonts w:hint="default" w:ascii="Times New Roman" w:hAnsi="Times New Roman" w:cs="Times New Roman"/>
                      <w:b/>
                      <w:bCs/>
                      <w:color w:val="auto"/>
                      <w:highlight w:val="none"/>
                      <w:lang w:eastAsia="zh-CN"/>
                    </w:rPr>
                  </w:pPr>
                  <w:r>
                    <w:rPr>
                      <w:rFonts w:hint="default" w:ascii="Times New Roman" w:hAnsi="Times New Roman" w:cs="Times New Roman"/>
                      <w:b/>
                      <w:bCs/>
                      <w:color w:val="auto"/>
                      <w:highlight w:val="none"/>
                      <w:lang w:eastAsia="zh-CN"/>
                    </w:rPr>
                    <w:t>监测因子</w:t>
                  </w:r>
                </w:p>
              </w:tc>
              <w:tc>
                <w:tcPr>
                  <w:tcW w:w="449" w:type="pct"/>
                  <w:vMerge w:val="restart"/>
                  <w:vAlign w:val="center"/>
                </w:tcPr>
                <w:p w14:paraId="67578C36">
                  <w:pPr>
                    <w:pStyle w:val="124"/>
                    <w:bidi w:val="0"/>
                    <w:rPr>
                      <w:rFonts w:hint="default" w:ascii="Times New Roman" w:hAnsi="Times New Roman" w:cs="Times New Roman"/>
                      <w:b/>
                      <w:bCs/>
                      <w:color w:val="auto"/>
                      <w:highlight w:val="none"/>
                      <w:lang w:eastAsia="zh-CN"/>
                    </w:rPr>
                  </w:pPr>
                  <w:r>
                    <w:rPr>
                      <w:rFonts w:hint="default" w:ascii="Times New Roman" w:hAnsi="Times New Roman" w:cs="Times New Roman"/>
                      <w:b/>
                      <w:bCs/>
                      <w:color w:val="auto"/>
                      <w:highlight w:val="none"/>
                      <w:lang w:eastAsia="zh-CN"/>
                    </w:rPr>
                    <w:t>监测频次</w:t>
                  </w:r>
                </w:p>
              </w:tc>
              <w:tc>
                <w:tcPr>
                  <w:tcW w:w="3300" w:type="pct"/>
                  <w:gridSpan w:val="3"/>
                  <w:vAlign w:val="center"/>
                </w:tcPr>
                <w:p w14:paraId="6C8E4BDA">
                  <w:pPr>
                    <w:pStyle w:val="124"/>
                    <w:bidi w:val="0"/>
                    <w:rPr>
                      <w:rFonts w:hint="default" w:ascii="Times New Roman" w:hAnsi="Times New Roman" w:cs="Times New Roman"/>
                      <w:b/>
                      <w:bCs/>
                      <w:color w:val="auto"/>
                      <w:highlight w:val="none"/>
                      <w:lang w:eastAsia="zh-CN"/>
                    </w:rPr>
                  </w:pPr>
                  <w:r>
                    <w:rPr>
                      <w:rFonts w:hint="default" w:ascii="Times New Roman" w:hAnsi="Times New Roman" w:cs="Times New Roman"/>
                      <w:b/>
                      <w:bCs/>
                      <w:color w:val="auto"/>
                      <w:highlight w:val="none"/>
                      <w:lang w:eastAsia="zh-CN"/>
                    </w:rPr>
                    <w:t>执行标准</w:t>
                  </w:r>
                </w:p>
              </w:tc>
            </w:tr>
            <w:tr w14:paraId="31795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9" w:type="pct"/>
                  <w:vMerge w:val="continue"/>
                  <w:vAlign w:val="center"/>
                </w:tcPr>
                <w:p w14:paraId="31480C37">
                  <w:pPr>
                    <w:pStyle w:val="124"/>
                    <w:bidi w:val="0"/>
                    <w:rPr>
                      <w:rFonts w:hint="default" w:ascii="Times New Roman" w:hAnsi="Times New Roman" w:cs="Times New Roman"/>
                      <w:b/>
                      <w:bCs/>
                      <w:color w:val="auto"/>
                      <w:highlight w:val="none"/>
                      <w:lang w:eastAsia="zh-CN"/>
                    </w:rPr>
                  </w:pPr>
                </w:p>
              </w:tc>
              <w:tc>
                <w:tcPr>
                  <w:tcW w:w="435" w:type="pct"/>
                  <w:vMerge w:val="continue"/>
                  <w:vAlign w:val="center"/>
                </w:tcPr>
                <w:p w14:paraId="62A94522">
                  <w:pPr>
                    <w:pStyle w:val="124"/>
                    <w:bidi w:val="0"/>
                    <w:rPr>
                      <w:rFonts w:hint="default" w:ascii="Times New Roman" w:hAnsi="Times New Roman" w:cs="Times New Roman"/>
                      <w:b/>
                      <w:bCs/>
                      <w:color w:val="auto"/>
                      <w:highlight w:val="none"/>
                      <w:lang w:eastAsia="zh-CN"/>
                    </w:rPr>
                  </w:pPr>
                </w:p>
              </w:tc>
              <w:tc>
                <w:tcPr>
                  <w:tcW w:w="495" w:type="pct"/>
                  <w:vMerge w:val="continue"/>
                  <w:vAlign w:val="center"/>
                </w:tcPr>
                <w:p w14:paraId="0CBF4F46">
                  <w:pPr>
                    <w:pStyle w:val="124"/>
                    <w:bidi w:val="0"/>
                    <w:rPr>
                      <w:rFonts w:hint="default" w:ascii="Times New Roman" w:hAnsi="Times New Roman" w:cs="Times New Roman"/>
                      <w:b/>
                      <w:bCs/>
                      <w:color w:val="auto"/>
                      <w:highlight w:val="none"/>
                      <w:lang w:eastAsia="zh-CN"/>
                    </w:rPr>
                  </w:pPr>
                </w:p>
              </w:tc>
              <w:tc>
                <w:tcPr>
                  <w:tcW w:w="449" w:type="pct"/>
                  <w:vMerge w:val="continue"/>
                  <w:vAlign w:val="center"/>
                </w:tcPr>
                <w:p w14:paraId="1ACD0270">
                  <w:pPr>
                    <w:pStyle w:val="124"/>
                    <w:bidi w:val="0"/>
                    <w:rPr>
                      <w:rFonts w:hint="default" w:ascii="Times New Roman" w:hAnsi="Times New Roman" w:cs="Times New Roman"/>
                      <w:b/>
                      <w:bCs/>
                      <w:color w:val="auto"/>
                      <w:highlight w:val="none"/>
                      <w:lang w:eastAsia="zh-CN"/>
                    </w:rPr>
                  </w:pPr>
                </w:p>
              </w:tc>
              <w:tc>
                <w:tcPr>
                  <w:tcW w:w="715" w:type="pct"/>
                  <w:vAlign w:val="center"/>
                </w:tcPr>
                <w:p w14:paraId="79A99636">
                  <w:pPr>
                    <w:pStyle w:val="124"/>
                    <w:bidi w:val="0"/>
                    <w:rPr>
                      <w:rFonts w:hint="default" w:ascii="Times New Roman" w:hAnsi="Times New Roman" w:cs="Times New Roman"/>
                      <w:b/>
                      <w:bCs/>
                      <w:color w:val="auto"/>
                      <w:highlight w:val="none"/>
                      <w:lang w:eastAsia="zh-CN"/>
                    </w:rPr>
                  </w:pPr>
                  <w:r>
                    <w:rPr>
                      <w:rFonts w:hint="default" w:ascii="Times New Roman" w:hAnsi="Times New Roman" w:cs="Times New Roman"/>
                      <w:b/>
                      <w:bCs/>
                      <w:color w:val="auto"/>
                      <w:highlight w:val="none"/>
                      <w:lang w:eastAsia="zh-CN"/>
                    </w:rPr>
                    <w:t>排放浓度（mg/</w:t>
                  </w:r>
                  <w:r>
                    <w:rPr>
                      <w:rFonts w:hint="default" w:ascii="Times New Roman" w:hAnsi="Times New Roman" w:eastAsia="Times New Roman" w:cs="Times New Roman"/>
                      <w:b/>
                      <w:bCs/>
                      <w:color w:val="auto"/>
                      <w:highlight w:val="none"/>
                      <w:lang w:eastAsia="zh-CN"/>
                    </w:rPr>
                    <w:t>m³</w:t>
                  </w:r>
                  <w:r>
                    <w:rPr>
                      <w:rFonts w:hint="default" w:ascii="Times New Roman" w:hAnsi="Times New Roman" w:cs="Times New Roman"/>
                      <w:b/>
                      <w:bCs/>
                      <w:color w:val="auto"/>
                      <w:highlight w:val="none"/>
                      <w:lang w:eastAsia="zh-CN"/>
                    </w:rPr>
                    <w:t>）</w:t>
                  </w:r>
                </w:p>
              </w:tc>
              <w:tc>
                <w:tcPr>
                  <w:tcW w:w="634" w:type="pct"/>
                  <w:vAlign w:val="center"/>
                </w:tcPr>
                <w:p w14:paraId="31A03FF7">
                  <w:pPr>
                    <w:pStyle w:val="124"/>
                    <w:bidi w:val="0"/>
                    <w:rPr>
                      <w:rFonts w:hint="default" w:ascii="Times New Roman" w:hAnsi="Times New Roman" w:cs="Times New Roman"/>
                      <w:b/>
                      <w:bCs/>
                      <w:color w:val="auto"/>
                      <w:highlight w:val="none"/>
                      <w:lang w:eastAsia="zh-CN"/>
                    </w:rPr>
                  </w:pPr>
                  <w:r>
                    <w:rPr>
                      <w:rFonts w:hint="default" w:ascii="Times New Roman" w:hAnsi="Times New Roman" w:cs="Times New Roman"/>
                      <w:b/>
                      <w:bCs/>
                      <w:color w:val="auto"/>
                      <w:highlight w:val="none"/>
                      <w:lang w:eastAsia="zh-CN"/>
                    </w:rPr>
                    <w:t>最高允许排放速率（kg/h）</w:t>
                  </w:r>
                </w:p>
              </w:tc>
              <w:tc>
                <w:tcPr>
                  <w:tcW w:w="1950" w:type="pct"/>
                  <w:vAlign w:val="center"/>
                </w:tcPr>
                <w:p w14:paraId="080CD388">
                  <w:pPr>
                    <w:pStyle w:val="124"/>
                    <w:bidi w:val="0"/>
                    <w:rPr>
                      <w:rFonts w:hint="default" w:ascii="Times New Roman" w:hAnsi="Times New Roman" w:cs="Times New Roman"/>
                      <w:b/>
                      <w:bCs/>
                      <w:color w:val="auto"/>
                      <w:highlight w:val="none"/>
                      <w:lang w:eastAsia="zh-CN"/>
                    </w:rPr>
                  </w:pPr>
                  <w:r>
                    <w:rPr>
                      <w:rFonts w:hint="default" w:ascii="Times New Roman" w:hAnsi="Times New Roman" w:cs="Times New Roman"/>
                      <w:b/>
                      <w:bCs/>
                      <w:color w:val="auto"/>
                      <w:highlight w:val="none"/>
                      <w:lang w:eastAsia="zh-CN"/>
                    </w:rPr>
                    <w:t>标准名称</w:t>
                  </w:r>
                </w:p>
              </w:tc>
            </w:tr>
            <w:tr w14:paraId="5EC78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9" w:type="pct"/>
                  <w:vMerge w:val="restart"/>
                  <w:vAlign w:val="center"/>
                </w:tcPr>
                <w:p w14:paraId="5EAC2C31">
                  <w:pPr>
                    <w:pStyle w:val="12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无组织废气</w:t>
                  </w:r>
                </w:p>
              </w:tc>
              <w:tc>
                <w:tcPr>
                  <w:tcW w:w="435" w:type="pct"/>
                  <w:vMerge w:val="restart"/>
                  <w:vAlign w:val="center"/>
                </w:tcPr>
                <w:p w14:paraId="73BF6678">
                  <w:pPr>
                    <w:pStyle w:val="124"/>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厂界</w:t>
                  </w:r>
                </w:p>
              </w:tc>
              <w:tc>
                <w:tcPr>
                  <w:tcW w:w="495" w:type="pct"/>
                  <w:vAlign w:val="center"/>
                </w:tcPr>
                <w:p w14:paraId="417913B5">
                  <w:pPr>
                    <w:pStyle w:val="124"/>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val="en-US" w:eastAsia="zh-CN"/>
                    </w:rPr>
                    <w:t>颗粒物</w:t>
                  </w:r>
                </w:p>
              </w:tc>
              <w:tc>
                <w:tcPr>
                  <w:tcW w:w="449" w:type="pct"/>
                  <w:vAlign w:val="center"/>
                </w:tcPr>
                <w:p w14:paraId="69543588">
                  <w:pPr>
                    <w:pStyle w:val="124"/>
                    <w:bidi w:val="0"/>
                    <w:rPr>
                      <w:rFonts w:hint="eastAsia"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1次/</w:t>
                  </w:r>
                  <w:r>
                    <w:rPr>
                      <w:rFonts w:hint="eastAsia" w:cs="Times New Roman"/>
                      <w:color w:val="auto"/>
                      <w:highlight w:val="none"/>
                      <w:lang w:val="en-US" w:eastAsia="zh-CN"/>
                    </w:rPr>
                    <w:t>季度</w:t>
                  </w:r>
                </w:p>
              </w:tc>
              <w:tc>
                <w:tcPr>
                  <w:tcW w:w="715" w:type="pct"/>
                  <w:vAlign w:val="center"/>
                </w:tcPr>
                <w:p w14:paraId="4C379301">
                  <w:pPr>
                    <w:pStyle w:val="124"/>
                    <w:bidi w:val="0"/>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1.</w:t>
                  </w:r>
                  <w:r>
                    <w:rPr>
                      <w:rFonts w:hint="default" w:ascii="Times New Roman" w:hAnsi="Times New Roman" w:cs="Times New Roman"/>
                      <w:color w:val="auto"/>
                      <w:highlight w:val="none"/>
                      <w:lang w:val="en-US" w:eastAsia="zh-CN"/>
                    </w:rPr>
                    <w:t>0</w:t>
                  </w:r>
                </w:p>
              </w:tc>
              <w:tc>
                <w:tcPr>
                  <w:tcW w:w="634" w:type="pct"/>
                  <w:vAlign w:val="center"/>
                </w:tcPr>
                <w:p w14:paraId="00C33B31">
                  <w:pPr>
                    <w:pStyle w:val="124"/>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val="en-US" w:eastAsia="zh-CN"/>
                    </w:rPr>
                    <w:t>/</w:t>
                  </w:r>
                </w:p>
              </w:tc>
              <w:tc>
                <w:tcPr>
                  <w:tcW w:w="1950" w:type="pct"/>
                  <w:vAlign w:val="center"/>
                </w:tcPr>
                <w:p w14:paraId="53ACE966">
                  <w:pPr>
                    <w:pStyle w:val="12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广东省《大气污染物排放限值》（DB44/27-2001）第二时段排放限值</w:t>
                  </w:r>
                </w:p>
              </w:tc>
            </w:tr>
            <w:tr w14:paraId="7398C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9" w:type="pct"/>
                  <w:vMerge w:val="continue"/>
                  <w:vAlign w:val="center"/>
                </w:tcPr>
                <w:p w14:paraId="2EDBC806">
                  <w:pPr>
                    <w:pStyle w:val="124"/>
                    <w:bidi w:val="0"/>
                    <w:rPr>
                      <w:rFonts w:hint="default" w:ascii="Times New Roman" w:hAnsi="Times New Roman" w:cs="Times New Roman"/>
                      <w:color w:val="auto"/>
                      <w:highlight w:val="none"/>
                      <w:lang w:val="en-US" w:eastAsia="zh-CN"/>
                    </w:rPr>
                  </w:pPr>
                </w:p>
              </w:tc>
              <w:tc>
                <w:tcPr>
                  <w:tcW w:w="435" w:type="pct"/>
                  <w:vMerge w:val="continue"/>
                  <w:vAlign w:val="center"/>
                </w:tcPr>
                <w:p w14:paraId="7B91D363">
                  <w:pPr>
                    <w:pStyle w:val="124"/>
                    <w:bidi w:val="0"/>
                    <w:rPr>
                      <w:rFonts w:hint="default" w:ascii="Times New Roman" w:hAnsi="Times New Roman" w:cs="Times New Roman"/>
                      <w:color w:val="auto"/>
                      <w:highlight w:val="none"/>
                      <w:lang w:eastAsia="zh-CN"/>
                    </w:rPr>
                  </w:pPr>
                </w:p>
              </w:tc>
              <w:tc>
                <w:tcPr>
                  <w:tcW w:w="495" w:type="pct"/>
                  <w:vAlign w:val="center"/>
                </w:tcPr>
                <w:p w14:paraId="090F45F2">
                  <w:pPr>
                    <w:pStyle w:val="124"/>
                    <w:bidi w:val="0"/>
                    <w:ind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臭气浓度</w:t>
                  </w:r>
                </w:p>
              </w:tc>
              <w:tc>
                <w:tcPr>
                  <w:tcW w:w="449" w:type="pct"/>
                  <w:vAlign w:val="center"/>
                </w:tcPr>
                <w:p w14:paraId="06C0E524">
                  <w:pPr>
                    <w:pStyle w:val="124"/>
                    <w:bidi w:val="0"/>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1次/</w:t>
                  </w:r>
                  <w:r>
                    <w:rPr>
                      <w:rFonts w:hint="eastAsia" w:cs="Times New Roman"/>
                      <w:color w:val="auto"/>
                      <w:highlight w:val="none"/>
                      <w:lang w:val="en-US" w:eastAsia="zh-CN"/>
                    </w:rPr>
                    <w:t>季度</w:t>
                  </w:r>
                </w:p>
              </w:tc>
              <w:tc>
                <w:tcPr>
                  <w:tcW w:w="715" w:type="pct"/>
                  <w:vAlign w:val="center"/>
                </w:tcPr>
                <w:p w14:paraId="2F1BAAF0">
                  <w:pPr>
                    <w:pStyle w:val="124"/>
                    <w:bidi w:val="0"/>
                    <w:ind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20（无量纲）</w:t>
                  </w:r>
                </w:p>
              </w:tc>
              <w:tc>
                <w:tcPr>
                  <w:tcW w:w="634" w:type="pct"/>
                  <w:vAlign w:val="center"/>
                </w:tcPr>
                <w:p w14:paraId="37789ED8">
                  <w:pPr>
                    <w:pStyle w:val="124"/>
                    <w:bidi w:val="0"/>
                    <w:ind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c>
                <w:tcPr>
                  <w:tcW w:w="1950" w:type="pct"/>
                  <w:vAlign w:val="center"/>
                </w:tcPr>
                <w:p w14:paraId="27585BAB">
                  <w:pPr>
                    <w:pStyle w:val="124"/>
                    <w:bidi w:val="0"/>
                    <w:ind w:firstLine="0" w:firstLineChars="0"/>
                    <w:rPr>
                      <w:rFonts w:hint="default" w:ascii="Times New Roman" w:hAnsi="Times New Roman" w:cs="Times New Roman"/>
                      <w:color w:val="auto"/>
                      <w:highlight w:val="none"/>
                      <w:lang w:eastAsia="zh-CN"/>
                    </w:rPr>
                  </w:pPr>
                  <w:r>
                    <w:rPr>
                      <w:rFonts w:hint="default" w:ascii="Times New Roman" w:hAnsi="Times New Roman" w:eastAsia="Times New Roman" w:cs="Times New Roman"/>
                      <w:color w:val="auto"/>
                      <w:highlight w:val="none"/>
                      <w:lang w:val="en-US" w:eastAsia="zh-CN"/>
                    </w:rPr>
                    <w:t>《恶臭污染物排放标准》（GB 14554-93）表1二级标准中的新扩改建标准</w:t>
                  </w:r>
                </w:p>
              </w:tc>
            </w:tr>
          </w:tbl>
          <w:p w14:paraId="706FF971">
            <w:pPr>
              <w:pStyle w:val="30"/>
              <w:numPr>
                <w:ilvl w:val="0"/>
                <w:numId w:val="0"/>
              </w:numPr>
              <w:tabs>
                <w:tab w:val="left" w:pos="0"/>
              </w:tabs>
              <w:spacing w:after="0" w:line="360" w:lineRule="auto"/>
              <w:ind w:left="0" w:leftChars="0" w:firstLine="420" w:firstLineChars="0"/>
              <w:rPr>
                <w:rFonts w:hint="default" w:ascii="Times New Roman" w:hAnsi="Times New Roman" w:eastAsia="宋体" w:cs="Times New Roman"/>
                <w:b/>
                <w:bCs/>
                <w:color w:val="auto"/>
                <w:kern w:val="2"/>
                <w:sz w:val="24"/>
                <w:szCs w:val="24"/>
                <w:highlight w:val="none"/>
                <w:lang w:val="en-US" w:eastAsia="zh-CN" w:bidi="ar-SA"/>
              </w:rPr>
            </w:pPr>
          </w:p>
          <w:p w14:paraId="6077E021">
            <w:pPr>
              <w:pStyle w:val="21"/>
              <w:ind w:firstLine="480"/>
              <w:rPr>
                <w:rFonts w:hint="default" w:ascii="Times New Roman" w:hAnsi="Times New Roman" w:eastAsia="宋体" w:cs="Times New Roman"/>
                <w:color w:val="auto"/>
                <w:kern w:val="0"/>
                <w:highlight w:val="none"/>
                <w:lang w:val="en-US" w:eastAsia="zh-CN"/>
              </w:rPr>
            </w:pPr>
          </w:p>
        </w:tc>
      </w:tr>
    </w:tbl>
    <w:p w14:paraId="6E3161C1">
      <w:pPr>
        <w:rPr>
          <w:rFonts w:hint="default" w:ascii="Times New Roman" w:hAnsi="Times New Roman" w:eastAsia="宋体" w:cs="Times New Roman"/>
          <w:color w:val="auto"/>
          <w:highlight w:val="none"/>
        </w:rPr>
        <w:sectPr>
          <w:pgSz w:w="16838" w:h="11906" w:orient="landscape"/>
          <w:pgMar w:top="1797" w:right="1440" w:bottom="1797" w:left="1440" w:header="851" w:footer="680" w:gutter="0"/>
          <w:pgBorders>
            <w:top w:val="none" w:sz="0" w:space="0"/>
            <w:left w:val="none" w:sz="0" w:space="0"/>
            <w:bottom w:val="none" w:sz="0" w:space="0"/>
            <w:right w:val="none" w:sz="0" w:space="0"/>
          </w:pgBorders>
          <w:pgNumType w:fmt="decimal"/>
          <w:cols w:space="720" w:num="1"/>
          <w:docGrid w:type="linesAndChars" w:linePitch="312" w:charSpace="0"/>
        </w:sectPr>
      </w:pPr>
    </w:p>
    <w:tbl>
      <w:tblPr>
        <w:tblStyle w:val="4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072"/>
      </w:tblGrid>
      <w:tr w14:paraId="07C1B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4" w:hRule="atLeast"/>
        </w:trPr>
        <w:tc>
          <w:tcPr>
            <w:tcW w:w="249" w:type="pct"/>
            <w:vAlign w:val="center"/>
          </w:tcPr>
          <w:p w14:paraId="746C9628">
            <w:pPr>
              <w:numPr>
                <w:ilvl w:val="1"/>
                <w:numId w:val="0"/>
              </w:numPr>
              <w:tabs>
                <w:tab w:val="left" w:pos="420"/>
              </w:tabs>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运营期环境影响和保护措施</w:t>
            </w:r>
          </w:p>
        </w:tc>
        <w:tc>
          <w:tcPr>
            <w:tcW w:w="4750" w:type="pct"/>
            <w:vAlign w:val="center"/>
          </w:tcPr>
          <w:p w14:paraId="1BB173E9">
            <w:pPr>
              <w:pStyle w:val="30"/>
              <w:numPr>
                <w:ilvl w:val="0"/>
                <w:numId w:val="0"/>
              </w:numPr>
              <w:tabs>
                <w:tab w:val="left" w:pos="0"/>
              </w:tabs>
              <w:spacing w:after="0" w:line="360" w:lineRule="auto"/>
              <w:ind w:left="0" w:leftChars="0" w:firstLine="420" w:firstLineChars="0"/>
              <w:rPr>
                <w:rFonts w:hint="default" w:ascii="Times New Roman" w:hAnsi="Times New Roman" w:cs="Times New Roman"/>
                <w:b/>
                <w:bCs/>
                <w:color w:val="auto"/>
                <w:sz w:val="24"/>
                <w:highlight w:val="none"/>
              </w:rPr>
            </w:pPr>
            <w:r>
              <w:rPr>
                <w:rFonts w:hint="eastAsia" w:cs="Times New Roman"/>
                <w:b/>
                <w:bCs/>
                <w:color w:val="auto"/>
                <w:kern w:val="2"/>
                <w:sz w:val="24"/>
                <w:szCs w:val="24"/>
                <w:highlight w:val="none"/>
                <w:lang w:val="en-US" w:eastAsia="zh-CN" w:bidi="ar-SA"/>
              </w:rPr>
              <w:t>3</w:t>
            </w:r>
            <w:r>
              <w:rPr>
                <w:rFonts w:hint="default" w:ascii="Times New Roman" w:hAnsi="Times New Roman" w:eastAsia="宋体" w:cs="Times New Roman"/>
                <w:b/>
                <w:bCs/>
                <w:color w:val="auto"/>
                <w:kern w:val="2"/>
                <w:sz w:val="24"/>
                <w:szCs w:val="24"/>
                <w:highlight w:val="none"/>
                <w:lang w:val="en-US" w:eastAsia="zh-CN" w:bidi="ar-SA"/>
              </w:rPr>
              <w:t>、</w:t>
            </w:r>
            <w:r>
              <w:rPr>
                <w:rFonts w:hint="default" w:ascii="Times New Roman" w:hAnsi="Times New Roman" w:cs="Times New Roman"/>
                <w:b/>
                <w:bCs/>
                <w:color w:val="auto"/>
                <w:sz w:val="24"/>
                <w:highlight w:val="none"/>
              </w:rPr>
              <w:t>废气污染源源强核算分析</w:t>
            </w:r>
          </w:p>
          <w:p w14:paraId="49D72B81">
            <w:pPr>
              <w:ind w:firstLine="480" w:firstLineChars="20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sz w:val="24"/>
                <w:szCs w:val="24"/>
                <w:highlight w:val="none"/>
                <w:lang w:eastAsia="zh-CN"/>
              </w:rPr>
              <w:t>项目废气主要为</w:t>
            </w:r>
            <w:r>
              <w:rPr>
                <w:rFonts w:hint="eastAsia"/>
                <w:color w:val="auto"/>
                <w:lang w:val="en-US" w:eastAsia="zh-CN"/>
              </w:rPr>
              <w:t>卸料、</w:t>
            </w:r>
            <w:r>
              <w:rPr>
                <w:rFonts w:hint="eastAsia" w:cs="Times New Roman"/>
                <w:color w:val="auto"/>
                <w:sz w:val="24"/>
                <w:szCs w:val="24"/>
                <w:highlight w:val="none"/>
                <w:lang w:val="en-US" w:eastAsia="zh-CN"/>
              </w:rPr>
              <w:t>分拣、打包入库</w:t>
            </w:r>
            <w:r>
              <w:rPr>
                <w:rFonts w:hint="default" w:ascii="Times New Roman" w:hAnsi="Times New Roman" w:cs="Times New Roman"/>
                <w:color w:val="auto"/>
                <w:sz w:val="24"/>
                <w:szCs w:val="24"/>
                <w:highlight w:val="none"/>
                <w:lang w:val="en-US" w:eastAsia="zh-CN"/>
              </w:rPr>
              <w:t>工序</w:t>
            </w:r>
            <w:r>
              <w:rPr>
                <w:rFonts w:hint="eastAsia" w:cs="Times New Roman"/>
                <w:color w:val="auto"/>
                <w:sz w:val="24"/>
                <w:szCs w:val="24"/>
                <w:highlight w:val="none"/>
                <w:lang w:val="en-US" w:eastAsia="zh-CN"/>
              </w:rPr>
              <w:t>工序产生的</w:t>
            </w:r>
            <w:r>
              <w:rPr>
                <w:rFonts w:hint="default" w:ascii="Times New Roman" w:hAnsi="Times New Roman" w:cs="Times New Roman"/>
                <w:color w:val="auto"/>
                <w:sz w:val="24"/>
                <w:szCs w:val="24"/>
                <w:highlight w:val="none"/>
                <w:lang w:val="en-US" w:eastAsia="zh-CN"/>
              </w:rPr>
              <w:t>臭气浓度</w:t>
            </w:r>
            <w:r>
              <w:rPr>
                <w:rFonts w:hint="eastAsia"/>
                <w:color w:val="auto"/>
                <w:lang w:val="en-US" w:eastAsia="zh-CN"/>
              </w:rPr>
              <w:t>和</w:t>
            </w:r>
            <w:r>
              <w:rPr>
                <w:rFonts w:hint="eastAsia" w:cs="Times New Roman"/>
                <w:color w:val="auto"/>
                <w:sz w:val="24"/>
                <w:szCs w:val="24"/>
                <w:highlight w:val="none"/>
                <w:lang w:val="en-US" w:eastAsia="zh-CN"/>
              </w:rPr>
              <w:t>颗粒物</w:t>
            </w:r>
            <w:r>
              <w:rPr>
                <w:rFonts w:hint="default" w:ascii="Times New Roman" w:hAnsi="Times New Roman" w:cs="Times New Roman"/>
                <w:color w:val="auto"/>
                <w:sz w:val="24"/>
                <w:szCs w:val="24"/>
                <w:highlight w:val="none"/>
                <w:lang w:val="en-US" w:eastAsia="zh-CN"/>
              </w:rPr>
              <w:t>。</w:t>
            </w:r>
          </w:p>
          <w:p w14:paraId="71AC0ACD">
            <w:pPr>
              <w:pStyle w:val="21"/>
              <w:bidi w:val="0"/>
              <w:rPr>
                <w:rFonts w:hint="default" w:ascii="Times New Roman" w:hAnsi="Times New Roman" w:cs="Times New Roman"/>
                <w:color w:val="auto"/>
                <w:highlight w:val="none"/>
                <w:lang w:val="en-US" w:eastAsia="zh-CN"/>
              </w:rPr>
            </w:pPr>
            <w:r>
              <w:rPr>
                <w:rFonts w:hint="eastAsia" w:cs="Times New Roman"/>
                <w:b/>
                <w:bCs/>
                <w:color w:val="auto"/>
                <w:highlight w:val="none"/>
                <w:lang w:val="en-US" w:eastAsia="zh-CN"/>
              </w:rPr>
              <w:t>A</w:t>
            </w:r>
            <w:r>
              <w:rPr>
                <w:rFonts w:hint="default" w:ascii="Times New Roman" w:hAnsi="Times New Roman" w:cs="Times New Roman"/>
                <w:b/>
                <w:bCs/>
                <w:color w:val="auto"/>
                <w:highlight w:val="none"/>
                <w:lang w:val="en-US" w:eastAsia="zh-CN"/>
              </w:rPr>
              <w:t>.臭气浓度</w:t>
            </w:r>
          </w:p>
          <w:p w14:paraId="7D3ED12A">
            <w:pPr>
              <w:pStyle w:val="21"/>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项目</w:t>
            </w:r>
            <w:r>
              <w:rPr>
                <w:rFonts w:hint="eastAsia" w:cs="Times New Roman"/>
                <w:color w:val="auto"/>
                <w:highlight w:val="none"/>
                <w:lang w:val="en-US" w:eastAsia="zh-CN"/>
              </w:rPr>
              <w:t>在卸料、分拣、压实打包、入库堆放过程中</w:t>
            </w:r>
            <w:r>
              <w:rPr>
                <w:rFonts w:hint="default" w:ascii="Times New Roman" w:hAnsi="Times New Roman" w:cs="Times New Roman"/>
                <w:color w:val="auto"/>
                <w:highlight w:val="none"/>
                <w:lang w:val="en-US" w:eastAsia="zh-CN"/>
              </w:rPr>
              <w:t>会伴有异味产生，以臭气浓度为评价因子，</w:t>
            </w:r>
            <w:r>
              <w:rPr>
                <w:rFonts w:hint="default" w:ascii="Times New Roman" w:hAnsi="Times New Roman" w:eastAsia="宋体" w:cs="Times New Roman"/>
                <w:color w:val="auto"/>
                <w:sz w:val="24"/>
                <w:highlight w:val="none"/>
                <w:lang w:val="en-US" w:eastAsia="zh-CN"/>
              </w:rPr>
              <w:t>其产生量及浓度较低，本评价不进行定量分析</w:t>
            </w:r>
            <w:r>
              <w:rPr>
                <w:rFonts w:hint="default" w:ascii="Times New Roman" w:hAnsi="Times New Roman" w:cs="Times New Roman"/>
                <w:color w:val="auto"/>
                <w:highlight w:val="none"/>
                <w:lang w:val="en-US" w:eastAsia="zh-CN"/>
              </w:rPr>
              <w:t>。恶臭通过加强车间管理后以无组织形式在车间排放，对外环境影响较小。</w:t>
            </w:r>
          </w:p>
          <w:p w14:paraId="52ADF252">
            <w:pPr>
              <w:spacing w:line="360" w:lineRule="auto"/>
              <w:ind w:firstLine="480" w:firstLineChars="200"/>
              <w:rPr>
                <w:rFonts w:hint="default" w:ascii="Times New Roman" w:hAnsi="Times New Roman" w:cs="Times New Roman"/>
                <w:color w:val="auto"/>
                <w:highlight w:val="none"/>
                <w:lang w:val="en-US" w:eastAsia="zh-CN"/>
              </w:rPr>
            </w:pPr>
            <w:r>
              <w:rPr>
                <w:rFonts w:hint="eastAsia" w:cs="Times New Roman"/>
                <w:b/>
                <w:bCs/>
                <w:color w:val="auto"/>
                <w:highlight w:val="none"/>
                <w:lang w:val="en-US" w:eastAsia="zh-CN"/>
              </w:rPr>
              <w:t>B</w:t>
            </w:r>
            <w:r>
              <w:rPr>
                <w:rFonts w:hint="default" w:ascii="Times New Roman" w:hAnsi="Times New Roman" w:cs="Times New Roman"/>
                <w:b/>
                <w:bCs/>
                <w:color w:val="auto"/>
                <w:highlight w:val="none"/>
                <w:lang w:val="en-US" w:eastAsia="zh-CN"/>
              </w:rPr>
              <w:t>.颗粒物</w:t>
            </w:r>
          </w:p>
          <w:p w14:paraId="1A098649">
            <w:pPr>
              <w:pStyle w:val="21"/>
              <w:bidi w:val="0"/>
              <w:rPr>
                <w:rFonts w:hint="default" w:cs="Times New Roman"/>
                <w:color w:val="auto"/>
                <w:highlight w:val="none"/>
                <w:lang w:val="en-US" w:eastAsia="zh-CN"/>
              </w:rPr>
            </w:pPr>
            <w:r>
              <w:rPr>
                <w:rFonts w:hint="default" w:ascii="Times New Roman" w:hAnsi="Times New Roman" w:cs="Times New Roman"/>
                <w:color w:val="auto"/>
                <w:highlight w:val="none"/>
                <w:lang w:val="en-US" w:eastAsia="zh-CN"/>
              </w:rPr>
              <w:t>①</w:t>
            </w:r>
            <w:r>
              <w:rPr>
                <w:rFonts w:hint="eastAsia" w:cs="Times New Roman"/>
                <w:color w:val="auto"/>
                <w:highlight w:val="none"/>
                <w:lang w:val="en-US" w:eastAsia="zh-CN"/>
              </w:rPr>
              <w:t>卸料粉尘</w:t>
            </w:r>
          </w:p>
          <w:p w14:paraId="61B424A1">
            <w:pPr>
              <w:pStyle w:val="21"/>
              <w:bidi w:val="0"/>
              <w:rPr>
                <w:rFonts w:hint="eastAsia" w:cs="Times New Roman"/>
                <w:color w:val="auto"/>
                <w:highlight w:val="none"/>
                <w:lang w:val="en-US" w:eastAsia="zh-CN"/>
              </w:rPr>
            </w:pPr>
            <w:r>
              <w:rPr>
                <w:rFonts w:hint="eastAsia" w:cs="Times New Roman"/>
                <w:color w:val="auto"/>
                <w:highlight w:val="none"/>
                <w:lang w:val="en-US" w:eastAsia="zh-CN"/>
              </w:rPr>
              <w:t>一般固废原料在卸料过程中产生少量颗粒物。参考《逸散性工业粉尘控制技术》中“第十八章 粒料加工厂-表 18-1 粒料加工厂的逸散尘排放因子-1.卸料（卡车）-砂和砾石”产生系数为 0.01kg/t。本项目处理一般工业固体废物的规模合计约 8 万吨/年，则卸料的颗粒物产生量为0.8t/a，卸料工作的年工作时长以1300h计，废气产生速率为0.62kg/h。以无组织形式排放。</w:t>
            </w:r>
          </w:p>
          <w:p w14:paraId="7E2A9FB2">
            <w:pPr>
              <w:pStyle w:val="21"/>
              <w:bidi w:val="0"/>
              <w:rPr>
                <w:rFonts w:hint="eastAsia" w:cs="Times New Roman"/>
                <w:color w:val="auto"/>
                <w:highlight w:val="none"/>
                <w:lang w:val="en-US" w:eastAsia="zh-CN"/>
              </w:rPr>
            </w:pPr>
            <w:r>
              <w:rPr>
                <w:rFonts w:hint="default" w:ascii="Times New Roman" w:hAnsi="Times New Roman" w:cs="Times New Roman"/>
                <w:color w:val="auto"/>
                <w:highlight w:val="none"/>
                <w:lang w:val="en-US" w:eastAsia="zh-CN"/>
              </w:rPr>
              <w:t>②</w:t>
            </w:r>
            <w:r>
              <w:rPr>
                <w:rFonts w:hint="eastAsia" w:cs="Times New Roman"/>
                <w:color w:val="auto"/>
                <w:highlight w:val="none"/>
                <w:lang w:val="en-US" w:eastAsia="zh-CN"/>
              </w:rPr>
              <w:t>分拣粉尘</w:t>
            </w:r>
          </w:p>
          <w:p w14:paraId="6861DEB9">
            <w:pPr>
              <w:pStyle w:val="21"/>
              <w:bidi w:val="0"/>
              <w:rPr>
                <w:rFonts w:hint="default" w:cs="Times New Roman"/>
                <w:color w:val="auto"/>
                <w:highlight w:val="none"/>
                <w:lang w:val="en-US" w:eastAsia="zh-CN"/>
              </w:rPr>
            </w:pPr>
            <w:r>
              <w:rPr>
                <w:rFonts w:hint="eastAsia" w:cs="Times New Roman"/>
                <w:color w:val="auto"/>
                <w:highlight w:val="none"/>
                <w:lang w:val="en-US" w:eastAsia="zh-CN"/>
              </w:rPr>
              <w:t>一般固废原料在分拣过程中产生少量颗粒物。参考《逸散性工业粉尘控制技术》中“第十八章 粒料加工厂-表 18-1 粒料加工厂的逸散尘排放因子-砂和砾石一级破碎和筛选”排放系数为 0.05kg/t。因本项目无破碎工序，且使用人工分拣的方式，故排放系数取10%，即0.005kg/t。本项目处理一般工业固体废物的规模合计约 8 万吨/年，则分选的颗粒物产生量为0.4t/a，卸料工作的年工作时长以2600h计，废气产生速率为0.15kg/h。以无组织形式排放。</w:t>
            </w:r>
          </w:p>
          <w:p w14:paraId="1C7AB933">
            <w:pPr>
              <w:pStyle w:val="21"/>
              <w:bidi w:val="0"/>
              <w:rPr>
                <w:rFonts w:hint="default" w:cs="Times New Roman"/>
                <w:color w:val="auto"/>
                <w:highlight w:val="none"/>
                <w:lang w:val="en-US" w:eastAsia="zh-CN"/>
              </w:rPr>
            </w:pPr>
            <w:r>
              <w:rPr>
                <w:rFonts w:hint="default" w:cs="Times New Roman"/>
                <w:color w:val="auto"/>
                <w:highlight w:val="none"/>
                <w:lang w:val="en-US" w:eastAsia="zh-CN"/>
              </w:rPr>
              <w:t>③</w:t>
            </w:r>
            <w:r>
              <w:rPr>
                <w:rFonts w:hint="eastAsia" w:cs="Times New Roman"/>
                <w:color w:val="auto"/>
                <w:highlight w:val="none"/>
                <w:lang w:val="en-US" w:eastAsia="zh-CN"/>
              </w:rPr>
              <w:t>压实打包粉尘</w:t>
            </w:r>
          </w:p>
          <w:p w14:paraId="05AFA356">
            <w:pPr>
              <w:pStyle w:val="21"/>
              <w:bidi w:val="0"/>
              <w:rPr>
                <w:rFonts w:hint="default" w:cs="Times New Roman"/>
                <w:color w:val="auto"/>
                <w:highlight w:val="none"/>
                <w:lang w:val="en-US" w:eastAsia="zh-CN"/>
              </w:rPr>
            </w:pPr>
            <w:r>
              <w:rPr>
                <w:rFonts w:hint="eastAsia" w:cs="Times New Roman"/>
                <w:color w:val="auto"/>
                <w:highlight w:val="none"/>
                <w:lang w:val="en-US" w:eastAsia="zh-CN"/>
              </w:rPr>
              <w:t>一般固废原料在压实打包过程中产生少量颗粒物。参考《逸散性工业粉尘控制技术》中“粒料加工厂逸散尘的排放因子”，出料的排放因子为0.006kg/t（装料）。本项目处理一般工业固体废物的规模合计约 8 万吨/年，则分选的颗粒物产生量为0.48t/a，卸料工作的年工作时长以2600h计，废气产生速率为0.18kg/h。以无组织形式排放。</w:t>
            </w:r>
          </w:p>
          <w:p w14:paraId="7CDF6D8E">
            <w:pPr>
              <w:pStyle w:val="21"/>
              <w:bidi w:val="0"/>
              <w:rPr>
                <w:rFonts w:hint="default" w:cs="Times New Roman"/>
                <w:color w:val="auto"/>
                <w:highlight w:val="none"/>
                <w:lang w:val="en-US" w:eastAsia="zh-CN"/>
              </w:rPr>
            </w:pPr>
            <w:r>
              <w:rPr>
                <w:rFonts w:hint="default" w:cs="Times New Roman"/>
                <w:color w:val="auto"/>
                <w:highlight w:val="none"/>
                <w:lang w:val="en-US" w:eastAsia="zh-CN"/>
              </w:rPr>
              <w:t>④</w:t>
            </w:r>
            <w:r>
              <w:rPr>
                <w:rFonts w:hint="eastAsia" w:cs="Times New Roman"/>
                <w:color w:val="auto"/>
                <w:highlight w:val="none"/>
                <w:lang w:val="en-US" w:eastAsia="zh-CN"/>
              </w:rPr>
              <w:t>堆放粉尘</w:t>
            </w:r>
          </w:p>
          <w:p w14:paraId="24FCD79F">
            <w:pPr>
              <w:pStyle w:val="21"/>
              <w:bidi w:val="0"/>
              <w:rPr>
                <w:rFonts w:hint="default" w:cs="Times New Roman"/>
                <w:color w:val="auto"/>
                <w:highlight w:val="none"/>
                <w:lang w:val="en-US" w:eastAsia="zh-CN"/>
              </w:rPr>
            </w:pPr>
            <w:r>
              <w:rPr>
                <w:rFonts w:hint="eastAsia" w:cs="Times New Roman"/>
                <w:color w:val="auto"/>
                <w:highlight w:val="none"/>
                <w:lang w:val="en-US" w:eastAsia="zh-CN"/>
              </w:rPr>
              <w:t>一般固废原料在堆放过程中产生少量颗粒物。参照《逸散性工业粉尘控制技术》中“第十八章 粒料加工厂-表 18-1 粒料加工厂的逸散尘排放因子-7.贮堆-风蚀-砂和砾石”产生系数为 0.235kg/t。本项目处理一般工业固体废物的规模合计约 8 万吨/年，则堆放的颗粒物产生量为18.8t/a。参考《固体物料堆存颗粒物产排污核算系数手册》中颗粒物排放量核算：</w:t>
            </w:r>
          </w:p>
          <w:p w14:paraId="7F245366">
            <w:pPr>
              <w:pStyle w:val="21"/>
              <w:bidi w:val="0"/>
              <w:ind w:firstLine="0" w:firstLineChars="0"/>
              <w:jc w:val="center"/>
              <w:rPr>
                <w:rFonts w:hint="eastAsia" w:cs="Times New Roman"/>
                <w:color w:val="auto"/>
                <w:highlight w:val="none"/>
                <w:lang w:val="en-US" w:eastAsia="zh-CN"/>
              </w:rPr>
            </w:pPr>
            <w:r>
              <w:rPr>
                <w:color w:val="auto"/>
              </w:rPr>
              <w:drawing>
                <wp:inline distT="0" distB="0" distL="0" distR="0">
                  <wp:extent cx="2784475" cy="1342390"/>
                  <wp:effectExtent l="0" t="0" r="15875" b="10160"/>
                  <wp:docPr id="1030" name="图片 2"/>
                  <wp:cNvGraphicFramePr/>
                  <a:graphic xmlns:a="http://schemas.openxmlformats.org/drawingml/2006/main">
                    <a:graphicData uri="http://schemas.openxmlformats.org/drawingml/2006/picture">
                      <pic:pic xmlns:pic="http://schemas.openxmlformats.org/drawingml/2006/picture">
                        <pic:nvPicPr>
                          <pic:cNvPr id="1030" name="图片 2"/>
                          <pic:cNvPicPr/>
                        </pic:nvPicPr>
                        <pic:blipFill>
                          <a:blip r:embed="rId14" cstate="print"/>
                          <a:srcRect/>
                          <a:stretch>
                            <a:fillRect/>
                          </a:stretch>
                        </pic:blipFill>
                        <pic:spPr>
                          <a:xfrm>
                            <a:off x="0" y="0"/>
                            <a:ext cx="2784475" cy="1342390"/>
                          </a:xfrm>
                          <a:prstGeom prst="rect">
                            <a:avLst/>
                          </a:prstGeom>
                          <a:ln>
                            <a:noFill/>
                          </a:ln>
                        </pic:spPr>
                      </pic:pic>
                    </a:graphicData>
                  </a:graphic>
                </wp:inline>
              </w:drawing>
            </w:r>
          </w:p>
          <w:p w14:paraId="097691BD">
            <w:pPr>
              <w:pStyle w:val="21"/>
              <w:bidi w:val="0"/>
              <w:rPr>
                <w:rFonts w:hint="eastAsia" w:cs="Times New Roman"/>
                <w:color w:val="auto"/>
                <w:highlight w:val="none"/>
                <w:lang w:val="en-US" w:eastAsia="zh-CN"/>
              </w:rPr>
            </w:pPr>
            <w:r>
              <w:rPr>
                <w:rFonts w:hint="eastAsia" w:cs="Times New Roman"/>
                <w:color w:val="auto"/>
                <w:highlight w:val="none"/>
                <w:lang w:val="en-US" w:eastAsia="zh-CN"/>
              </w:rPr>
              <w:t>本项目使用编织袋覆盖的控制措施，故Cm取值为88%；堆场属于半敞开式，故Tm取值为60%。Uc=18.8t×（1-88%）×（1-60%）=0.90t。</w:t>
            </w:r>
          </w:p>
          <w:p w14:paraId="3569C412">
            <w:pPr>
              <w:pStyle w:val="21"/>
              <w:bidi w:val="0"/>
              <w:rPr>
                <w:rFonts w:hint="eastAsia" w:cs="Times New Roman"/>
                <w:color w:val="auto"/>
                <w:highlight w:val="none"/>
                <w:lang w:val="en-US" w:eastAsia="zh-CN"/>
              </w:rPr>
            </w:pPr>
            <w:r>
              <w:rPr>
                <w:rFonts w:hint="eastAsia" w:cs="Times New Roman"/>
                <w:color w:val="auto"/>
                <w:highlight w:val="none"/>
                <w:lang w:val="en-US" w:eastAsia="zh-CN"/>
              </w:rPr>
              <w:t>入库堆放过程中颗粒物的排放量为0.9t/a ，堆料年时长以8760h计，废气产生速率为0.10kg/h。以无组织形式排放。</w:t>
            </w:r>
          </w:p>
          <w:p w14:paraId="2975418B">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eastAsia" w:cs="Times New Roman"/>
                <w:b/>
                <w:bCs/>
                <w:color w:val="auto"/>
                <w:sz w:val="24"/>
                <w:highlight w:val="none"/>
                <w:lang w:val="en-US" w:eastAsia="zh-CN"/>
              </w:rPr>
              <w:t>4</w:t>
            </w:r>
            <w:r>
              <w:rPr>
                <w:rFonts w:hint="default" w:ascii="Times New Roman" w:hAnsi="Times New Roman" w:cs="Times New Roman"/>
                <w:b/>
                <w:bCs/>
                <w:color w:val="auto"/>
                <w:sz w:val="24"/>
                <w:highlight w:val="none"/>
                <w:lang w:val="en-US" w:eastAsia="zh-CN"/>
              </w:rPr>
              <w:t>、事故工况（非正常工况）废气污染物排放</w:t>
            </w:r>
          </w:p>
          <w:p w14:paraId="22349076">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本项目的非正常工况主要是污染物排放控制措施达不到应有效率，即</w:t>
            </w:r>
            <w:r>
              <w:rPr>
                <w:rFonts w:hint="eastAsia" w:cs="Times New Roman"/>
                <w:color w:val="auto"/>
                <w:sz w:val="24"/>
                <w:highlight w:val="none"/>
                <w:lang w:val="en-US" w:eastAsia="zh-CN"/>
              </w:rPr>
              <w:t>通风系统失效、打包机密封失效、生产过程操作不当</w:t>
            </w:r>
            <w:r>
              <w:rPr>
                <w:rFonts w:hint="default" w:ascii="Times New Roman" w:hAnsi="Times New Roman" w:cs="Times New Roman"/>
                <w:color w:val="auto"/>
                <w:sz w:val="24"/>
                <w:highlight w:val="none"/>
              </w:rPr>
              <w:t>，造成废气</w:t>
            </w:r>
            <w:r>
              <w:rPr>
                <w:rFonts w:hint="eastAsia" w:cs="Times New Roman"/>
                <w:color w:val="auto"/>
                <w:sz w:val="24"/>
                <w:highlight w:val="none"/>
                <w:lang w:val="en-US" w:eastAsia="zh-CN"/>
              </w:rPr>
              <w:t>堆积、废气排放量增大</w:t>
            </w:r>
            <w:r>
              <w:rPr>
                <w:rFonts w:hint="default" w:ascii="Times New Roman" w:hAnsi="Times New Roman" w:cs="Times New Roman"/>
                <w:color w:val="auto"/>
                <w:sz w:val="24"/>
                <w:highlight w:val="none"/>
              </w:rPr>
              <w:t>，其排放情况如下表。</w:t>
            </w:r>
          </w:p>
          <w:p w14:paraId="369439C0">
            <w:pPr>
              <w:widowControl/>
              <w:spacing w:line="240" w:lineRule="auto"/>
              <w:jc w:val="center"/>
              <w:rPr>
                <w:rFonts w:hint="default" w:ascii="Times New Roman" w:hAnsi="Times New Roman" w:cs="Times New Roman"/>
                <w:b/>
                <w:color w:val="auto"/>
                <w:sz w:val="21"/>
                <w:szCs w:val="21"/>
                <w:highlight w:val="none"/>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4-</w:t>
            </w:r>
            <w:r>
              <w:rPr>
                <w:rFonts w:hint="eastAsia" w:cs="Times New Roman"/>
                <w:b/>
                <w:bCs/>
                <w:color w:val="auto"/>
                <w:sz w:val="21"/>
                <w:szCs w:val="21"/>
                <w:highlight w:val="none"/>
                <w:lang w:val="en-US" w:eastAsia="zh-CN"/>
              </w:rPr>
              <w:t>3</w:t>
            </w:r>
            <w:r>
              <w:rPr>
                <w:rFonts w:hint="default" w:ascii="Times New Roman" w:hAnsi="Times New Roman" w:cs="Times New Roman"/>
                <w:b/>
                <w:color w:val="auto"/>
                <w:sz w:val="21"/>
                <w:szCs w:val="21"/>
                <w:highlight w:val="none"/>
              </w:rPr>
              <w:t>非正常工况废气排放情况</w:t>
            </w:r>
          </w:p>
          <w:tbl>
            <w:tblPr>
              <w:tblStyle w:val="44"/>
              <w:tblW w:w="4997" w:type="pct"/>
              <w:jc w:val="center"/>
              <w:tblBorders>
                <w:top w:val="single" w:color="auto" w:sz="4" w:space="0"/>
                <w:left w:val="single" w:color="auto" w:sz="4" w:space="0"/>
                <w:bottom w:val="single" w:color="auto" w:sz="4" w:space="0"/>
                <w:right w:val="single" w:color="auto" w:sz="6" w:space="0"/>
                <w:insideH w:val="single" w:color="auto" w:sz="4" w:space="0"/>
                <w:insideV w:val="single" w:color="auto" w:sz="4" w:space="0"/>
              </w:tblBorders>
              <w:tblLayout w:type="autofit"/>
              <w:tblCellMar>
                <w:top w:w="0" w:type="dxa"/>
                <w:left w:w="57" w:type="dxa"/>
                <w:bottom w:w="0" w:type="dxa"/>
                <w:right w:w="57" w:type="dxa"/>
              </w:tblCellMar>
            </w:tblPr>
            <w:tblGrid>
              <w:gridCol w:w="1263"/>
              <w:gridCol w:w="1270"/>
              <w:gridCol w:w="1493"/>
              <w:gridCol w:w="1728"/>
              <w:gridCol w:w="1040"/>
              <w:gridCol w:w="1044"/>
            </w:tblGrid>
            <w:tr w14:paraId="73F2691F">
              <w:tblPrEx>
                <w:tblBorders>
                  <w:top w:val="single" w:color="auto" w:sz="4" w:space="0"/>
                  <w:left w:val="single" w:color="auto" w:sz="4" w:space="0"/>
                  <w:bottom w:val="single" w:color="auto" w:sz="4" w:space="0"/>
                  <w:right w:val="single" w:color="auto" w:sz="6"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806" w:type="pct"/>
                  <w:vMerge w:val="restart"/>
                  <w:tcBorders>
                    <w:tl2br w:val="nil"/>
                    <w:tr2bl w:val="nil"/>
                  </w:tcBorders>
                  <w:vAlign w:val="center"/>
                </w:tcPr>
                <w:p w14:paraId="6C184678">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污染源</w:t>
                  </w:r>
                </w:p>
              </w:tc>
              <w:tc>
                <w:tcPr>
                  <w:tcW w:w="810" w:type="pct"/>
                  <w:vMerge w:val="restart"/>
                  <w:tcBorders>
                    <w:tl2br w:val="nil"/>
                    <w:tr2bl w:val="nil"/>
                  </w:tcBorders>
                  <w:vAlign w:val="center"/>
                </w:tcPr>
                <w:p w14:paraId="5C772180">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污染物名称</w:t>
                  </w:r>
                </w:p>
              </w:tc>
              <w:tc>
                <w:tcPr>
                  <w:tcW w:w="952" w:type="pct"/>
                  <w:vMerge w:val="restart"/>
                  <w:tcBorders>
                    <w:tl2br w:val="nil"/>
                    <w:tr2bl w:val="nil"/>
                  </w:tcBorders>
                  <w:vAlign w:val="center"/>
                </w:tcPr>
                <w:p w14:paraId="4F46AC51">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非正常排放</w:t>
                  </w:r>
                </w:p>
                <w:p w14:paraId="6FA88312">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原因</w:t>
                  </w:r>
                </w:p>
              </w:tc>
              <w:tc>
                <w:tcPr>
                  <w:tcW w:w="2431" w:type="pct"/>
                  <w:gridSpan w:val="3"/>
                  <w:tcBorders>
                    <w:tl2br w:val="nil"/>
                    <w:tr2bl w:val="nil"/>
                  </w:tcBorders>
                  <w:vAlign w:val="center"/>
                </w:tcPr>
                <w:p w14:paraId="1424B4ED">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非正常排放状况</w:t>
                  </w:r>
                </w:p>
              </w:tc>
            </w:tr>
            <w:tr w14:paraId="14FC9EC3">
              <w:tblPrEx>
                <w:tblBorders>
                  <w:top w:val="single" w:color="auto" w:sz="4" w:space="0"/>
                  <w:left w:val="single" w:color="auto" w:sz="4" w:space="0"/>
                  <w:bottom w:val="single" w:color="auto" w:sz="4" w:space="0"/>
                  <w:right w:val="single" w:color="auto" w:sz="6"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806" w:type="pct"/>
                  <w:vMerge w:val="continue"/>
                  <w:tcBorders>
                    <w:tl2br w:val="nil"/>
                    <w:tr2bl w:val="nil"/>
                  </w:tcBorders>
                  <w:vAlign w:val="center"/>
                </w:tcPr>
                <w:p w14:paraId="7AA0CA5F">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b/>
                      <w:color w:val="auto"/>
                      <w:sz w:val="21"/>
                      <w:szCs w:val="21"/>
                      <w:highlight w:val="none"/>
                    </w:rPr>
                  </w:pPr>
                </w:p>
              </w:tc>
              <w:tc>
                <w:tcPr>
                  <w:tcW w:w="810" w:type="pct"/>
                  <w:vMerge w:val="continue"/>
                  <w:tcBorders>
                    <w:tl2br w:val="nil"/>
                    <w:tr2bl w:val="nil"/>
                  </w:tcBorders>
                  <w:vAlign w:val="center"/>
                </w:tcPr>
                <w:p w14:paraId="37BD8C72">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b/>
                      <w:color w:val="auto"/>
                      <w:sz w:val="21"/>
                      <w:szCs w:val="21"/>
                      <w:highlight w:val="none"/>
                    </w:rPr>
                  </w:pPr>
                </w:p>
              </w:tc>
              <w:tc>
                <w:tcPr>
                  <w:tcW w:w="952" w:type="pct"/>
                  <w:vMerge w:val="continue"/>
                  <w:tcBorders>
                    <w:tl2br w:val="nil"/>
                    <w:tr2bl w:val="nil"/>
                  </w:tcBorders>
                  <w:vAlign w:val="center"/>
                </w:tcPr>
                <w:p w14:paraId="74F0899F">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b/>
                      <w:color w:val="auto"/>
                      <w:sz w:val="21"/>
                      <w:szCs w:val="21"/>
                      <w:highlight w:val="none"/>
                    </w:rPr>
                  </w:pPr>
                </w:p>
              </w:tc>
              <w:tc>
                <w:tcPr>
                  <w:tcW w:w="1102" w:type="pct"/>
                  <w:tcBorders>
                    <w:tl2br w:val="nil"/>
                    <w:tr2bl w:val="nil"/>
                  </w:tcBorders>
                  <w:vAlign w:val="center"/>
                </w:tcPr>
                <w:p w14:paraId="33FCEF2A">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频次及持续时间</w:t>
                  </w:r>
                </w:p>
              </w:tc>
              <w:tc>
                <w:tcPr>
                  <w:tcW w:w="663" w:type="pct"/>
                  <w:tcBorders>
                    <w:tl2br w:val="nil"/>
                    <w:tr2bl w:val="nil"/>
                  </w:tcBorders>
                  <w:vAlign w:val="center"/>
                </w:tcPr>
                <w:p w14:paraId="0F3CD83B">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b/>
                      <w:color w:val="auto"/>
                      <w:sz w:val="21"/>
                      <w:szCs w:val="21"/>
                      <w:highlight w:val="none"/>
                      <w:lang w:eastAsia="zh-CN"/>
                    </w:rPr>
                  </w:pPr>
                  <w:r>
                    <w:rPr>
                      <w:rFonts w:hint="default" w:ascii="Times New Roman" w:hAnsi="Times New Roman" w:cs="Times New Roman"/>
                      <w:b/>
                      <w:color w:val="auto"/>
                      <w:sz w:val="21"/>
                      <w:szCs w:val="21"/>
                      <w:highlight w:val="none"/>
                      <w:lang w:eastAsia="zh-CN"/>
                    </w:rPr>
                    <w:t>排放速率</w:t>
                  </w:r>
                </w:p>
                <w:p w14:paraId="5A65EE55">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lang w:val="en-US" w:eastAsia="zh-CN"/>
                    </w:rPr>
                    <w:t>kg/h</w:t>
                  </w:r>
                </w:p>
              </w:tc>
              <w:tc>
                <w:tcPr>
                  <w:tcW w:w="665" w:type="pct"/>
                  <w:tcBorders>
                    <w:tl2br w:val="nil"/>
                    <w:tr2bl w:val="nil"/>
                  </w:tcBorders>
                  <w:vAlign w:val="center"/>
                </w:tcPr>
                <w:p w14:paraId="226196E0">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b/>
                      <w:color w:val="auto"/>
                      <w:sz w:val="21"/>
                      <w:szCs w:val="21"/>
                      <w:highlight w:val="none"/>
                      <w:lang w:eastAsia="zh-CN"/>
                    </w:rPr>
                  </w:pPr>
                  <w:r>
                    <w:rPr>
                      <w:rFonts w:hint="default" w:ascii="Times New Roman" w:hAnsi="Times New Roman" w:cs="Times New Roman"/>
                      <w:b/>
                      <w:color w:val="auto"/>
                      <w:sz w:val="21"/>
                      <w:szCs w:val="21"/>
                      <w:highlight w:val="none"/>
                      <w:lang w:eastAsia="zh-CN"/>
                    </w:rPr>
                    <w:t>排放浓度</w:t>
                  </w:r>
                </w:p>
                <w:p w14:paraId="63C99C60">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lang w:val="en-US" w:eastAsia="zh-CN"/>
                    </w:rPr>
                    <w:t>mg/m</w:t>
                  </w:r>
                  <w:r>
                    <w:rPr>
                      <w:rFonts w:hint="default" w:ascii="Times New Roman" w:hAnsi="Times New Roman" w:cs="Times New Roman"/>
                      <w:b/>
                      <w:color w:val="auto"/>
                      <w:sz w:val="21"/>
                      <w:szCs w:val="21"/>
                      <w:highlight w:val="none"/>
                      <w:vertAlign w:val="superscript"/>
                      <w:lang w:val="en-US" w:eastAsia="zh-CN"/>
                    </w:rPr>
                    <w:t>3</w:t>
                  </w:r>
                </w:p>
              </w:tc>
            </w:tr>
            <w:tr w14:paraId="1ECFD277">
              <w:tblPrEx>
                <w:tblBorders>
                  <w:top w:val="single" w:color="auto" w:sz="4" w:space="0"/>
                  <w:left w:val="single" w:color="auto" w:sz="4" w:space="0"/>
                  <w:bottom w:val="single" w:color="auto" w:sz="4" w:space="0"/>
                  <w:right w:val="single" w:color="auto" w:sz="6" w:space="0"/>
                  <w:insideH w:val="single" w:color="auto" w:sz="4" w:space="0"/>
                  <w:insideV w:val="single" w:color="auto" w:sz="4" w:space="0"/>
                </w:tblBorders>
                <w:tblCellMar>
                  <w:top w:w="0" w:type="dxa"/>
                  <w:left w:w="57" w:type="dxa"/>
                  <w:bottom w:w="0" w:type="dxa"/>
                  <w:right w:w="57" w:type="dxa"/>
                </w:tblCellMar>
              </w:tblPrEx>
              <w:trPr>
                <w:cantSplit/>
                <w:trHeight w:val="713" w:hRule="atLeast"/>
                <w:jc w:val="center"/>
              </w:trPr>
              <w:tc>
                <w:tcPr>
                  <w:tcW w:w="806" w:type="pct"/>
                  <w:tcBorders>
                    <w:tl2br w:val="nil"/>
                    <w:tr2bl w:val="nil"/>
                  </w:tcBorders>
                  <w:vAlign w:val="center"/>
                </w:tcPr>
                <w:p w14:paraId="1188A12B">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人工分拣线</w:t>
                  </w:r>
                </w:p>
              </w:tc>
              <w:tc>
                <w:tcPr>
                  <w:tcW w:w="810" w:type="pct"/>
                  <w:tcBorders>
                    <w:tl2br w:val="nil"/>
                    <w:tr2bl w:val="nil"/>
                  </w:tcBorders>
                  <w:vAlign w:val="center"/>
                </w:tcPr>
                <w:p w14:paraId="5B45673F">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颗粒物</w:t>
                  </w:r>
                </w:p>
              </w:tc>
              <w:tc>
                <w:tcPr>
                  <w:tcW w:w="952" w:type="pct"/>
                  <w:tcBorders>
                    <w:tl2br w:val="nil"/>
                    <w:tr2bl w:val="nil"/>
                  </w:tcBorders>
                  <w:vAlign w:val="center"/>
                </w:tcPr>
                <w:p w14:paraId="0D282534">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操作不当</w:t>
                  </w:r>
                </w:p>
              </w:tc>
              <w:tc>
                <w:tcPr>
                  <w:tcW w:w="1102" w:type="pct"/>
                  <w:tcBorders>
                    <w:top w:val="single" w:color="000000" w:sz="4" w:space="0"/>
                    <w:bottom w:val="single" w:color="000000" w:sz="4" w:space="0"/>
                    <w:tl2br w:val="nil"/>
                    <w:tr2bl w:val="nil"/>
                  </w:tcBorders>
                  <w:vAlign w:val="center"/>
                </w:tcPr>
                <w:p w14:paraId="5CF8E99E">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1次/a，1h/次</w:t>
                  </w:r>
                </w:p>
              </w:tc>
              <w:tc>
                <w:tcPr>
                  <w:tcW w:w="663" w:type="pct"/>
                  <w:tcBorders>
                    <w:tl2br w:val="nil"/>
                    <w:tr2bl w:val="nil"/>
                  </w:tcBorders>
                  <w:vAlign w:val="center"/>
                </w:tcPr>
                <w:p w14:paraId="110A10E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i w:val="0"/>
                      <w:iCs w:val="0"/>
                      <w:color w:val="auto"/>
                      <w:kern w:val="0"/>
                      <w:sz w:val="21"/>
                      <w:szCs w:val="21"/>
                      <w:highlight w:val="none"/>
                      <w:u w:val="none"/>
                      <w:lang w:val="en-US" w:eastAsia="zh-CN"/>
                    </w:rPr>
                  </w:pPr>
                  <w:r>
                    <w:rPr>
                      <w:rFonts w:hint="eastAsia" w:cs="Times New Roman"/>
                      <w:i w:val="0"/>
                      <w:iCs w:val="0"/>
                      <w:color w:val="auto"/>
                      <w:kern w:val="0"/>
                      <w:sz w:val="21"/>
                      <w:szCs w:val="21"/>
                      <w:highlight w:val="none"/>
                      <w:u w:val="none"/>
                      <w:lang w:val="en-US" w:eastAsia="zh-CN"/>
                    </w:rPr>
                    <w:t>0.15</w:t>
                  </w:r>
                </w:p>
              </w:tc>
              <w:tc>
                <w:tcPr>
                  <w:tcW w:w="665" w:type="pct"/>
                  <w:tcBorders>
                    <w:tl2br w:val="nil"/>
                    <w:tr2bl w:val="nil"/>
                  </w:tcBorders>
                  <w:vAlign w:val="center"/>
                </w:tcPr>
                <w:p w14:paraId="106AA16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w:t>
                  </w:r>
                </w:p>
              </w:tc>
            </w:tr>
          </w:tbl>
          <w:p w14:paraId="76B97951">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由上表可知，在非正常工况下污染物的排放大幅增加。为防止生产废气非正常工况排放，企业必须加强设施管理，定期检修，确保设施正常运行，在设备停止运行或出现故障时，产生废气的各工序也必须相应停止操作。为防止废气非正常排放，应采取以下措施确保废气达标排放：</w:t>
            </w:r>
          </w:p>
          <w:p w14:paraId="2B5E8691">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①安排专人负责环保设备的日常维护和管理，</w:t>
            </w:r>
            <w:r>
              <w:rPr>
                <w:rFonts w:hint="default" w:ascii="Times New Roman" w:hAnsi="Times New Roman" w:cs="Times New Roman"/>
                <w:color w:val="auto"/>
                <w:sz w:val="24"/>
                <w:highlight w:val="none"/>
                <w:lang w:eastAsia="zh-CN"/>
              </w:rPr>
              <w:t>每隔</w:t>
            </w:r>
            <w:r>
              <w:rPr>
                <w:rFonts w:hint="default" w:ascii="Times New Roman" w:hAnsi="Times New Roman" w:cs="Times New Roman"/>
                <w:color w:val="auto"/>
                <w:sz w:val="24"/>
                <w:highlight w:val="none"/>
              </w:rPr>
              <w:t>固定时间检查、汇报情况，及时发现设备的隐患，确保</w:t>
            </w:r>
            <w:r>
              <w:rPr>
                <w:rFonts w:hint="eastAsia" w:cs="Times New Roman"/>
                <w:color w:val="auto"/>
                <w:sz w:val="24"/>
                <w:highlight w:val="none"/>
                <w:lang w:val="en-US" w:eastAsia="zh-CN"/>
              </w:rPr>
              <w:t>设备</w:t>
            </w:r>
            <w:r>
              <w:rPr>
                <w:rFonts w:hint="default" w:ascii="Times New Roman" w:hAnsi="Times New Roman" w:cs="Times New Roman"/>
                <w:color w:val="auto"/>
                <w:sz w:val="24"/>
                <w:highlight w:val="none"/>
              </w:rPr>
              <w:t>正常运行；</w:t>
            </w:r>
          </w:p>
          <w:p w14:paraId="55BF31A7">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②应定期维护、检修</w:t>
            </w:r>
            <w:r>
              <w:rPr>
                <w:rFonts w:hint="eastAsia" w:cs="Times New Roman"/>
                <w:color w:val="auto"/>
                <w:sz w:val="24"/>
                <w:highlight w:val="none"/>
                <w:lang w:val="en-US" w:eastAsia="zh-CN"/>
              </w:rPr>
              <w:t>设施</w:t>
            </w:r>
            <w:r>
              <w:rPr>
                <w:rFonts w:hint="default" w:ascii="Times New Roman" w:hAnsi="Times New Roman" w:cs="Times New Roman"/>
                <w:color w:val="auto"/>
                <w:sz w:val="24"/>
                <w:highlight w:val="none"/>
                <w:lang w:eastAsia="zh-CN"/>
              </w:rPr>
              <w:t>。</w:t>
            </w:r>
          </w:p>
          <w:p w14:paraId="0FB9EBD5">
            <w:pPr>
              <w:spacing w:line="360" w:lineRule="auto"/>
              <w:ind w:firstLine="480" w:firstLineChars="200"/>
              <w:rPr>
                <w:rFonts w:hint="default" w:ascii="Times New Roman" w:hAnsi="Times New Roman" w:eastAsia="宋体" w:cs="Times New Roman"/>
                <w:b/>
                <w:bCs/>
                <w:color w:val="auto"/>
                <w:sz w:val="24"/>
                <w:highlight w:val="none"/>
                <w:lang w:val="en-US" w:eastAsia="zh-CN"/>
              </w:rPr>
            </w:pPr>
            <w:r>
              <w:rPr>
                <w:rFonts w:hint="eastAsia" w:cs="Times New Roman"/>
                <w:b/>
                <w:bCs/>
                <w:color w:val="auto"/>
                <w:sz w:val="24"/>
                <w:highlight w:val="none"/>
                <w:lang w:val="en-US" w:eastAsia="zh-CN"/>
              </w:rPr>
              <w:t>5</w:t>
            </w:r>
            <w:r>
              <w:rPr>
                <w:rFonts w:hint="default" w:ascii="Times New Roman" w:hAnsi="Times New Roman" w:cs="Times New Roman"/>
                <w:b/>
                <w:bCs/>
                <w:color w:val="auto"/>
                <w:sz w:val="24"/>
                <w:highlight w:val="none"/>
                <w:lang w:val="en-US" w:eastAsia="zh-CN"/>
              </w:rPr>
              <w:t>、废气影响分析</w:t>
            </w:r>
          </w:p>
          <w:p w14:paraId="3597FFBA">
            <w:pPr>
              <w:pStyle w:val="21"/>
              <w:bidi w:val="0"/>
              <w:ind w:firstLine="48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项目所在区域环境质量现状基本污染物均达标。属于达标区，项目500m范围内存在大气环境保护目标。通过加强车间通风等措施，且原料入库后及时分拣压实，减少</w:t>
            </w:r>
            <w:r>
              <w:rPr>
                <w:rFonts w:hint="eastAsia"/>
                <w:color w:val="auto"/>
                <w:highlight w:val="none"/>
              </w:rPr>
              <w:t>废塑料、废纸张、废纺织品等易腐败物质在厂内停留时间，减少发酵产臭</w:t>
            </w:r>
            <w:r>
              <w:rPr>
                <w:rFonts w:hint="eastAsia" w:cs="Times New Roman"/>
                <w:color w:val="auto"/>
                <w:highlight w:val="none"/>
                <w:lang w:val="en-US" w:eastAsia="zh-CN"/>
              </w:rPr>
              <w:t>。</w:t>
            </w:r>
            <w:r>
              <w:rPr>
                <w:rFonts w:hint="default" w:ascii="Times New Roman" w:hAnsi="Times New Roman" w:cs="Times New Roman"/>
                <w:color w:val="auto"/>
                <w:highlight w:val="none"/>
                <w:lang w:eastAsia="zh-CN"/>
              </w:rPr>
              <w:t>根据工程分析可知，</w:t>
            </w:r>
            <w:r>
              <w:rPr>
                <w:rFonts w:hint="default" w:ascii="Times New Roman" w:hAnsi="Times New Roman" w:cs="Times New Roman"/>
                <w:color w:val="auto"/>
                <w:highlight w:val="none"/>
                <w:lang w:val="en-US" w:eastAsia="zh-CN"/>
              </w:rPr>
              <w:t>厂界无组织颗粒物的排放</w:t>
            </w:r>
            <w:r>
              <w:rPr>
                <w:rFonts w:hint="default" w:ascii="Times New Roman" w:hAnsi="Times New Roman" w:cs="Times New Roman"/>
                <w:color w:val="auto"/>
                <w:highlight w:val="none"/>
                <w:lang w:eastAsia="zh-CN"/>
              </w:rPr>
              <w:t>可达到广东省《大气污染物排放限值》（DB44/27-2001）第二时段排放限值，</w:t>
            </w:r>
            <w:r>
              <w:rPr>
                <w:rFonts w:hint="eastAsia" w:ascii="Times New Roman" w:hAnsi="Times New Roman" w:cs="Times New Roman"/>
                <w:color w:val="auto"/>
                <w:sz w:val="24"/>
                <w:lang w:val="en-US" w:eastAsia="zh-CN"/>
              </w:rPr>
              <w:t>臭气浓度</w:t>
            </w:r>
            <w:r>
              <w:rPr>
                <w:rFonts w:hint="default" w:ascii="Times New Roman" w:hAnsi="Times New Roman" w:eastAsia="宋体" w:cs="Times New Roman"/>
                <w:color w:val="auto"/>
                <w:sz w:val="24"/>
              </w:rPr>
              <w:t>无组织排放</w:t>
            </w:r>
            <w:r>
              <w:rPr>
                <w:rFonts w:hint="eastAsia" w:ascii="Times New Roman" w:hAnsi="Times New Roman" w:eastAsia="宋体" w:cs="Times New Roman"/>
                <w:color w:val="auto"/>
                <w:sz w:val="24"/>
                <w:lang w:val="en-US" w:eastAsia="zh-CN"/>
              </w:rPr>
              <w:t>可达到</w:t>
            </w:r>
            <w:r>
              <w:rPr>
                <w:rFonts w:hint="default" w:ascii="Times New Roman" w:hAnsi="Times New Roman" w:eastAsia="宋体" w:cs="Times New Roman"/>
                <w:color w:val="auto"/>
                <w:sz w:val="24"/>
              </w:rPr>
              <w:t>《恶臭污染物排放标准》（GB14554-93）中表1恶臭污染物厂界标准值二级新扩改建标准</w:t>
            </w:r>
            <w:r>
              <w:rPr>
                <w:rFonts w:hint="eastAsia" w:ascii="Times New Roman" w:hAnsi="Times New Roman" w:eastAsia="宋体" w:cs="Times New Roman"/>
                <w:color w:val="auto"/>
                <w:sz w:val="24"/>
                <w:lang w:val="en-US" w:eastAsia="zh-CN"/>
              </w:rPr>
              <w:t>要求</w:t>
            </w:r>
            <w:r>
              <w:rPr>
                <w:rFonts w:hint="eastAsia" w:ascii="Times New Roman" w:hAnsi="Times New Roman" w:cs="Times New Roman"/>
                <w:color w:val="auto"/>
                <w:sz w:val="24"/>
                <w:lang w:eastAsia="zh-CN"/>
              </w:rPr>
              <w:t>，</w:t>
            </w:r>
            <w:r>
              <w:rPr>
                <w:rFonts w:hint="default" w:ascii="Times New Roman" w:hAnsi="Times New Roman" w:cs="Times New Roman"/>
                <w:color w:val="auto"/>
                <w:highlight w:val="none"/>
                <w:lang w:eastAsia="zh-CN"/>
              </w:rPr>
              <w:t>对周围环境影响不大</w:t>
            </w:r>
            <w:r>
              <w:rPr>
                <w:rFonts w:hint="eastAsia" w:cs="Times New Roman"/>
                <w:color w:val="auto"/>
                <w:highlight w:val="none"/>
                <w:lang w:eastAsia="zh-CN"/>
              </w:rPr>
              <w:t>，</w:t>
            </w:r>
            <w:r>
              <w:rPr>
                <w:rFonts w:hint="eastAsia" w:cs="Times New Roman"/>
                <w:color w:val="auto"/>
                <w:highlight w:val="none"/>
                <w:lang w:val="en-US" w:eastAsia="zh-CN"/>
              </w:rPr>
              <w:t>对与本项目距离253m的大气环境保护目标尚都新城影响不大</w:t>
            </w:r>
            <w:r>
              <w:rPr>
                <w:rFonts w:hint="eastAsia"/>
                <w:color w:val="auto"/>
                <w:lang w:eastAsia="zh-CN"/>
              </w:rPr>
              <w:t>。</w:t>
            </w:r>
          </w:p>
          <w:p w14:paraId="02A7833E">
            <w:pPr>
              <w:pStyle w:val="21"/>
              <w:bidi w:val="0"/>
              <w:jc w:val="center"/>
              <w:rPr>
                <w:rFonts w:hint="eastAsia" w:ascii="Times New Roman" w:hAnsi="Times New Roman" w:eastAsia="宋体" w:cs="Times New Roman"/>
                <w:color w:val="auto"/>
                <w:highlight w:val="none"/>
                <w:lang w:eastAsia="zh-CN"/>
              </w:rPr>
            </w:pPr>
            <w:r>
              <w:rPr>
                <w:rFonts w:hint="eastAsia"/>
                <w:b/>
                <w:color w:val="auto"/>
                <w:sz w:val="21"/>
                <w:szCs w:val="18"/>
                <w:highlight w:val="none"/>
                <w:lang w:val="en-US" w:eastAsia="zh-CN"/>
              </w:rPr>
              <w:t>表4-4</w:t>
            </w:r>
            <w:r>
              <w:rPr>
                <w:rFonts w:hint="eastAsia"/>
                <w:b/>
                <w:color w:val="auto"/>
                <w:sz w:val="21"/>
                <w:szCs w:val="18"/>
                <w:highlight w:val="none"/>
              </w:rPr>
              <w:t>项目主要废气污染物排放总量</w:t>
            </w:r>
            <w:r>
              <w:rPr>
                <w:rFonts w:hint="eastAsia"/>
                <w:b/>
                <w:color w:val="auto"/>
                <w:sz w:val="21"/>
                <w:szCs w:val="18"/>
                <w:highlight w:val="none"/>
                <w:lang w:eastAsia="zh-CN"/>
              </w:rPr>
              <w:t>（</w:t>
            </w:r>
            <w:r>
              <w:rPr>
                <w:rFonts w:hint="eastAsia"/>
                <w:b/>
                <w:color w:val="auto"/>
                <w:sz w:val="21"/>
                <w:szCs w:val="18"/>
                <w:highlight w:val="none"/>
                <w:lang w:val="en-US" w:eastAsia="zh-CN"/>
              </w:rPr>
              <w:t>t/a</w:t>
            </w:r>
            <w:r>
              <w:rPr>
                <w:rFonts w:hint="eastAsia"/>
                <w:b/>
                <w:color w:val="auto"/>
                <w:sz w:val="21"/>
                <w:szCs w:val="18"/>
                <w:highlight w:val="none"/>
                <w:lang w:eastAsia="zh-CN"/>
              </w:rPr>
              <w:t>）</w:t>
            </w:r>
          </w:p>
          <w:tbl>
            <w:tblPr>
              <w:tblStyle w:val="45"/>
              <w:tblW w:w="4998" w:type="pct"/>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2462"/>
              <w:gridCol w:w="1873"/>
              <w:gridCol w:w="1727"/>
              <w:gridCol w:w="1781"/>
            </w:tblGrid>
            <w:tr w14:paraId="45F21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1569" w:type="pct"/>
                  <w:vMerge w:val="restart"/>
                  <w:vAlign w:val="center"/>
                </w:tcPr>
                <w:p w14:paraId="6F88E7E3">
                  <w:pPr>
                    <w:widowControl/>
                    <w:spacing w:line="240" w:lineRule="auto"/>
                    <w:jc w:val="center"/>
                    <w:rPr>
                      <w:rFonts w:hint="eastAsia" w:eastAsia="宋体"/>
                      <w:b/>
                      <w:bCs/>
                      <w:color w:val="auto"/>
                      <w:sz w:val="21"/>
                      <w:szCs w:val="21"/>
                      <w:highlight w:val="none"/>
                      <w:lang w:eastAsia="zh-CN"/>
                    </w:rPr>
                  </w:pPr>
                  <w:r>
                    <w:rPr>
                      <w:rFonts w:hint="eastAsia"/>
                      <w:b/>
                      <w:bCs/>
                      <w:color w:val="auto"/>
                      <w:sz w:val="21"/>
                      <w:szCs w:val="21"/>
                      <w:highlight w:val="none"/>
                      <w:lang w:eastAsia="zh-CN"/>
                    </w:rPr>
                    <w:t>主要污染物</w:t>
                  </w:r>
                </w:p>
              </w:tc>
              <w:tc>
                <w:tcPr>
                  <w:tcW w:w="3430" w:type="pct"/>
                  <w:gridSpan w:val="3"/>
                  <w:vAlign w:val="center"/>
                </w:tcPr>
                <w:p w14:paraId="7A9D8F65">
                  <w:pPr>
                    <w:widowControl/>
                    <w:spacing w:line="240" w:lineRule="auto"/>
                    <w:jc w:val="center"/>
                    <w:rPr>
                      <w:b/>
                      <w:bCs/>
                      <w:color w:val="auto"/>
                      <w:sz w:val="21"/>
                      <w:szCs w:val="21"/>
                      <w:highlight w:val="none"/>
                    </w:rPr>
                  </w:pPr>
                  <w:r>
                    <w:rPr>
                      <w:rFonts w:hint="eastAsia"/>
                      <w:b/>
                      <w:bCs/>
                      <w:color w:val="auto"/>
                      <w:sz w:val="21"/>
                      <w:szCs w:val="21"/>
                      <w:highlight w:val="none"/>
                      <w:lang w:eastAsia="zh-CN"/>
                    </w:rPr>
                    <w:t>项目排放量</w:t>
                  </w:r>
                </w:p>
              </w:tc>
            </w:tr>
            <w:tr w14:paraId="38EB3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1569" w:type="pct"/>
                  <w:vMerge w:val="continue"/>
                  <w:vAlign w:val="center"/>
                </w:tcPr>
                <w:p w14:paraId="40CE205E">
                  <w:pPr>
                    <w:widowControl/>
                    <w:spacing w:line="240" w:lineRule="auto"/>
                    <w:jc w:val="center"/>
                    <w:rPr>
                      <w:color w:val="auto"/>
                      <w:highlight w:val="none"/>
                    </w:rPr>
                  </w:pPr>
                </w:p>
              </w:tc>
              <w:tc>
                <w:tcPr>
                  <w:tcW w:w="1194" w:type="pct"/>
                  <w:vAlign w:val="center"/>
                </w:tcPr>
                <w:p w14:paraId="778AA21A">
                  <w:pPr>
                    <w:widowControl/>
                    <w:spacing w:line="240" w:lineRule="auto"/>
                    <w:jc w:val="center"/>
                    <w:rPr>
                      <w:rFonts w:hint="eastAsia"/>
                      <w:b/>
                      <w:bCs/>
                      <w:color w:val="auto"/>
                      <w:sz w:val="21"/>
                      <w:szCs w:val="21"/>
                      <w:highlight w:val="none"/>
                      <w:lang w:eastAsia="zh-CN"/>
                    </w:rPr>
                  </w:pPr>
                  <w:r>
                    <w:rPr>
                      <w:rFonts w:hint="eastAsia"/>
                      <w:b/>
                      <w:bCs/>
                      <w:color w:val="auto"/>
                      <w:sz w:val="21"/>
                      <w:szCs w:val="21"/>
                      <w:highlight w:val="none"/>
                      <w:lang w:eastAsia="zh-CN"/>
                    </w:rPr>
                    <w:t>有组织</w:t>
                  </w:r>
                </w:p>
              </w:tc>
              <w:tc>
                <w:tcPr>
                  <w:tcW w:w="1101" w:type="pct"/>
                  <w:vAlign w:val="center"/>
                </w:tcPr>
                <w:p w14:paraId="5F637F7F">
                  <w:pPr>
                    <w:widowControl/>
                    <w:spacing w:line="240" w:lineRule="auto"/>
                    <w:jc w:val="center"/>
                    <w:rPr>
                      <w:rFonts w:hint="eastAsia"/>
                      <w:b/>
                      <w:bCs/>
                      <w:color w:val="auto"/>
                      <w:sz w:val="21"/>
                      <w:szCs w:val="21"/>
                      <w:highlight w:val="none"/>
                      <w:lang w:eastAsia="zh-CN"/>
                    </w:rPr>
                  </w:pPr>
                  <w:r>
                    <w:rPr>
                      <w:rFonts w:hint="eastAsia"/>
                      <w:b/>
                      <w:bCs/>
                      <w:color w:val="auto"/>
                      <w:sz w:val="21"/>
                      <w:szCs w:val="21"/>
                      <w:highlight w:val="none"/>
                      <w:lang w:eastAsia="zh-CN"/>
                    </w:rPr>
                    <w:t>无组织</w:t>
                  </w:r>
                </w:p>
              </w:tc>
              <w:tc>
                <w:tcPr>
                  <w:tcW w:w="1135" w:type="pct"/>
                  <w:vAlign w:val="center"/>
                </w:tcPr>
                <w:p w14:paraId="64451730">
                  <w:pPr>
                    <w:widowControl/>
                    <w:spacing w:line="240" w:lineRule="auto"/>
                    <w:jc w:val="center"/>
                    <w:rPr>
                      <w:rFonts w:hint="eastAsia"/>
                      <w:b/>
                      <w:bCs/>
                      <w:color w:val="auto"/>
                      <w:sz w:val="21"/>
                      <w:szCs w:val="21"/>
                      <w:highlight w:val="none"/>
                      <w:lang w:eastAsia="zh-CN"/>
                    </w:rPr>
                  </w:pPr>
                  <w:r>
                    <w:rPr>
                      <w:rFonts w:hint="eastAsia"/>
                      <w:b/>
                      <w:bCs/>
                      <w:color w:val="auto"/>
                      <w:sz w:val="21"/>
                      <w:szCs w:val="21"/>
                      <w:highlight w:val="none"/>
                      <w:lang w:eastAsia="zh-CN"/>
                    </w:rPr>
                    <w:t>合计</w:t>
                  </w:r>
                </w:p>
              </w:tc>
            </w:tr>
            <w:tr w14:paraId="493C0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1569" w:type="pct"/>
                  <w:vAlign w:val="center"/>
                </w:tcPr>
                <w:p w14:paraId="21B9FB2B">
                  <w:pPr>
                    <w:widowControl/>
                    <w:spacing w:line="240" w:lineRule="auto"/>
                    <w:jc w:val="center"/>
                    <w:rPr>
                      <w:rFonts w:hint="eastAsia"/>
                      <w:color w:val="auto"/>
                      <w:sz w:val="21"/>
                      <w:szCs w:val="21"/>
                      <w:highlight w:val="none"/>
                      <w:lang w:val="en-US" w:eastAsia="zh-CN"/>
                    </w:rPr>
                  </w:pPr>
                  <w:r>
                    <w:rPr>
                      <w:rFonts w:hint="eastAsia"/>
                      <w:color w:val="auto"/>
                      <w:sz w:val="21"/>
                      <w:szCs w:val="21"/>
                      <w:highlight w:val="none"/>
                      <w:lang w:val="en-US" w:eastAsia="zh-CN"/>
                    </w:rPr>
                    <w:t>颗粒物</w:t>
                  </w:r>
                </w:p>
              </w:tc>
              <w:tc>
                <w:tcPr>
                  <w:tcW w:w="1194" w:type="pct"/>
                  <w:vAlign w:val="center"/>
                </w:tcPr>
                <w:p w14:paraId="6E2E92F2">
                  <w:pPr>
                    <w:widowControl/>
                    <w:spacing w:line="24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0</w:t>
                  </w:r>
                </w:p>
              </w:tc>
              <w:tc>
                <w:tcPr>
                  <w:tcW w:w="1101" w:type="pct"/>
                  <w:vAlign w:val="center"/>
                </w:tcPr>
                <w:p w14:paraId="5ADA0E2E">
                  <w:pPr>
                    <w:widowControl/>
                    <w:spacing w:line="24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2.58</w:t>
                  </w:r>
                </w:p>
              </w:tc>
              <w:tc>
                <w:tcPr>
                  <w:tcW w:w="1135" w:type="pct"/>
                  <w:vAlign w:val="center"/>
                </w:tcPr>
                <w:p w14:paraId="3C12CD47">
                  <w:pPr>
                    <w:widowControl/>
                    <w:spacing w:line="24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2.58</w:t>
                  </w:r>
                </w:p>
              </w:tc>
            </w:tr>
            <w:tr w14:paraId="72EE3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1569" w:type="pct"/>
                  <w:vAlign w:val="center"/>
                </w:tcPr>
                <w:p w14:paraId="3CD501A6">
                  <w:pPr>
                    <w:widowControl/>
                    <w:spacing w:line="240" w:lineRule="auto"/>
                    <w:jc w:val="center"/>
                    <w:rPr>
                      <w:rFonts w:hint="default"/>
                      <w:color w:val="auto"/>
                      <w:sz w:val="21"/>
                      <w:szCs w:val="21"/>
                      <w:highlight w:val="none"/>
                      <w:lang w:val="en-US" w:eastAsia="zh-CN"/>
                    </w:rPr>
                  </w:pPr>
                  <w:r>
                    <w:rPr>
                      <w:rFonts w:hint="eastAsia"/>
                      <w:color w:val="auto"/>
                      <w:sz w:val="21"/>
                      <w:szCs w:val="21"/>
                      <w:highlight w:val="none"/>
                      <w:lang w:val="en-US" w:eastAsia="zh-CN"/>
                    </w:rPr>
                    <w:t>臭气浓度</w:t>
                  </w:r>
                </w:p>
              </w:tc>
              <w:tc>
                <w:tcPr>
                  <w:tcW w:w="1194" w:type="pct"/>
                  <w:vAlign w:val="center"/>
                </w:tcPr>
                <w:p w14:paraId="47BD1FFE">
                  <w:pPr>
                    <w:widowControl/>
                    <w:spacing w:line="240" w:lineRule="auto"/>
                    <w:jc w:val="center"/>
                    <w:rPr>
                      <w:rFonts w:hint="default"/>
                      <w:color w:val="auto"/>
                      <w:sz w:val="21"/>
                      <w:szCs w:val="21"/>
                      <w:highlight w:val="none"/>
                      <w:lang w:val="en-US" w:eastAsia="zh-CN"/>
                    </w:rPr>
                  </w:pPr>
                  <w:r>
                    <w:rPr>
                      <w:rFonts w:hint="eastAsia"/>
                      <w:color w:val="auto"/>
                      <w:sz w:val="21"/>
                      <w:szCs w:val="21"/>
                      <w:highlight w:val="none"/>
                      <w:lang w:val="en-US" w:eastAsia="zh-CN"/>
                    </w:rPr>
                    <w:t>少量</w:t>
                  </w:r>
                </w:p>
              </w:tc>
              <w:tc>
                <w:tcPr>
                  <w:tcW w:w="1101" w:type="pct"/>
                  <w:vAlign w:val="center"/>
                </w:tcPr>
                <w:p w14:paraId="5C3DE6A0">
                  <w:pPr>
                    <w:widowControl/>
                    <w:spacing w:line="240" w:lineRule="auto"/>
                    <w:jc w:val="center"/>
                    <w:rPr>
                      <w:rFonts w:hint="eastAsia"/>
                      <w:color w:val="auto"/>
                      <w:sz w:val="21"/>
                      <w:szCs w:val="21"/>
                      <w:highlight w:val="none"/>
                      <w:lang w:val="en-US" w:eastAsia="zh-CN"/>
                    </w:rPr>
                  </w:pPr>
                  <w:r>
                    <w:rPr>
                      <w:rFonts w:hint="eastAsia"/>
                      <w:color w:val="auto"/>
                      <w:sz w:val="21"/>
                      <w:szCs w:val="21"/>
                      <w:highlight w:val="none"/>
                      <w:lang w:val="en-US" w:eastAsia="zh-CN"/>
                    </w:rPr>
                    <w:t>少量</w:t>
                  </w:r>
                </w:p>
              </w:tc>
              <w:tc>
                <w:tcPr>
                  <w:tcW w:w="1135" w:type="pct"/>
                  <w:vAlign w:val="center"/>
                </w:tcPr>
                <w:p w14:paraId="0EA6CCF1">
                  <w:pPr>
                    <w:widowControl/>
                    <w:spacing w:line="240" w:lineRule="auto"/>
                    <w:jc w:val="center"/>
                    <w:rPr>
                      <w:rFonts w:hint="eastAsia"/>
                      <w:color w:val="auto"/>
                      <w:sz w:val="21"/>
                      <w:szCs w:val="21"/>
                      <w:highlight w:val="none"/>
                      <w:lang w:val="en-US" w:eastAsia="zh-CN"/>
                    </w:rPr>
                  </w:pPr>
                  <w:r>
                    <w:rPr>
                      <w:rFonts w:hint="eastAsia"/>
                      <w:color w:val="auto"/>
                      <w:sz w:val="21"/>
                      <w:szCs w:val="21"/>
                      <w:highlight w:val="none"/>
                      <w:lang w:val="en-US" w:eastAsia="zh-CN"/>
                    </w:rPr>
                    <w:t>少量</w:t>
                  </w:r>
                </w:p>
              </w:tc>
            </w:tr>
          </w:tbl>
          <w:p w14:paraId="481F9BB7">
            <w:pPr>
              <w:keepNext/>
              <w:keepLines/>
              <w:tabs>
                <w:tab w:val="left" w:pos="0"/>
              </w:tabs>
              <w:ind w:firstLine="480" w:firstLineChars="200"/>
              <w:outlineLvl w:val="3"/>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二、废水污染源</w:t>
            </w:r>
          </w:p>
          <w:p w14:paraId="71BAFADF">
            <w:pPr>
              <w:keepNext/>
              <w:keepLines/>
              <w:tabs>
                <w:tab w:val="left" w:pos="0"/>
              </w:tabs>
              <w:ind w:firstLine="480" w:firstLineChars="200"/>
              <w:outlineLvl w:val="3"/>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1、污染源源强分析</w:t>
            </w:r>
          </w:p>
          <w:p w14:paraId="70B29A25">
            <w:pPr>
              <w:keepNext/>
              <w:keepLines/>
              <w:numPr>
                <w:ilvl w:val="4"/>
                <w:numId w:val="0"/>
              </w:numPr>
              <w:tabs>
                <w:tab w:val="left" w:pos="0"/>
              </w:tabs>
              <w:ind w:left="-960" w:firstLine="1440"/>
              <w:outlineLvl w:val="4"/>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（1）生活污水</w:t>
            </w:r>
          </w:p>
          <w:p w14:paraId="0A44C8BA">
            <w:pPr>
              <w:widowControl/>
              <w:ind w:firstLine="480" w:firstLineChars="200"/>
              <w:jc w:val="left"/>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本项目劳动定员</w:t>
            </w:r>
            <w:r>
              <w:rPr>
                <w:rFonts w:hint="eastAsia" w:cs="Times New Roman"/>
                <w:color w:val="auto"/>
                <w:kern w:val="0"/>
                <w:highlight w:val="none"/>
                <w:lang w:val="en-US" w:eastAsia="zh-CN"/>
              </w:rPr>
              <w:t>2</w:t>
            </w:r>
            <w:r>
              <w:rPr>
                <w:rFonts w:hint="default" w:ascii="Times New Roman" w:hAnsi="Times New Roman" w:cs="Times New Roman"/>
                <w:color w:val="auto"/>
                <w:kern w:val="0"/>
                <w:highlight w:val="none"/>
              </w:rPr>
              <w:t>人，</w:t>
            </w:r>
            <w:r>
              <w:rPr>
                <w:rFonts w:hint="default" w:ascii="Times New Roman" w:hAnsi="Times New Roman" w:cs="Times New Roman"/>
                <w:color w:val="auto"/>
                <w:kern w:val="0"/>
                <w:highlight w:val="none"/>
                <w:lang w:val="en-US" w:eastAsia="zh-CN"/>
              </w:rPr>
              <w:t>项目内部</w:t>
            </w:r>
            <w:r>
              <w:rPr>
                <w:rFonts w:hint="eastAsia" w:cs="Times New Roman"/>
                <w:color w:val="auto"/>
                <w:kern w:val="0"/>
                <w:highlight w:val="none"/>
                <w:lang w:val="en-US" w:eastAsia="zh-CN"/>
              </w:rPr>
              <w:t>不设</w:t>
            </w:r>
            <w:r>
              <w:rPr>
                <w:rFonts w:hint="default" w:ascii="Times New Roman" w:hAnsi="Times New Roman" w:cs="Times New Roman"/>
                <w:color w:val="auto"/>
                <w:kern w:val="0"/>
                <w:highlight w:val="none"/>
                <w:lang w:eastAsia="zh-CN"/>
              </w:rPr>
              <w:t>食</w:t>
            </w:r>
            <w:r>
              <w:rPr>
                <w:rFonts w:hint="default" w:ascii="Times New Roman" w:hAnsi="Times New Roman" w:cs="Times New Roman"/>
                <w:color w:val="auto"/>
                <w:kern w:val="0"/>
                <w:highlight w:val="none"/>
              </w:rPr>
              <w:t>宿</w:t>
            </w:r>
            <w:r>
              <w:rPr>
                <w:rFonts w:hint="eastAsia"/>
                <w:color w:val="auto"/>
                <w:lang w:val="en-US" w:eastAsia="zh-CN"/>
              </w:rPr>
              <w:t>和卫生间。员工如厕依托乐昌市华轩针织制衣有限公司</w:t>
            </w:r>
            <w:r>
              <w:rPr>
                <w:rFonts w:hint="eastAsia" w:cs="Times New Roman"/>
                <w:color w:val="auto"/>
                <w:kern w:val="0"/>
                <w:highlight w:val="none"/>
                <w:lang w:eastAsia="zh-CN"/>
              </w:rPr>
              <w:t>，</w:t>
            </w:r>
            <w:r>
              <w:rPr>
                <w:rFonts w:hint="default" w:ascii="Times New Roman" w:hAnsi="Times New Roman" w:cs="Times New Roman"/>
                <w:color w:val="auto"/>
                <w:kern w:val="0"/>
                <w:highlight w:val="none"/>
              </w:rPr>
              <w:t>年工作天数</w:t>
            </w:r>
            <w:r>
              <w:rPr>
                <w:rFonts w:hint="eastAsia" w:cs="Times New Roman"/>
                <w:color w:val="auto"/>
                <w:kern w:val="0"/>
                <w:highlight w:val="none"/>
                <w:lang w:val="en-US" w:eastAsia="zh-CN"/>
              </w:rPr>
              <w:t>260</w:t>
            </w:r>
            <w:r>
              <w:rPr>
                <w:rFonts w:hint="default" w:ascii="Times New Roman" w:hAnsi="Times New Roman" w:cs="Times New Roman"/>
                <w:color w:val="auto"/>
                <w:kern w:val="0"/>
                <w:highlight w:val="none"/>
              </w:rPr>
              <w:t>天。</w:t>
            </w:r>
          </w:p>
          <w:p w14:paraId="02DF4FC1">
            <w:pPr>
              <w:widowControl/>
              <w:ind w:firstLine="480" w:firstLineChars="200"/>
              <w:jc w:val="both"/>
              <w:rPr>
                <w:rFonts w:hint="default" w:ascii="Times New Roman" w:hAnsi="Times New Roman" w:eastAsia="宋体" w:cs="Times New Roman"/>
                <w:color w:val="auto"/>
                <w:kern w:val="0"/>
                <w:highlight w:val="none"/>
              </w:rPr>
            </w:pPr>
            <w:r>
              <w:rPr>
                <w:rFonts w:hint="default" w:ascii="Times New Roman" w:hAnsi="Times New Roman" w:cs="Times New Roman"/>
                <w:color w:val="auto"/>
                <w:kern w:val="0"/>
                <w:sz w:val="24"/>
                <w:szCs w:val="24"/>
                <w:highlight w:val="none"/>
                <w:lang w:eastAsia="zh-CN"/>
              </w:rPr>
              <w:t>参考</w:t>
            </w:r>
            <w:r>
              <w:rPr>
                <w:rFonts w:hint="default" w:ascii="Times New Roman" w:hAnsi="Times New Roman" w:eastAsia="宋体" w:cs="Times New Roman"/>
                <w:color w:val="auto"/>
                <w:kern w:val="0"/>
                <w:sz w:val="24"/>
                <w:szCs w:val="24"/>
                <w:highlight w:val="none"/>
              </w:rPr>
              <w:t>广东省《用水定额 第3部分</w:t>
            </w:r>
            <w:r>
              <w:rPr>
                <w:rFonts w:hint="default" w:ascii="Times New Roman" w:hAnsi="Times New Roman"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生活》</w:t>
            </w:r>
            <w:r>
              <w:rPr>
                <w:rFonts w:hint="default" w:ascii="Times New Roman" w:hAnsi="Times New Roman"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DB44/T1461.3-2021</w:t>
            </w:r>
            <w:r>
              <w:rPr>
                <w:rFonts w:hint="default" w:ascii="Times New Roman" w:hAnsi="Times New Roman"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表A.1服务业用水定额表，国家行政机构办公楼</w:t>
            </w:r>
            <w:r>
              <w:rPr>
                <w:rFonts w:hint="eastAsia" w:cs="Times New Roman"/>
                <w:color w:val="auto"/>
                <w:kern w:val="0"/>
                <w:sz w:val="24"/>
                <w:szCs w:val="24"/>
                <w:highlight w:val="none"/>
                <w:lang w:val="en-US" w:eastAsia="zh-CN"/>
              </w:rPr>
              <w:t>无</w:t>
            </w:r>
            <w:r>
              <w:rPr>
                <w:rFonts w:hint="default" w:ascii="Times New Roman" w:hAnsi="Times New Roman" w:eastAsia="宋体" w:cs="Times New Roman"/>
                <w:color w:val="auto"/>
                <w:kern w:val="0"/>
                <w:sz w:val="24"/>
                <w:szCs w:val="24"/>
                <w:highlight w:val="none"/>
              </w:rPr>
              <w:t>食堂和浴室的用水定额</w:t>
            </w:r>
            <w:r>
              <w:rPr>
                <w:rFonts w:hint="eastAsia" w:ascii="Times New Roman" w:hAnsi="Times New Roman" w:eastAsia="宋体" w:cs="Times New Roman"/>
                <w:color w:val="auto"/>
                <w:kern w:val="0"/>
                <w:sz w:val="24"/>
                <w:szCs w:val="24"/>
                <w:highlight w:val="none"/>
                <w:lang w:val="en-US" w:eastAsia="zh-CN"/>
              </w:rPr>
              <w:t>通用</w:t>
            </w:r>
            <w:r>
              <w:rPr>
                <w:rFonts w:hint="default" w:ascii="Times New Roman" w:hAnsi="Times New Roman" w:eastAsia="宋体" w:cs="Times New Roman"/>
                <w:color w:val="auto"/>
                <w:kern w:val="0"/>
                <w:sz w:val="24"/>
                <w:szCs w:val="24"/>
                <w:highlight w:val="none"/>
              </w:rPr>
              <w:t xml:space="preserve">值为 </w:t>
            </w:r>
            <w:r>
              <w:rPr>
                <w:rFonts w:hint="eastAsia" w:ascii="Times New Roman" w:hAnsi="Times New Roman" w:eastAsia="宋体" w:cs="Times New Roman"/>
                <w:color w:val="auto"/>
                <w:kern w:val="0"/>
                <w:sz w:val="24"/>
                <w:szCs w:val="24"/>
                <w:highlight w:val="none"/>
                <w:lang w:val="en-US" w:eastAsia="zh-CN"/>
              </w:rPr>
              <w:t>28</w:t>
            </w:r>
            <w:r>
              <w:rPr>
                <w:rFonts w:hint="default" w:ascii="Times New Roman" w:hAnsi="Times New Roman" w:eastAsia="宋体" w:cs="Times New Roman"/>
                <w:color w:val="auto"/>
                <w:kern w:val="0"/>
                <w:sz w:val="24"/>
                <w:szCs w:val="24"/>
                <w:highlight w:val="none"/>
              </w:rPr>
              <w:t>m</w:t>
            </w:r>
            <w:r>
              <w:rPr>
                <w:rFonts w:hint="default" w:ascii="Times New Roman" w:hAnsi="Times New Roman" w:eastAsia="宋体" w:cs="Times New Roman"/>
                <w:color w:val="auto"/>
                <w:kern w:val="0"/>
                <w:sz w:val="24"/>
                <w:szCs w:val="24"/>
                <w:highlight w:val="none"/>
                <w:vertAlign w:val="superscript"/>
              </w:rPr>
              <w:t>3</w:t>
            </w:r>
            <w:r>
              <w:rPr>
                <w:rFonts w:hint="default" w:ascii="Times New Roman" w:hAnsi="Times New Roman" w:eastAsia="宋体" w:cs="Times New Roman"/>
                <w:color w:val="auto"/>
                <w:kern w:val="0"/>
                <w:sz w:val="24"/>
                <w:szCs w:val="24"/>
                <w:highlight w:val="none"/>
              </w:rPr>
              <w:t>/(人·a)计，</w:t>
            </w:r>
            <w:r>
              <w:rPr>
                <w:rFonts w:hint="default" w:ascii="Times New Roman" w:hAnsi="Times New Roman" w:cs="Times New Roman"/>
                <w:color w:val="auto"/>
                <w:highlight w:val="none"/>
                <w:lang w:eastAsia="zh-CN"/>
              </w:rPr>
              <w:t>则对</w:t>
            </w:r>
            <w:r>
              <w:rPr>
                <w:rFonts w:hint="default" w:ascii="Times New Roman" w:hAnsi="Times New Roman" w:eastAsia="宋体" w:cs="Times New Roman"/>
                <w:color w:val="auto"/>
                <w:kern w:val="0"/>
                <w:sz w:val="24"/>
                <w:szCs w:val="24"/>
                <w:highlight w:val="none"/>
                <w:lang w:val="en-US" w:eastAsia="zh-CN"/>
              </w:rPr>
              <w:t>应</w:t>
            </w:r>
            <w:r>
              <w:rPr>
                <w:rFonts w:hint="default" w:ascii="Times New Roman" w:hAnsi="Times New Roman" w:eastAsia="宋体" w:cs="Times New Roman"/>
                <w:color w:val="auto"/>
                <w:kern w:val="0"/>
                <w:sz w:val="24"/>
                <w:szCs w:val="24"/>
                <w:highlight w:val="none"/>
              </w:rPr>
              <w:t>生活用水量为</w:t>
            </w:r>
            <w:r>
              <w:rPr>
                <w:rFonts w:hint="eastAsia" w:cs="Times New Roman"/>
                <w:color w:val="auto"/>
                <w:kern w:val="0"/>
                <w:sz w:val="24"/>
                <w:szCs w:val="24"/>
                <w:highlight w:val="none"/>
                <w:lang w:val="en-US" w:eastAsia="zh-CN"/>
              </w:rPr>
              <w:t>56</w:t>
            </w:r>
            <w:r>
              <w:rPr>
                <w:rFonts w:hint="default" w:ascii="Times New Roman" w:hAnsi="Times New Roman" w:eastAsia="宋体" w:cs="Times New Roman"/>
                <w:color w:val="auto"/>
                <w:sz w:val="24"/>
                <w:highlight w:val="none"/>
              </w:rPr>
              <w:t>m</w:t>
            </w:r>
            <w:r>
              <w:rPr>
                <w:rFonts w:hint="default" w:ascii="Times New Roman" w:hAnsi="Times New Roman" w:eastAsia="宋体" w:cs="Times New Roman"/>
                <w:color w:val="auto"/>
                <w:sz w:val="24"/>
                <w:highlight w:val="none"/>
                <w:vertAlign w:val="superscript"/>
              </w:rPr>
              <w:t>3</w:t>
            </w:r>
            <w:r>
              <w:rPr>
                <w:rFonts w:hint="default" w:ascii="Times New Roman" w:hAnsi="Times New Roman" w:eastAsia="宋体" w:cs="Times New Roman"/>
                <w:color w:val="auto"/>
                <w:sz w:val="24"/>
                <w:highlight w:val="none"/>
                <w:vertAlign w:val="baseline"/>
                <w:lang w:val="en-US" w:eastAsia="zh-CN"/>
              </w:rPr>
              <w:t>/a</w:t>
            </w:r>
            <w:r>
              <w:rPr>
                <w:rFonts w:hint="default" w:ascii="Times New Roman" w:hAnsi="Times New Roman" w:eastAsia="宋体" w:cs="Times New Roman"/>
                <w:color w:val="auto"/>
                <w:kern w:val="0"/>
                <w:sz w:val="24"/>
                <w:szCs w:val="24"/>
                <w:highlight w:val="none"/>
              </w:rPr>
              <w:t>。按照排污系数0.9计算，则生活污水排放量为</w:t>
            </w:r>
            <w:r>
              <w:rPr>
                <w:rFonts w:hint="eastAsia" w:cs="Times New Roman"/>
                <w:color w:val="auto"/>
                <w:kern w:val="0"/>
                <w:sz w:val="24"/>
                <w:szCs w:val="24"/>
                <w:highlight w:val="none"/>
                <w:lang w:val="en-US" w:eastAsia="zh-CN"/>
              </w:rPr>
              <w:t>50.4</w:t>
            </w:r>
            <w:r>
              <w:rPr>
                <w:rFonts w:hint="default" w:ascii="Times New Roman" w:hAnsi="Times New Roman" w:eastAsia="宋体" w:cs="Times New Roman"/>
                <w:color w:val="auto"/>
                <w:sz w:val="24"/>
                <w:highlight w:val="none"/>
              </w:rPr>
              <w:t>m</w:t>
            </w:r>
            <w:r>
              <w:rPr>
                <w:rFonts w:hint="default" w:ascii="Times New Roman" w:hAnsi="Times New Roman" w:eastAsia="宋体" w:cs="Times New Roman"/>
                <w:color w:val="auto"/>
                <w:sz w:val="24"/>
                <w:highlight w:val="none"/>
                <w:vertAlign w:val="superscript"/>
              </w:rPr>
              <w:t>3</w:t>
            </w:r>
            <w:r>
              <w:rPr>
                <w:rFonts w:hint="default" w:ascii="Times New Roman" w:hAnsi="Times New Roman" w:eastAsia="宋体" w:cs="Times New Roman"/>
                <w:color w:val="auto"/>
                <w:sz w:val="24"/>
                <w:highlight w:val="none"/>
                <w:vertAlign w:val="baseline"/>
                <w:lang w:val="en-US" w:eastAsia="zh-CN"/>
              </w:rPr>
              <w:t>/a</w:t>
            </w:r>
            <w:r>
              <w:rPr>
                <w:rFonts w:hint="default" w:ascii="Times New Roman" w:hAnsi="Times New Roman" w:eastAsia="宋体" w:cs="Times New Roman"/>
                <w:color w:val="auto"/>
                <w:kern w:val="0"/>
                <w:sz w:val="24"/>
                <w:szCs w:val="24"/>
                <w:highlight w:val="none"/>
              </w:rPr>
              <w:t>。本项目</w:t>
            </w:r>
            <w:r>
              <w:rPr>
                <w:rFonts w:hint="default" w:ascii="Times New Roman" w:hAnsi="Times New Roman" w:eastAsia="宋体" w:cs="Times New Roman"/>
                <w:color w:val="auto"/>
                <w:kern w:val="0"/>
                <w:sz w:val="24"/>
                <w:szCs w:val="24"/>
                <w:highlight w:val="none"/>
                <w:lang w:eastAsia="zh-CN"/>
              </w:rPr>
              <w:t>生活</w:t>
            </w:r>
            <w:r>
              <w:rPr>
                <w:rFonts w:hint="default" w:ascii="Times New Roman" w:hAnsi="Times New Roman" w:eastAsia="宋体" w:cs="Times New Roman"/>
                <w:color w:val="auto"/>
                <w:kern w:val="0"/>
                <w:sz w:val="24"/>
                <w:szCs w:val="24"/>
                <w:highlight w:val="none"/>
              </w:rPr>
              <w:t>污水经过三级化粪池处理后排入园区污水处理厂，处理达标后排入武江（乐昌城-犁市河段）</w:t>
            </w:r>
            <w:r>
              <w:rPr>
                <w:rFonts w:hint="default" w:ascii="Times New Roman" w:hAnsi="Times New Roman" w:cs="Times New Roman"/>
                <w:color w:val="auto"/>
                <w:kern w:val="0"/>
                <w:sz w:val="24"/>
                <w:szCs w:val="24"/>
                <w:highlight w:val="none"/>
                <w:lang w:eastAsia="zh-CN"/>
              </w:rPr>
              <w:t>。</w:t>
            </w:r>
          </w:p>
          <w:p w14:paraId="117F20FE">
            <w:pPr>
              <w:widowControl/>
              <w:ind w:firstLine="480" w:firstLineChars="20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污染物产生浓度参考《给排水设计手册》第五册《城镇排水》表4-1典型生活污水水质示例中的中浓度水质指标。生活污水的主要污染物为COD</w:t>
            </w:r>
            <w:r>
              <w:rPr>
                <w:rFonts w:hint="default" w:ascii="Times New Roman" w:hAnsi="Times New Roman" w:eastAsia="宋体" w:cs="Times New Roman"/>
                <w:color w:val="auto"/>
                <w:highlight w:val="none"/>
                <w:vertAlign w:val="subscript"/>
              </w:rPr>
              <w:t>Cr</w:t>
            </w:r>
            <w:r>
              <w:rPr>
                <w:rFonts w:hint="default" w:ascii="Times New Roman" w:hAnsi="Times New Roman" w:eastAsia="宋体" w:cs="Times New Roman"/>
                <w:color w:val="auto"/>
                <w:highlight w:val="none"/>
              </w:rPr>
              <w:t>、BOD</w:t>
            </w:r>
            <w:r>
              <w:rPr>
                <w:rFonts w:hint="default" w:ascii="Times New Roman" w:hAnsi="Times New Roman" w:eastAsia="宋体" w:cs="Times New Roman"/>
                <w:color w:val="auto"/>
                <w:highlight w:val="none"/>
                <w:vertAlign w:val="subscript"/>
              </w:rPr>
              <w:t>5</w:t>
            </w:r>
            <w:r>
              <w:rPr>
                <w:rFonts w:hint="default" w:ascii="Times New Roman" w:hAnsi="Times New Roman" w:eastAsia="宋体" w:cs="Times New Roman"/>
                <w:color w:val="auto"/>
                <w:highlight w:val="none"/>
              </w:rPr>
              <w:t>、SS、NH</w:t>
            </w:r>
            <w:r>
              <w:rPr>
                <w:rFonts w:hint="default" w:ascii="Times New Roman" w:hAnsi="Times New Roman" w:eastAsia="宋体" w:cs="Times New Roman"/>
                <w:color w:val="auto"/>
                <w:highlight w:val="none"/>
                <w:vertAlign w:val="subscript"/>
              </w:rPr>
              <w:t>3</w:t>
            </w:r>
            <w:r>
              <w:rPr>
                <w:rFonts w:hint="default" w:ascii="Times New Roman" w:hAnsi="Times New Roman" w:eastAsia="宋体" w:cs="Times New Roman"/>
                <w:color w:val="auto"/>
                <w:highlight w:val="none"/>
              </w:rPr>
              <w:t>-N。</w:t>
            </w:r>
          </w:p>
          <w:p w14:paraId="5DBCE4B1">
            <w:pPr>
              <w:widowControl w:val="0"/>
              <w:autoSpaceDE w:val="0"/>
              <w:autoSpaceDN w:val="0"/>
              <w:adjustRightInd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参考《给排水设计手册》（第5册城镇排水）中关于化粪池的处理效率，“三级化粪池”对SS的去除效率达30%，项目生活污水经三级化粪池处理效率参考《第一次全国污染源普查城镇生活源产排污系数手册》三级化粪池产排污系数计算的处理效率，即COD</w:t>
            </w:r>
            <w:r>
              <w:rPr>
                <w:rFonts w:hint="default" w:ascii="Times New Roman" w:hAnsi="Times New Roman" w:eastAsia="宋体" w:cs="Times New Roman"/>
                <w:color w:val="auto"/>
                <w:kern w:val="2"/>
                <w:sz w:val="24"/>
                <w:szCs w:val="24"/>
                <w:highlight w:val="none"/>
                <w:vertAlign w:val="subscript"/>
                <w:lang w:val="en-US" w:eastAsia="zh-CN" w:bidi="ar-SA"/>
              </w:rPr>
              <w:t>Cr</w:t>
            </w:r>
            <w:r>
              <w:rPr>
                <w:rFonts w:hint="default" w:ascii="Times New Roman" w:hAnsi="Times New Roman" w:eastAsia="宋体" w:cs="Times New Roman"/>
                <w:color w:val="auto"/>
                <w:kern w:val="2"/>
                <w:sz w:val="24"/>
                <w:szCs w:val="24"/>
                <w:highlight w:val="none"/>
                <w:lang w:val="en-US" w:eastAsia="zh-CN" w:bidi="ar-SA"/>
              </w:rPr>
              <w:t>去除率为20%，NH</w:t>
            </w:r>
            <w:r>
              <w:rPr>
                <w:rFonts w:hint="default" w:ascii="Times New Roman" w:hAnsi="Times New Roman" w:eastAsia="宋体" w:cs="Times New Roman"/>
                <w:color w:val="auto"/>
                <w:kern w:val="2"/>
                <w:sz w:val="24"/>
                <w:szCs w:val="24"/>
                <w:highlight w:val="none"/>
                <w:vertAlign w:val="subscript"/>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N去除率为3%）。处理效率参考《我国农村化粪池污染物去除效果及影响因素分析》（环境工程学报，2021）、《化粪池在实际生活中的比选和应用》（污染与防治陈杰、姜红）、《化粪池与人工湿地联用处理湖南农村地区生活污水研究》（湖南大学蒙语桦）等文献，三级化粪池对BOD</w:t>
            </w:r>
            <w:r>
              <w:rPr>
                <w:rFonts w:hint="default" w:ascii="Times New Roman" w:hAnsi="Times New Roman" w:eastAsia="宋体" w:cs="Times New Roman"/>
                <w:color w:val="auto"/>
                <w:kern w:val="2"/>
                <w:sz w:val="24"/>
                <w:szCs w:val="24"/>
                <w:highlight w:val="none"/>
                <w:vertAlign w:val="subscript"/>
                <w:lang w:val="en-US" w:eastAsia="zh-CN" w:bidi="ar-SA"/>
              </w:rPr>
              <w:t>5</w:t>
            </w:r>
            <w:r>
              <w:rPr>
                <w:rFonts w:hint="default" w:ascii="Times New Roman" w:hAnsi="Times New Roman" w:eastAsia="宋体" w:cs="Times New Roman"/>
                <w:color w:val="auto"/>
                <w:kern w:val="2"/>
                <w:sz w:val="24"/>
                <w:szCs w:val="24"/>
                <w:highlight w:val="none"/>
                <w:lang w:val="en-US" w:eastAsia="zh-CN" w:bidi="ar-SA"/>
              </w:rPr>
              <w:t>去除效率为去除效率29%～72%，因此本项目BOD</w:t>
            </w:r>
            <w:r>
              <w:rPr>
                <w:rFonts w:hint="default" w:ascii="Times New Roman" w:hAnsi="Times New Roman" w:eastAsia="宋体" w:cs="Times New Roman"/>
                <w:color w:val="auto"/>
                <w:kern w:val="2"/>
                <w:sz w:val="24"/>
                <w:szCs w:val="24"/>
                <w:highlight w:val="none"/>
                <w:vertAlign w:val="subscript"/>
                <w:lang w:val="en-US" w:eastAsia="zh-CN" w:bidi="ar-SA"/>
              </w:rPr>
              <w:t>5</w:t>
            </w:r>
            <w:r>
              <w:rPr>
                <w:rFonts w:hint="default" w:ascii="Times New Roman" w:hAnsi="Times New Roman" w:eastAsia="宋体" w:cs="Times New Roman"/>
                <w:color w:val="auto"/>
                <w:kern w:val="2"/>
                <w:sz w:val="24"/>
                <w:szCs w:val="24"/>
                <w:highlight w:val="none"/>
                <w:lang w:val="en-US" w:eastAsia="zh-CN" w:bidi="ar-SA"/>
              </w:rPr>
              <w:t>去除效率取29%。</w:t>
            </w:r>
          </w:p>
          <w:p w14:paraId="71076ABE">
            <w:pPr>
              <w:widowControl w:val="0"/>
              <w:spacing w:line="240" w:lineRule="auto"/>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表</w:t>
            </w:r>
            <w:r>
              <w:rPr>
                <w:rFonts w:hint="default" w:ascii="Times New Roman" w:hAnsi="Times New Roman" w:eastAsia="宋体" w:cs="Times New Roman"/>
                <w:b/>
                <w:bCs/>
                <w:color w:val="auto"/>
                <w:kern w:val="2"/>
                <w:sz w:val="21"/>
                <w:szCs w:val="21"/>
                <w:highlight w:val="none"/>
                <w:lang w:val="en-US" w:eastAsia="zh-CN" w:bidi="ar-SA"/>
              </w:rPr>
              <w:fldChar w:fldCharType="begin"/>
            </w:r>
            <w:r>
              <w:rPr>
                <w:rFonts w:hint="default" w:ascii="Times New Roman" w:hAnsi="Times New Roman" w:eastAsia="宋体" w:cs="Times New Roman"/>
                <w:b/>
                <w:bCs/>
                <w:color w:val="auto"/>
                <w:kern w:val="2"/>
                <w:sz w:val="21"/>
                <w:szCs w:val="21"/>
                <w:highlight w:val="none"/>
                <w:lang w:val="en-US" w:eastAsia="zh-CN" w:bidi="ar-SA"/>
              </w:rPr>
              <w:instrText xml:space="preserve"> STYLEREF 1 \s </w:instrText>
            </w:r>
            <w:r>
              <w:rPr>
                <w:rFonts w:hint="default" w:ascii="Times New Roman" w:hAnsi="Times New Roman" w:eastAsia="宋体" w:cs="Times New Roman"/>
                <w:b/>
                <w:bCs/>
                <w:color w:val="auto"/>
                <w:kern w:val="2"/>
                <w:sz w:val="21"/>
                <w:szCs w:val="21"/>
                <w:highlight w:val="none"/>
                <w:lang w:val="en-US" w:eastAsia="zh-CN" w:bidi="ar-SA"/>
              </w:rPr>
              <w:fldChar w:fldCharType="separate"/>
            </w:r>
            <w:r>
              <w:rPr>
                <w:rFonts w:hint="default" w:ascii="Times New Roman" w:hAnsi="Times New Roman" w:eastAsia="宋体" w:cs="Times New Roman"/>
                <w:b/>
                <w:bCs/>
                <w:color w:val="auto"/>
                <w:kern w:val="2"/>
                <w:sz w:val="21"/>
                <w:szCs w:val="21"/>
                <w:highlight w:val="none"/>
                <w:lang w:val="en-US" w:eastAsia="zh-CN" w:bidi="ar-SA"/>
              </w:rPr>
              <w:t>4</w:t>
            </w:r>
            <w:r>
              <w:rPr>
                <w:rFonts w:hint="default" w:ascii="Times New Roman" w:hAnsi="Times New Roman" w:eastAsia="宋体" w:cs="Times New Roman"/>
                <w:b/>
                <w:bCs/>
                <w:color w:val="auto"/>
                <w:kern w:val="2"/>
                <w:sz w:val="21"/>
                <w:szCs w:val="21"/>
                <w:highlight w:val="none"/>
                <w:lang w:val="en-US" w:eastAsia="zh-CN" w:bidi="ar-SA"/>
              </w:rPr>
              <w:fldChar w:fldCharType="end"/>
            </w:r>
            <w:r>
              <w:rPr>
                <w:rFonts w:hint="default" w:ascii="Times New Roman" w:hAnsi="Times New Roman" w:eastAsia="宋体" w:cs="Times New Roman"/>
                <w:b/>
                <w:bCs/>
                <w:color w:val="auto"/>
                <w:kern w:val="2"/>
                <w:sz w:val="21"/>
                <w:szCs w:val="21"/>
                <w:highlight w:val="none"/>
                <w:lang w:val="en-US" w:eastAsia="zh-CN" w:bidi="ar-SA"/>
              </w:rPr>
              <w:t>-</w:t>
            </w:r>
            <w:r>
              <w:rPr>
                <w:rFonts w:hint="eastAsia" w:cs="Times New Roman"/>
                <w:b/>
                <w:bCs/>
                <w:color w:val="auto"/>
                <w:kern w:val="2"/>
                <w:sz w:val="21"/>
                <w:szCs w:val="21"/>
                <w:highlight w:val="none"/>
                <w:lang w:val="en-US" w:eastAsia="zh-CN" w:bidi="ar-SA"/>
              </w:rPr>
              <w:t>5</w:t>
            </w:r>
            <w:r>
              <w:rPr>
                <w:rFonts w:hint="default" w:ascii="Times New Roman" w:hAnsi="Times New Roman" w:eastAsia="宋体" w:cs="Times New Roman"/>
                <w:b/>
                <w:bCs/>
                <w:color w:val="auto"/>
                <w:kern w:val="2"/>
                <w:sz w:val="21"/>
                <w:szCs w:val="21"/>
                <w:highlight w:val="none"/>
                <w:lang w:val="en-US" w:eastAsia="zh-CN" w:bidi="ar-SA"/>
              </w:rPr>
              <w:t>污水污染源源强核算结果及相关参数一览表</w:t>
            </w:r>
          </w:p>
          <w:tbl>
            <w:tblPr>
              <w:tblStyle w:val="4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50"/>
              <w:gridCol w:w="546"/>
              <w:gridCol w:w="813"/>
              <w:gridCol w:w="463"/>
              <w:gridCol w:w="673"/>
              <w:gridCol w:w="566"/>
              <w:gridCol w:w="765"/>
              <w:gridCol w:w="525"/>
              <w:gridCol w:w="439"/>
              <w:gridCol w:w="554"/>
              <w:gridCol w:w="554"/>
              <w:gridCol w:w="830"/>
              <w:gridCol w:w="562"/>
            </w:tblGrid>
            <w:tr w14:paraId="52BEC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51" w:type="pct"/>
                  <w:vMerge w:val="restart"/>
                  <w:vAlign w:val="center"/>
                </w:tcPr>
                <w:p w14:paraId="29BF4E8F">
                  <w:pPr>
                    <w:wordWrap w:val="0"/>
                    <w:autoSpaceDE w:val="0"/>
                    <w:autoSpaceDN w:val="0"/>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工序/生产线</w:t>
                  </w:r>
                </w:p>
              </w:tc>
              <w:tc>
                <w:tcPr>
                  <w:tcW w:w="348" w:type="pct"/>
                  <w:vMerge w:val="restart"/>
                  <w:vAlign w:val="center"/>
                </w:tcPr>
                <w:p w14:paraId="65E6BB53">
                  <w:pPr>
                    <w:wordWrap w:val="0"/>
                    <w:autoSpaceDE w:val="0"/>
                    <w:autoSpaceDN w:val="0"/>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装置</w:t>
                  </w:r>
                </w:p>
              </w:tc>
              <w:tc>
                <w:tcPr>
                  <w:tcW w:w="518" w:type="pct"/>
                  <w:vMerge w:val="restart"/>
                  <w:vAlign w:val="center"/>
                </w:tcPr>
                <w:p w14:paraId="7E1BAEB8">
                  <w:pPr>
                    <w:wordWrap w:val="0"/>
                    <w:autoSpaceDE w:val="0"/>
                    <w:autoSpaceDN w:val="0"/>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污染物</w:t>
                  </w:r>
                </w:p>
              </w:tc>
              <w:tc>
                <w:tcPr>
                  <w:tcW w:w="1573" w:type="pct"/>
                  <w:gridSpan w:val="4"/>
                  <w:vAlign w:val="center"/>
                </w:tcPr>
                <w:p w14:paraId="220C8C6C">
                  <w:pPr>
                    <w:wordWrap w:val="0"/>
                    <w:autoSpaceDE w:val="0"/>
                    <w:autoSpaceDN w:val="0"/>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污染物产生</w:t>
                  </w:r>
                </w:p>
              </w:tc>
              <w:tc>
                <w:tcPr>
                  <w:tcW w:w="615" w:type="pct"/>
                  <w:gridSpan w:val="2"/>
                  <w:vAlign w:val="center"/>
                </w:tcPr>
                <w:p w14:paraId="35FE0F6F">
                  <w:pPr>
                    <w:wordWrap w:val="0"/>
                    <w:autoSpaceDE w:val="0"/>
                    <w:autoSpaceDN w:val="0"/>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治理措施</w:t>
                  </w:r>
                </w:p>
              </w:tc>
              <w:tc>
                <w:tcPr>
                  <w:tcW w:w="1235" w:type="pct"/>
                  <w:gridSpan w:val="3"/>
                  <w:vAlign w:val="center"/>
                </w:tcPr>
                <w:p w14:paraId="5C075870">
                  <w:pPr>
                    <w:wordWrap w:val="0"/>
                    <w:autoSpaceDE w:val="0"/>
                    <w:autoSpaceDN w:val="0"/>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污染物排放</w:t>
                  </w:r>
                </w:p>
              </w:tc>
              <w:tc>
                <w:tcPr>
                  <w:tcW w:w="358" w:type="pct"/>
                  <w:vMerge w:val="restart"/>
                  <w:vAlign w:val="center"/>
                </w:tcPr>
                <w:p w14:paraId="176EEBA5">
                  <w:pPr>
                    <w:wordWrap w:val="0"/>
                    <w:autoSpaceDE w:val="0"/>
                    <w:autoSpaceDN w:val="0"/>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排放时间h/a</w:t>
                  </w:r>
                </w:p>
              </w:tc>
            </w:tr>
            <w:tr w14:paraId="2B6B6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51" w:type="pct"/>
                  <w:vMerge w:val="continue"/>
                  <w:vAlign w:val="center"/>
                </w:tcPr>
                <w:p w14:paraId="7CBBBC0C">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348" w:type="pct"/>
                  <w:vMerge w:val="continue"/>
                  <w:vAlign w:val="center"/>
                </w:tcPr>
                <w:p w14:paraId="1507C123">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518" w:type="pct"/>
                  <w:vMerge w:val="continue"/>
                  <w:vAlign w:val="center"/>
                </w:tcPr>
                <w:p w14:paraId="625531D0">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295" w:type="pct"/>
                  <w:vAlign w:val="center"/>
                </w:tcPr>
                <w:p w14:paraId="2B1F16B4">
                  <w:pPr>
                    <w:wordWrap w:val="0"/>
                    <w:autoSpaceDE w:val="0"/>
                    <w:autoSpaceDN w:val="0"/>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核算方法</w:t>
                  </w:r>
                </w:p>
              </w:tc>
              <w:tc>
                <w:tcPr>
                  <w:tcW w:w="429" w:type="pct"/>
                  <w:vAlign w:val="center"/>
                </w:tcPr>
                <w:p w14:paraId="042719C5">
                  <w:pPr>
                    <w:wordWrap w:val="0"/>
                    <w:autoSpaceDE w:val="0"/>
                    <w:autoSpaceDN w:val="0"/>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cs="Times New Roman"/>
                      <w:b/>
                      <w:bCs/>
                      <w:color w:val="auto"/>
                      <w:position w:val="-10"/>
                      <w:sz w:val="21"/>
                      <w:szCs w:val="21"/>
                      <w:highlight w:val="none"/>
                      <w:lang w:val="en-US" w:eastAsia="zh-CN" w:bidi="ar-SA"/>
                    </w:rPr>
                    <w:t>废水</w:t>
                  </w:r>
                  <w:r>
                    <w:rPr>
                      <w:rFonts w:hint="default" w:ascii="Times New Roman" w:hAnsi="Times New Roman" w:eastAsia="宋体" w:cs="Times New Roman"/>
                      <w:b/>
                      <w:bCs/>
                      <w:color w:val="auto"/>
                      <w:position w:val="-10"/>
                      <w:sz w:val="21"/>
                      <w:szCs w:val="21"/>
                      <w:highlight w:val="none"/>
                      <w:lang w:val="en-US" w:eastAsia="zh-CN" w:bidi="ar-SA"/>
                    </w:rPr>
                    <w:t>产生量</w:t>
                  </w:r>
                </w:p>
                <w:p w14:paraId="51EAF295">
                  <w:pPr>
                    <w:wordWrap w:val="0"/>
                    <w:autoSpaceDE w:val="0"/>
                    <w:autoSpaceDN w:val="0"/>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t/a</w:t>
                  </w:r>
                </w:p>
              </w:tc>
              <w:tc>
                <w:tcPr>
                  <w:tcW w:w="361" w:type="pct"/>
                  <w:vAlign w:val="center"/>
                </w:tcPr>
                <w:p w14:paraId="20CFAC90">
                  <w:pPr>
                    <w:wordWrap w:val="0"/>
                    <w:autoSpaceDE w:val="0"/>
                    <w:autoSpaceDN w:val="0"/>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产生浓度mg/L</w:t>
                  </w:r>
                </w:p>
              </w:tc>
              <w:tc>
                <w:tcPr>
                  <w:tcW w:w="486" w:type="pct"/>
                  <w:vAlign w:val="center"/>
                </w:tcPr>
                <w:p w14:paraId="6525C69B">
                  <w:pPr>
                    <w:wordWrap w:val="0"/>
                    <w:autoSpaceDE w:val="0"/>
                    <w:autoSpaceDN w:val="0"/>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产生量</w:t>
                  </w:r>
                </w:p>
                <w:p w14:paraId="7362050D">
                  <w:pPr>
                    <w:wordWrap w:val="0"/>
                    <w:autoSpaceDE w:val="0"/>
                    <w:autoSpaceDN w:val="0"/>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t/a</w:t>
                  </w:r>
                </w:p>
              </w:tc>
              <w:tc>
                <w:tcPr>
                  <w:tcW w:w="335" w:type="pct"/>
                  <w:vAlign w:val="center"/>
                </w:tcPr>
                <w:p w14:paraId="3D1C5159">
                  <w:pPr>
                    <w:wordWrap w:val="0"/>
                    <w:autoSpaceDE w:val="0"/>
                    <w:autoSpaceDN w:val="0"/>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工艺</w:t>
                  </w:r>
                </w:p>
              </w:tc>
              <w:tc>
                <w:tcPr>
                  <w:tcW w:w="279" w:type="pct"/>
                  <w:vAlign w:val="center"/>
                </w:tcPr>
                <w:p w14:paraId="3AF81EE0">
                  <w:pPr>
                    <w:wordWrap w:val="0"/>
                    <w:autoSpaceDE w:val="0"/>
                    <w:autoSpaceDN w:val="0"/>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效率</w:t>
                  </w:r>
                </w:p>
              </w:tc>
              <w:tc>
                <w:tcPr>
                  <w:tcW w:w="353" w:type="pct"/>
                  <w:vAlign w:val="center"/>
                </w:tcPr>
                <w:p w14:paraId="623AEBE3">
                  <w:pPr>
                    <w:wordWrap w:val="0"/>
                    <w:autoSpaceDE w:val="0"/>
                    <w:autoSpaceDN w:val="0"/>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核算方法</w:t>
                  </w:r>
                </w:p>
              </w:tc>
              <w:tc>
                <w:tcPr>
                  <w:tcW w:w="353" w:type="pct"/>
                  <w:vAlign w:val="center"/>
                </w:tcPr>
                <w:p w14:paraId="7C0FDE75">
                  <w:pPr>
                    <w:wordWrap w:val="0"/>
                    <w:autoSpaceDE w:val="0"/>
                    <w:autoSpaceDN w:val="0"/>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排放浓度</w:t>
                  </w:r>
                </w:p>
                <w:p w14:paraId="601EC03C">
                  <w:pPr>
                    <w:wordWrap w:val="0"/>
                    <w:autoSpaceDE w:val="0"/>
                    <w:autoSpaceDN w:val="0"/>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mg/L</w:t>
                  </w:r>
                </w:p>
              </w:tc>
              <w:tc>
                <w:tcPr>
                  <w:tcW w:w="529" w:type="pct"/>
                  <w:vAlign w:val="center"/>
                </w:tcPr>
                <w:p w14:paraId="5F55B4CB">
                  <w:pPr>
                    <w:wordWrap w:val="0"/>
                    <w:autoSpaceDE w:val="0"/>
                    <w:autoSpaceDN w:val="0"/>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排放量</w:t>
                  </w:r>
                </w:p>
                <w:p w14:paraId="3450E527">
                  <w:pPr>
                    <w:wordWrap w:val="0"/>
                    <w:autoSpaceDE w:val="0"/>
                    <w:autoSpaceDN w:val="0"/>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t/a</w:t>
                  </w:r>
                </w:p>
              </w:tc>
              <w:tc>
                <w:tcPr>
                  <w:tcW w:w="358" w:type="pct"/>
                  <w:vMerge w:val="continue"/>
                  <w:vAlign w:val="center"/>
                </w:tcPr>
                <w:p w14:paraId="09AC3C65">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r>
            <w:tr w14:paraId="05A3F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51" w:type="pct"/>
                  <w:vMerge w:val="restart"/>
                  <w:vAlign w:val="center"/>
                </w:tcPr>
                <w:p w14:paraId="3BB38425">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eastAsia="宋体" w:cs="Times New Roman"/>
                      <w:color w:val="auto"/>
                      <w:position w:val="-10"/>
                      <w:sz w:val="21"/>
                      <w:szCs w:val="21"/>
                      <w:highlight w:val="none"/>
                      <w:lang w:val="en-US" w:eastAsia="zh-CN" w:bidi="ar-SA"/>
                    </w:rPr>
                    <w:t>办公生活</w:t>
                  </w:r>
                </w:p>
              </w:tc>
              <w:tc>
                <w:tcPr>
                  <w:tcW w:w="348" w:type="pct"/>
                  <w:vMerge w:val="restart"/>
                  <w:vAlign w:val="center"/>
                </w:tcPr>
                <w:p w14:paraId="29C1167E">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eastAsia="宋体" w:cs="Times New Roman"/>
                      <w:color w:val="auto"/>
                      <w:position w:val="-10"/>
                      <w:sz w:val="21"/>
                      <w:szCs w:val="21"/>
                      <w:highlight w:val="none"/>
                      <w:lang w:val="en-US" w:eastAsia="zh-CN" w:bidi="ar-SA"/>
                    </w:rPr>
                    <w:t>三级化粪池</w:t>
                  </w:r>
                </w:p>
              </w:tc>
              <w:tc>
                <w:tcPr>
                  <w:tcW w:w="518" w:type="pct"/>
                  <w:vAlign w:val="center"/>
                </w:tcPr>
                <w:p w14:paraId="2DB0CCE2">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eastAsia="宋体" w:cs="Times New Roman"/>
                      <w:color w:val="auto"/>
                      <w:position w:val="-10"/>
                      <w:sz w:val="21"/>
                      <w:szCs w:val="21"/>
                      <w:highlight w:val="none"/>
                      <w:lang w:val="en-US" w:eastAsia="zh-CN" w:bidi="ar-SA"/>
                    </w:rPr>
                    <w:t>COD</w:t>
                  </w:r>
                  <w:r>
                    <w:rPr>
                      <w:rFonts w:hint="default" w:ascii="Times New Roman" w:hAnsi="Times New Roman" w:eastAsia="宋体" w:cs="Times New Roman"/>
                      <w:color w:val="auto"/>
                      <w:position w:val="-10"/>
                      <w:sz w:val="21"/>
                      <w:szCs w:val="21"/>
                      <w:highlight w:val="none"/>
                      <w:vertAlign w:val="subscript"/>
                      <w:lang w:val="en-US" w:eastAsia="zh-CN" w:bidi="ar-SA"/>
                    </w:rPr>
                    <w:t>Cr</w:t>
                  </w:r>
                </w:p>
              </w:tc>
              <w:tc>
                <w:tcPr>
                  <w:tcW w:w="295" w:type="pct"/>
                  <w:vMerge w:val="restart"/>
                  <w:vAlign w:val="center"/>
                </w:tcPr>
                <w:p w14:paraId="29E89946">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eastAsia="宋体" w:cs="Times New Roman"/>
                      <w:color w:val="auto"/>
                      <w:position w:val="-10"/>
                      <w:sz w:val="21"/>
                      <w:szCs w:val="21"/>
                      <w:highlight w:val="none"/>
                      <w:lang w:val="en-US" w:eastAsia="zh-CN" w:bidi="ar-SA"/>
                    </w:rPr>
                    <w:t>产污系数法</w:t>
                  </w:r>
                </w:p>
              </w:tc>
              <w:tc>
                <w:tcPr>
                  <w:tcW w:w="429" w:type="pct"/>
                  <w:vMerge w:val="restart"/>
                  <w:vAlign w:val="center"/>
                </w:tcPr>
                <w:p w14:paraId="32BCF0E2">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eastAsia" w:cs="Times New Roman"/>
                      <w:color w:val="auto"/>
                      <w:position w:val="-10"/>
                      <w:sz w:val="21"/>
                      <w:szCs w:val="21"/>
                      <w:highlight w:val="none"/>
                      <w:lang w:val="en-US" w:eastAsia="zh-CN" w:bidi="ar-SA"/>
                    </w:rPr>
                    <w:t>50.4</w:t>
                  </w:r>
                </w:p>
              </w:tc>
              <w:tc>
                <w:tcPr>
                  <w:tcW w:w="361" w:type="pct"/>
                  <w:vAlign w:val="center"/>
                </w:tcPr>
                <w:p w14:paraId="7D96AEC6">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eastAsia="宋体" w:cs="Times New Roman"/>
                      <w:color w:val="auto"/>
                      <w:position w:val="-10"/>
                      <w:sz w:val="21"/>
                      <w:szCs w:val="21"/>
                      <w:highlight w:val="none"/>
                      <w:lang w:val="en-US" w:eastAsia="zh-CN" w:bidi="ar-SA"/>
                    </w:rPr>
                    <w:t>250</w:t>
                  </w:r>
                </w:p>
              </w:tc>
              <w:tc>
                <w:tcPr>
                  <w:tcW w:w="766" w:type="dxa"/>
                  <w:vAlign w:val="center"/>
                </w:tcPr>
                <w:p w14:paraId="68E5CBB5">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0.</w:t>
                  </w:r>
                  <w:r>
                    <w:rPr>
                      <w:rFonts w:hint="eastAsia" w:cs="Times New Roman"/>
                      <w:i w:val="0"/>
                      <w:iCs w:val="0"/>
                      <w:color w:val="auto"/>
                      <w:kern w:val="0"/>
                      <w:sz w:val="21"/>
                      <w:szCs w:val="21"/>
                      <w:highlight w:val="none"/>
                      <w:u w:val="none"/>
                      <w:lang w:val="en-US" w:eastAsia="zh-CN"/>
                    </w:rPr>
                    <w:t>0126</w:t>
                  </w:r>
                </w:p>
              </w:tc>
              <w:tc>
                <w:tcPr>
                  <w:tcW w:w="335" w:type="pct"/>
                  <w:vMerge w:val="restart"/>
                  <w:vAlign w:val="center"/>
                </w:tcPr>
                <w:p w14:paraId="1C545583">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eastAsia="宋体" w:cs="Times New Roman"/>
                      <w:color w:val="auto"/>
                      <w:position w:val="-10"/>
                      <w:sz w:val="21"/>
                      <w:szCs w:val="21"/>
                      <w:highlight w:val="none"/>
                      <w:lang w:val="en-US" w:eastAsia="zh-CN" w:bidi="ar-SA"/>
                    </w:rPr>
                    <w:t>厌氧工艺</w:t>
                  </w:r>
                </w:p>
              </w:tc>
              <w:tc>
                <w:tcPr>
                  <w:tcW w:w="279" w:type="pct"/>
                  <w:vAlign w:val="center"/>
                </w:tcPr>
                <w:p w14:paraId="692472DC">
                  <w:pPr>
                    <w:widowControl/>
                    <w:spacing w:line="240" w:lineRule="auto"/>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20%</w:t>
                  </w:r>
                </w:p>
              </w:tc>
              <w:tc>
                <w:tcPr>
                  <w:tcW w:w="353" w:type="pct"/>
                  <w:vMerge w:val="restart"/>
                  <w:vAlign w:val="center"/>
                </w:tcPr>
                <w:p w14:paraId="694E39C4">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eastAsia="宋体" w:cs="Times New Roman"/>
                      <w:color w:val="auto"/>
                      <w:position w:val="-10"/>
                      <w:sz w:val="21"/>
                      <w:szCs w:val="21"/>
                      <w:highlight w:val="none"/>
                      <w:lang w:val="en-US" w:eastAsia="zh-CN" w:bidi="ar-SA"/>
                    </w:rPr>
                    <w:t>排污系数法</w:t>
                  </w:r>
                </w:p>
              </w:tc>
              <w:tc>
                <w:tcPr>
                  <w:tcW w:w="353" w:type="pct"/>
                  <w:vAlign w:val="center"/>
                </w:tcPr>
                <w:p w14:paraId="2F03AA5E">
                  <w:pPr>
                    <w:widowControl/>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200</w:t>
                  </w:r>
                </w:p>
              </w:tc>
              <w:tc>
                <w:tcPr>
                  <w:tcW w:w="833" w:type="dxa"/>
                  <w:vAlign w:val="center"/>
                </w:tcPr>
                <w:p w14:paraId="23D94D02">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0.</w:t>
                  </w:r>
                  <w:r>
                    <w:rPr>
                      <w:rFonts w:hint="eastAsia" w:cs="Times New Roman"/>
                      <w:i w:val="0"/>
                      <w:iCs w:val="0"/>
                      <w:color w:val="auto"/>
                      <w:kern w:val="0"/>
                      <w:sz w:val="21"/>
                      <w:szCs w:val="21"/>
                      <w:highlight w:val="none"/>
                      <w:u w:val="none"/>
                      <w:lang w:val="en-US" w:eastAsia="zh-CN"/>
                    </w:rPr>
                    <w:t>01008</w:t>
                  </w:r>
                </w:p>
              </w:tc>
              <w:tc>
                <w:tcPr>
                  <w:tcW w:w="358" w:type="pct"/>
                  <w:vMerge w:val="restart"/>
                  <w:vAlign w:val="center"/>
                </w:tcPr>
                <w:p w14:paraId="3DA8A75F">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eastAsia" w:cs="Times New Roman"/>
                      <w:color w:val="auto"/>
                      <w:position w:val="-10"/>
                      <w:sz w:val="21"/>
                      <w:szCs w:val="21"/>
                      <w:highlight w:val="none"/>
                      <w:lang w:val="en-US" w:eastAsia="zh-CN" w:bidi="ar-SA"/>
                    </w:rPr>
                    <w:t>2600</w:t>
                  </w:r>
                </w:p>
              </w:tc>
            </w:tr>
            <w:tr w14:paraId="0E54C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51" w:type="pct"/>
                  <w:vMerge w:val="continue"/>
                  <w:vAlign w:val="center"/>
                </w:tcPr>
                <w:p w14:paraId="3E20AFFC">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348" w:type="pct"/>
                  <w:vMerge w:val="continue"/>
                  <w:vAlign w:val="center"/>
                </w:tcPr>
                <w:p w14:paraId="458A3F31">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518" w:type="pct"/>
                  <w:vAlign w:val="center"/>
                </w:tcPr>
                <w:p w14:paraId="3FA8C903">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eastAsia="宋体" w:cs="Times New Roman"/>
                      <w:color w:val="auto"/>
                      <w:position w:val="-10"/>
                      <w:sz w:val="21"/>
                      <w:szCs w:val="21"/>
                      <w:highlight w:val="none"/>
                      <w:lang w:val="en-US" w:eastAsia="zh-CN" w:bidi="ar-SA"/>
                    </w:rPr>
                    <w:t>BOD</w:t>
                  </w:r>
                  <w:r>
                    <w:rPr>
                      <w:rFonts w:hint="default" w:ascii="Times New Roman" w:hAnsi="Times New Roman" w:eastAsia="宋体" w:cs="Times New Roman"/>
                      <w:color w:val="auto"/>
                      <w:position w:val="-10"/>
                      <w:sz w:val="21"/>
                      <w:szCs w:val="21"/>
                      <w:highlight w:val="none"/>
                      <w:vertAlign w:val="subscript"/>
                      <w:lang w:val="en-US" w:eastAsia="zh-CN" w:bidi="ar-SA"/>
                    </w:rPr>
                    <w:t>5</w:t>
                  </w:r>
                </w:p>
              </w:tc>
              <w:tc>
                <w:tcPr>
                  <w:tcW w:w="295" w:type="pct"/>
                  <w:vMerge w:val="continue"/>
                  <w:vAlign w:val="center"/>
                </w:tcPr>
                <w:p w14:paraId="078713C8">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429" w:type="pct"/>
                  <w:vMerge w:val="continue"/>
                  <w:vAlign w:val="center"/>
                </w:tcPr>
                <w:p w14:paraId="24E23DE8">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361" w:type="pct"/>
                  <w:vAlign w:val="center"/>
                </w:tcPr>
                <w:p w14:paraId="3417C83B">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eastAsia="宋体" w:cs="Times New Roman"/>
                      <w:color w:val="auto"/>
                      <w:position w:val="-10"/>
                      <w:sz w:val="21"/>
                      <w:szCs w:val="21"/>
                      <w:highlight w:val="none"/>
                      <w:lang w:val="en-US" w:eastAsia="zh-CN" w:bidi="ar-SA"/>
                    </w:rPr>
                    <w:t>110</w:t>
                  </w:r>
                </w:p>
              </w:tc>
              <w:tc>
                <w:tcPr>
                  <w:tcW w:w="766" w:type="dxa"/>
                  <w:vAlign w:val="center"/>
                </w:tcPr>
                <w:p w14:paraId="3C9019D1">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0.0</w:t>
                  </w:r>
                  <w:r>
                    <w:rPr>
                      <w:rFonts w:hint="eastAsia" w:cs="Times New Roman"/>
                      <w:i w:val="0"/>
                      <w:iCs w:val="0"/>
                      <w:color w:val="auto"/>
                      <w:kern w:val="0"/>
                      <w:sz w:val="21"/>
                      <w:szCs w:val="21"/>
                      <w:highlight w:val="none"/>
                      <w:u w:val="none"/>
                      <w:lang w:val="en-US" w:eastAsia="zh-CN"/>
                    </w:rPr>
                    <w:t>0554</w:t>
                  </w:r>
                </w:p>
              </w:tc>
              <w:tc>
                <w:tcPr>
                  <w:tcW w:w="335" w:type="pct"/>
                  <w:vMerge w:val="continue"/>
                  <w:vAlign w:val="center"/>
                </w:tcPr>
                <w:p w14:paraId="5F564F97">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279" w:type="pct"/>
                  <w:vAlign w:val="center"/>
                </w:tcPr>
                <w:p w14:paraId="32C84EC3">
                  <w:pPr>
                    <w:widowControl/>
                    <w:spacing w:line="240" w:lineRule="auto"/>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29%</w:t>
                  </w:r>
                </w:p>
              </w:tc>
              <w:tc>
                <w:tcPr>
                  <w:tcW w:w="353" w:type="pct"/>
                  <w:vMerge w:val="continue"/>
                  <w:vAlign w:val="center"/>
                </w:tcPr>
                <w:p w14:paraId="1E7ACE2A">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353" w:type="pct"/>
                  <w:vAlign w:val="center"/>
                </w:tcPr>
                <w:p w14:paraId="7D45EF6C">
                  <w:pPr>
                    <w:widowControl/>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78</w:t>
                  </w:r>
                </w:p>
              </w:tc>
              <w:tc>
                <w:tcPr>
                  <w:tcW w:w="833" w:type="dxa"/>
                  <w:vAlign w:val="center"/>
                </w:tcPr>
                <w:p w14:paraId="175B19CC">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0.0</w:t>
                  </w:r>
                  <w:r>
                    <w:rPr>
                      <w:rFonts w:hint="eastAsia" w:cs="Times New Roman"/>
                      <w:i w:val="0"/>
                      <w:iCs w:val="0"/>
                      <w:color w:val="auto"/>
                      <w:kern w:val="0"/>
                      <w:sz w:val="21"/>
                      <w:szCs w:val="21"/>
                      <w:highlight w:val="none"/>
                      <w:u w:val="none"/>
                      <w:lang w:val="en-US" w:eastAsia="zh-CN"/>
                    </w:rPr>
                    <w:t>0393</w:t>
                  </w:r>
                </w:p>
              </w:tc>
              <w:tc>
                <w:tcPr>
                  <w:tcW w:w="358" w:type="pct"/>
                  <w:vMerge w:val="continue"/>
                  <w:vAlign w:val="center"/>
                </w:tcPr>
                <w:p w14:paraId="36E00008">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r>
            <w:tr w14:paraId="47A87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51" w:type="pct"/>
                  <w:vMerge w:val="continue"/>
                  <w:vAlign w:val="center"/>
                </w:tcPr>
                <w:p w14:paraId="4B331DD0">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348" w:type="pct"/>
                  <w:vMerge w:val="continue"/>
                  <w:vAlign w:val="center"/>
                </w:tcPr>
                <w:p w14:paraId="7A01D5C0">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518" w:type="pct"/>
                  <w:vAlign w:val="center"/>
                </w:tcPr>
                <w:p w14:paraId="4B5F14BC">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eastAsia="宋体" w:cs="Times New Roman"/>
                      <w:color w:val="auto"/>
                      <w:position w:val="-10"/>
                      <w:sz w:val="21"/>
                      <w:szCs w:val="21"/>
                      <w:highlight w:val="none"/>
                      <w:lang w:val="en-US" w:eastAsia="zh-CN" w:bidi="ar-SA"/>
                    </w:rPr>
                    <w:t>SS</w:t>
                  </w:r>
                </w:p>
              </w:tc>
              <w:tc>
                <w:tcPr>
                  <w:tcW w:w="295" w:type="pct"/>
                  <w:vMerge w:val="continue"/>
                  <w:vAlign w:val="center"/>
                </w:tcPr>
                <w:p w14:paraId="3BC67121">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429" w:type="pct"/>
                  <w:vMerge w:val="continue"/>
                  <w:vAlign w:val="center"/>
                </w:tcPr>
                <w:p w14:paraId="3E4657BC">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361" w:type="pct"/>
                  <w:vAlign w:val="center"/>
                </w:tcPr>
                <w:p w14:paraId="1BFF8BF6">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eastAsia="宋体" w:cs="Times New Roman"/>
                      <w:color w:val="auto"/>
                      <w:position w:val="-10"/>
                      <w:sz w:val="21"/>
                      <w:szCs w:val="21"/>
                      <w:highlight w:val="none"/>
                      <w:lang w:val="en-US" w:eastAsia="zh-CN" w:bidi="ar-SA"/>
                    </w:rPr>
                    <w:t>100</w:t>
                  </w:r>
                </w:p>
              </w:tc>
              <w:tc>
                <w:tcPr>
                  <w:tcW w:w="766" w:type="dxa"/>
                  <w:vAlign w:val="center"/>
                </w:tcPr>
                <w:p w14:paraId="54DD740F">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0.0</w:t>
                  </w:r>
                  <w:r>
                    <w:rPr>
                      <w:rFonts w:hint="eastAsia" w:cs="Times New Roman"/>
                      <w:i w:val="0"/>
                      <w:iCs w:val="0"/>
                      <w:color w:val="auto"/>
                      <w:kern w:val="0"/>
                      <w:sz w:val="21"/>
                      <w:szCs w:val="21"/>
                      <w:highlight w:val="none"/>
                      <w:u w:val="none"/>
                      <w:lang w:val="en-US" w:eastAsia="zh-CN"/>
                    </w:rPr>
                    <w:t>0504</w:t>
                  </w:r>
                </w:p>
              </w:tc>
              <w:tc>
                <w:tcPr>
                  <w:tcW w:w="335" w:type="pct"/>
                  <w:vMerge w:val="continue"/>
                  <w:vAlign w:val="center"/>
                </w:tcPr>
                <w:p w14:paraId="2AF33956">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279" w:type="pct"/>
                  <w:vAlign w:val="center"/>
                </w:tcPr>
                <w:p w14:paraId="24329A18">
                  <w:pPr>
                    <w:widowControl/>
                    <w:spacing w:line="240" w:lineRule="auto"/>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30%</w:t>
                  </w:r>
                </w:p>
              </w:tc>
              <w:tc>
                <w:tcPr>
                  <w:tcW w:w="353" w:type="pct"/>
                  <w:vMerge w:val="continue"/>
                  <w:vAlign w:val="center"/>
                </w:tcPr>
                <w:p w14:paraId="221C516E">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353" w:type="pct"/>
                  <w:vAlign w:val="center"/>
                </w:tcPr>
                <w:p w14:paraId="3E9A87E6">
                  <w:pPr>
                    <w:widowControl/>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70</w:t>
                  </w:r>
                </w:p>
              </w:tc>
              <w:tc>
                <w:tcPr>
                  <w:tcW w:w="833" w:type="dxa"/>
                  <w:vAlign w:val="center"/>
                </w:tcPr>
                <w:p w14:paraId="159FE650">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0.0</w:t>
                  </w:r>
                  <w:r>
                    <w:rPr>
                      <w:rFonts w:hint="eastAsia" w:cs="Times New Roman"/>
                      <w:i w:val="0"/>
                      <w:iCs w:val="0"/>
                      <w:color w:val="auto"/>
                      <w:kern w:val="0"/>
                      <w:sz w:val="21"/>
                      <w:szCs w:val="21"/>
                      <w:highlight w:val="none"/>
                      <w:u w:val="none"/>
                      <w:lang w:val="en-US" w:eastAsia="zh-CN"/>
                    </w:rPr>
                    <w:t>0353</w:t>
                  </w:r>
                </w:p>
              </w:tc>
              <w:tc>
                <w:tcPr>
                  <w:tcW w:w="358" w:type="pct"/>
                  <w:vMerge w:val="continue"/>
                  <w:vAlign w:val="center"/>
                </w:tcPr>
                <w:p w14:paraId="737B7718">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r>
            <w:tr w14:paraId="75DDE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51" w:type="pct"/>
                  <w:vMerge w:val="continue"/>
                  <w:vAlign w:val="center"/>
                </w:tcPr>
                <w:p w14:paraId="438E06E3">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348" w:type="pct"/>
                  <w:vMerge w:val="continue"/>
                  <w:vAlign w:val="center"/>
                </w:tcPr>
                <w:p w14:paraId="268E3757">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518" w:type="pct"/>
                  <w:vAlign w:val="center"/>
                </w:tcPr>
                <w:p w14:paraId="44A34F80">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eastAsia="宋体" w:cs="Times New Roman"/>
                      <w:color w:val="auto"/>
                      <w:position w:val="-10"/>
                      <w:sz w:val="21"/>
                      <w:szCs w:val="21"/>
                      <w:highlight w:val="none"/>
                      <w:lang w:val="en-US" w:eastAsia="zh-CN" w:bidi="ar-SA"/>
                    </w:rPr>
                    <w:t>NH</w:t>
                  </w:r>
                  <w:r>
                    <w:rPr>
                      <w:rFonts w:hint="default" w:ascii="Times New Roman" w:hAnsi="Times New Roman" w:eastAsia="宋体" w:cs="Times New Roman"/>
                      <w:color w:val="auto"/>
                      <w:position w:val="-10"/>
                      <w:sz w:val="21"/>
                      <w:szCs w:val="21"/>
                      <w:highlight w:val="none"/>
                      <w:vertAlign w:val="subscript"/>
                      <w:lang w:val="en-US" w:eastAsia="zh-CN" w:bidi="ar-SA"/>
                    </w:rPr>
                    <w:t>3</w:t>
                  </w:r>
                  <w:r>
                    <w:rPr>
                      <w:rFonts w:hint="default" w:ascii="Times New Roman" w:hAnsi="Times New Roman" w:eastAsia="宋体" w:cs="Times New Roman"/>
                      <w:color w:val="auto"/>
                      <w:position w:val="-10"/>
                      <w:sz w:val="21"/>
                      <w:szCs w:val="21"/>
                      <w:highlight w:val="none"/>
                      <w:lang w:val="en-US" w:eastAsia="zh-CN" w:bidi="ar-SA"/>
                    </w:rPr>
                    <w:t>-N</w:t>
                  </w:r>
                </w:p>
              </w:tc>
              <w:tc>
                <w:tcPr>
                  <w:tcW w:w="295" w:type="pct"/>
                  <w:vMerge w:val="continue"/>
                  <w:vAlign w:val="center"/>
                </w:tcPr>
                <w:p w14:paraId="16A9B53A">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429" w:type="pct"/>
                  <w:vMerge w:val="continue"/>
                  <w:vAlign w:val="center"/>
                </w:tcPr>
                <w:p w14:paraId="22037379">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361" w:type="pct"/>
                  <w:vAlign w:val="center"/>
                </w:tcPr>
                <w:p w14:paraId="2589B96E">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eastAsia="宋体" w:cs="Times New Roman"/>
                      <w:color w:val="auto"/>
                      <w:position w:val="-10"/>
                      <w:sz w:val="21"/>
                      <w:szCs w:val="21"/>
                      <w:highlight w:val="none"/>
                      <w:lang w:val="en-US" w:eastAsia="zh-CN" w:bidi="ar-SA"/>
                    </w:rPr>
                    <w:t>20</w:t>
                  </w:r>
                </w:p>
              </w:tc>
              <w:tc>
                <w:tcPr>
                  <w:tcW w:w="766" w:type="dxa"/>
                  <w:vAlign w:val="center"/>
                </w:tcPr>
                <w:p w14:paraId="6005EA26">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0.0</w:t>
                  </w:r>
                  <w:r>
                    <w:rPr>
                      <w:rFonts w:hint="eastAsia" w:cs="Times New Roman"/>
                      <w:i w:val="0"/>
                      <w:iCs w:val="0"/>
                      <w:color w:val="auto"/>
                      <w:kern w:val="0"/>
                      <w:sz w:val="21"/>
                      <w:szCs w:val="21"/>
                      <w:highlight w:val="none"/>
                      <w:u w:val="none"/>
                      <w:lang w:val="en-US" w:eastAsia="zh-CN"/>
                    </w:rPr>
                    <w:t>0101</w:t>
                  </w:r>
                </w:p>
              </w:tc>
              <w:tc>
                <w:tcPr>
                  <w:tcW w:w="335" w:type="pct"/>
                  <w:vMerge w:val="continue"/>
                  <w:vAlign w:val="center"/>
                </w:tcPr>
                <w:p w14:paraId="6D08F876">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279" w:type="pct"/>
                  <w:vAlign w:val="center"/>
                </w:tcPr>
                <w:p w14:paraId="3549BF7A">
                  <w:pPr>
                    <w:widowControl/>
                    <w:spacing w:line="240" w:lineRule="auto"/>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p>
              </w:tc>
              <w:tc>
                <w:tcPr>
                  <w:tcW w:w="353" w:type="pct"/>
                  <w:vMerge w:val="continue"/>
                  <w:vAlign w:val="center"/>
                </w:tcPr>
                <w:p w14:paraId="0FFB50BF">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353" w:type="pct"/>
                  <w:vAlign w:val="center"/>
                </w:tcPr>
                <w:p w14:paraId="423D8322">
                  <w:pPr>
                    <w:widowControl/>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19</w:t>
                  </w:r>
                </w:p>
              </w:tc>
              <w:tc>
                <w:tcPr>
                  <w:tcW w:w="833" w:type="dxa"/>
                  <w:vAlign w:val="center"/>
                </w:tcPr>
                <w:p w14:paraId="4A38BA12">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0.00</w:t>
                  </w:r>
                  <w:r>
                    <w:rPr>
                      <w:rFonts w:hint="eastAsia" w:cs="Times New Roman"/>
                      <w:i w:val="0"/>
                      <w:iCs w:val="0"/>
                      <w:color w:val="auto"/>
                      <w:kern w:val="0"/>
                      <w:sz w:val="21"/>
                      <w:szCs w:val="21"/>
                      <w:highlight w:val="none"/>
                      <w:u w:val="none"/>
                      <w:lang w:val="en-US" w:eastAsia="zh-CN"/>
                    </w:rPr>
                    <w:t>096</w:t>
                  </w:r>
                </w:p>
              </w:tc>
              <w:tc>
                <w:tcPr>
                  <w:tcW w:w="358" w:type="pct"/>
                  <w:vMerge w:val="continue"/>
                  <w:vAlign w:val="center"/>
                </w:tcPr>
                <w:p w14:paraId="3C3B1A98">
                  <w:pPr>
                    <w:wordWrap w:val="0"/>
                    <w:autoSpaceDE w:val="0"/>
                    <w:autoSpaceDN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r>
          </w:tbl>
          <w:p w14:paraId="68733AAA">
            <w:pPr>
              <w:keepNext/>
              <w:keepLines/>
              <w:tabs>
                <w:tab w:val="left" w:pos="0"/>
              </w:tabs>
              <w:ind w:firstLine="480" w:firstLineChars="200"/>
              <w:outlineLvl w:val="3"/>
              <w:rPr>
                <w:rFonts w:hint="default" w:ascii="Times New Roman" w:hAnsi="Times New Roman" w:eastAsia="宋体" w:cs="Times New Roman"/>
                <w:b/>
                <w:bCs/>
                <w:color w:val="auto"/>
                <w:highlight w:val="none"/>
              </w:rPr>
            </w:pPr>
            <w:r>
              <w:rPr>
                <w:rFonts w:hint="default" w:ascii="Times New Roman" w:hAnsi="Times New Roman" w:cs="Times New Roman"/>
                <w:b/>
                <w:bCs/>
                <w:color w:val="auto"/>
                <w:highlight w:val="none"/>
                <w:lang w:val="en-US" w:eastAsia="zh-CN"/>
              </w:rPr>
              <w:t>2</w:t>
            </w:r>
            <w:r>
              <w:rPr>
                <w:rFonts w:hint="default" w:ascii="Times New Roman" w:hAnsi="Times New Roman" w:eastAsia="宋体" w:cs="Times New Roman"/>
                <w:b/>
                <w:bCs/>
                <w:color w:val="auto"/>
                <w:highlight w:val="none"/>
              </w:rPr>
              <w:t>、排放口基本情况</w:t>
            </w:r>
          </w:p>
          <w:p w14:paraId="5AE0108A">
            <w:pPr>
              <w:ind w:firstLine="480" w:firstLineChars="20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营运期排放的废水</w:t>
            </w:r>
            <w:r>
              <w:rPr>
                <w:rFonts w:hint="eastAsia" w:ascii="Times New Roman" w:hAnsi="Times New Roman" w:eastAsia="宋体" w:cs="Times New Roman"/>
                <w:color w:val="auto"/>
                <w:highlight w:val="none"/>
                <w:lang w:val="en-US" w:eastAsia="zh-CN"/>
              </w:rPr>
              <w:t>为</w:t>
            </w:r>
            <w:r>
              <w:rPr>
                <w:rFonts w:hint="default" w:ascii="Times New Roman" w:hAnsi="Times New Roman" w:eastAsia="宋体" w:cs="Times New Roman"/>
                <w:color w:val="auto"/>
                <w:highlight w:val="none"/>
              </w:rPr>
              <w:t>生活污水</w:t>
            </w:r>
            <w:r>
              <w:rPr>
                <w:rFonts w:hint="eastAsia" w:cs="Times New Roman"/>
                <w:color w:val="auto"/>
                <w:highlight w:val="none"/>
                <w:lang w:val="en-US" w:eastAsia="zh-CN"/>
              </w:rPr>
              <w:t>，</w:t>
            </w:r>
            <w:r>
              <w:rPr>
                <w:rFonts w:hint="default" w:ascii="Times New Roman" w:hAnsi="Times New Roman" w:eastAsia="宋体" w:cs="Times New Roman"/>
                <w:color w:val="auto"/>
                <w:highlight w:val="none"/>
              </w:rPr>
              <w:t>产生量为</w:t>
            </w:r>
            <w:r>
              <w:rPr>
                <w:rFonts w:hint="eastAsia" w:cs="Times New Roman"/>
                <w:color w:val="auto"/>
                <w:highlight w:val="none"/>
                <w:lang w:val="en-US" w:eastAsia="zh-CN"/>
              </w:rPr>
              <w:t>50.4</w:t>
            </w:r>
            <w:r>
              <w:rPr>
                <w:rFonts w:hint="default" w:ascii="Times New Roman" w:hAnsi="Times New Roman" w:eastAsia="宋体" w:cs="Times New Roman"/>
                <w:color w:val="auto"/>
                <w:highlight w:val="none"/>
              </w:rPr>
              <w:t>t/a，主要污染物为COD</w:t>
            </w:r>
            <w:r>
              <w:rPr>
                <w:rFonts w:hint="default" w:ascii="Times New Roman" w:hAnsi="Times New Roman" w:eastAsia="宋体" w:cs="Times New Roman"/>
                <w:color w:val="auto"/>
                <w:highlight w:val="none"/>
                <w:vertAlign w:val="subscript"/>
              </w:rPr>
              <w:t>Cr</w:t>
            </w:r>
            <w:r>
              <w:rPr>
                <w:rFonts w:hint="default" w:ascii="Times New Roman" w:hAnsi="Times New Roman" w:eastAsia="宋体" w:cs="Times New Roman"/>
                <w:color w:val="auto"/>
                <w:highlight w:val="none"/>
              </w:rPr>
              <w:t>、BOD</w:t>
            </w:r>
            <w:r>
              <w:rPr>
                <w:rFonts w:hint="default" w:ascii="Times New Roman" w:hAnsi="Times New Roman" w:eastAsia="宋体" w:cs="Times New Roman"/>
                <w:color w:val="auto"/>
                <w:highlight w:val="none"/>
                <w:vertAlign w:val="subscript"/>
              </w:rPr>
              <w:t>5</w:t>
            </w:r>
            <w:r>
              <w:rPr>
                <w:rFonts w:hint="default" w:ascii="Times New Roman" w:hAnsi="Times New Roman" w:eastAsia="宋体" w:cs="Times New Roman"/>
                <w:color w:val="auto"/>
                <w:highlight w:val="none"/>
              </w:rPr>
              <w:t>、SS、氨氮。</w:t>
            </w:r>
            <w:r>
              <w:rPr>
                <w:rFonts w:hint="eastAsia" w:cs="Times New Roman"/>
                <w:color w:val="auto"/>
                <w:highlight w:val="none"/>
                <w:lang w:val="en-US" w:eastAsia="zh-CN"/>
              </w:rPr>
              <w:t>本</w:t>
            </w:r>
            <w:r>
              <w:rPr>
                <w:rFonts w:hint="default" w:ascii="Times New Roman" w:hAnsi="Times New Roman" w:eastAsia="宋体" w:cs="Times New Roman"/>
                <w:color w:val="auto"/>
                <w:highlight w:val="none"/>
              </w:rPr>
              <w:t>项目</w:t>
            </w:r>
            <w:r>
              <w:rPr>
                <w:rFonts w:hint="eastAsia" w:cs="Times New Roman"/>
                <w:color w:val="auto"/>
                <w:highlight w:val="none"/>
                <w:lang w:val="en-US" w:eastAsia="zh-CN"/>
              </w:rPr>
              <w:t>员工如厕依托乐昌市华轩针织制衣有限公司卫生间，生活污水依托乐昌市华轩针织制衣有限公司三级化粪池处理，本项目不设废水排放口。</w:t>
            </w:r>
          </w:p>
          <w:p w14:paraId="6D907F18">
            <w:pPr>
              <w:keepNext/>
              <w:keepLines/>
              <w:tabs>
                <w:tab w:val="left" w:pos="0"/>
              </w:tabs>
              <w:ind w:firstLine="480" w:firstLineChars="200"/>
              <w:outlineLvl w:val="3"/>
              <w:rPr>
                <w:rFonts w:hint="default" w:ascii="Times New Roman" w:hAnsi="Times New Roman" w:eastAsia="宋体" w:cs="Times New Roman"/>
                <w:b/>
                <w:bCs/>
                <w:color w:val="auto"/>
                <w:highlight w:val="none"/>
              </w:rPr>
            </w:pPr>
            <w:r>
              <w:rPr>
                <w:rFonts w:hint="eastAsia" w:cs="Times New Roman"/>
                <w:b/>
                <w:bCs/>
                <w:color w:val="auto"/>
                <w:highlight w:val="none"/>
                <w:lang w:val="en-US" w:eastAsia="zh-CN"/>
              </w:rPr>
              <w:t>3</w:t>
            </w:r>
            <w:r>
              <w:rPr>
                <w:rFonts w:hint="default" w:ascii="Times New Roman" w:hAnsi="Times New Roman" w:eastAsia="宋体" w:cs="Times New Roman"/>
                <w:b/>
                <w:bCs/>
                <w:color w:val="auto"/>
                <w:highlight w:val="none"/>
              </w:rPr>
              <w:t>、达标情况分析</w:t>
            </w:r>
          </w:p>
          <w:p w14:paraId="361D409C">
            <w:pPr>
              <w:widowControl w:val="0"/>
              <w:wordWrap w:val="0"/>
              <w:spacing w:line="360" w:lineRule="auto"/>
              <w:ind w:firstLine="480" w:firstLineChars="200"/>
              <w:jc w:val="both"/>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（1）可行性技术分析</w:t>
            </w:r>
          </w:p>
          <w:p w14:paraId="48E4D55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0"/>
                <w:highlight w:val="none"/>
                <w:lang w:val="en-US" w:eastAsia="zh-CN" w:bidi="ar-SA"/>
              </w:rPr>
            </w:pPr>
            <w:r>
              <w:rPr>
                <w:rFonts w:hint="default" w:ascii="Times New Roman" w:hAnsi="Times New Roman" w:eastAsia="宋体" w:cs="Times New Roman"/>
                <w:color w:val="auto"/>
                <w:kern w:val="0"/>
                <w:sz w:val="24"/>
                <w:szCs w:val="20"/>
                <w:highlight w:val="none"/>
                <w:lang w:val="en-US" w:eastAsia="zh-CN" w:bidi="ar-SA"/>
              </w:rPr>
              <w:t>参考环境保护部发布的环境保护技术文件：《村镇生活污染防治最佳可行技术指南（试行）》（HJ-BAT-9），三格式化粪池为生活污水可行治理技术，本项目生活污水经三级化粪池处理后排入园区污水处理厂处理。因此，本项目纳入园区污水处理厂处理从技术上是完全可行的。</w:t>
            </w:r>
          </w:p>
          <w:p w14:paraId="0F236567">
            <w:pPr>
              <w:widowControl w:val="0"/>
              <w:wordWrap w:val="0"/>
              <w:spacing w:line="360" w:lineRule="auto"/>
              <w:ind w:firstLine="480" w:firstLineChars="200"/>
              <w:jc w:val="both"/>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（2）水污染物控制和水环境影响减缓措施有效性评价</w:t>
            </w:r>
          </w:p>
          <w:p w14:paraId="17EEF158">
            <w:pPr>
              <w:widowControl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本项目位于广东省韶关市乐昌市乐昌产业转移工业园内，属于园区污水处理范围。项目生活污水经三级化粪池预处理后，进入园区污水处理厂深度处理，处理后的尾水排入武江（乐昌城-犁市河段）。</w:t>
            </w:r>
          </w:p>
          <w:p w14:paraId="631465A7">
            <w:pPr>
              <w:widowControl w:val="0"/>
              <w:wordWrap w:val="0"/>
              <w:spacing w:line="360" w:lineRule="auto"/>
              <w:ind w:firstLine="480" w:firstLineChars="200"/>
              <w:jc w:val="both"/>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园区污水处理厂出水水质执行《城镇污水处理厂污染物排放标准》（GB18918-2002）中一级</w:t>
            </w:r>
            <w:r>
              <w:rPr>
                <w:rFonts w:hint="default" w:ascii="Times New Roman" w:hAnsi="Times New Roman" w:cs="Times New Roman"/>
                <w:color w:val="auto"/>
                <w:kern w:val="0"/>
                <w:sz w:val="24"/>
                <w:szCs w:val="24"/>
                <w:highlight w:val="none"/>
                <w:lang w:val="en-US" w:eastAsia="zh-CN"/>
              </w:rPr>
              <w:t>A</w:t>
            </w:r>
            <w:r>
              <w:rPr>
                <w:rFonts w:hint="default" w:ascii="Times New Roman" w:hAnsi="Times New Roman" w:eastAsia="宋体" w:cs="Times New Roman"/>
                <w:color w:val="auto"/>
                <w:kern w:val="0"/>
                <w:sz w:val="24"/>
                <w:szCs w:val="24"/>
                <w:highlight w:val="none"/>
                <w:lang w:val="en-US" w:eastAsia="zh-CN"/>
              </w:rPr>
              <w:t>标准和广东省《水污染物排放限值》（DB44/26-2001）中的第二时段一级排放标准较严者，对周围环境影响较小。</w:t>
            </w:r>
          </w:p>
          <w:p w14:paraId="16051A9D">
            <w:pPr>
              <w:widowControl w:val="0"/>
              <w:wordWrap w:val="0"/>
              <w:spacing w:line="360" w:lineRule="auto"/>
              <w:ind w:firstLine="480" w:firstLineChars="200"/>
              <w:jc w:val="both"/>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（3）依托污水设施的环境可行性评价</w:t>
            </w:r>
          </w:p>
          <w:p w14:paraId="6924E182">
            <w:pPr>
              <w:widowControl w:val="0"/>
              <w:wordWrap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项目租用乐昌市华轩针织制衣有限公司现有厂房进行生产，员工如厕依托乐昌市华轩针织制衣有限公司的厕所，依托乐昌市华轩针织制衣有限公司的三级化粪池对生活污水进行处理。乐昌市华轩针织制衣有限公司</w:t>
            </w:r>
            <w:r>
              <w:rPr>
                <w:rFonts w:hint="eastAsia" w:cs="Times New Roman"/>
                <w:color w:val="auto"/>
                <w:kern w:val="2"/>
                <w:sz w:val="24"/>
                <w:szCs w:val="24"/>
                <w:highlight w:val="none"/>
                <w:lang w:val="en-US" w:eastAsia="zh-CN" w:bidi="ar-SA"/>
              </w:rPr>
              <w:t>化粪池容积为8m</w:t>
            </w:r>
            <w:r>
              <w:rPr>
                <w:rFonts w:hint="eastAsia"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目前</w:t>
            </w:r>
            <w:r>
              <w:rPr>
                <w:rFonts w:hint="eastAsia" w:ascii="Times New Roman" w:hAnsi="Times New Roman" w:eastAsia="宋体" w:cs="Times New Roman"/>
                <w:color w:val="auto"/>
                <w:kern w:val="2"/>
                <w:sz w:val="24"/>
                <w:szCs w:val="24"/>
                <w:highlight w:val="none"/>
                <w:lang w:val="en-US" w:eastAsia="zh-CN" w:bidi="ar-SA"/>
              </w:rPr>
              <w:t>乐昌市华轩针织制衣有限公司</w:t>
            </w:r>
            <w:r>
              <w:rPr>
                <w:rFonts w:hint="eastAsia" w:cs="Times New Roman"/>
                <w:color w:val="auto"/>
                <w:kern w:val="2"/>
                <w:sz w:val="24"/>
                <w:szCs w:val="24"/>
                <w:highlight w:val="none"/>
                <w:lang w:val="en-US" w:eastAsia="zh-CN" w:bidi="ar-SA"/>
              </w:rPr>
              <w:t>已停止运营，目前已处理量0m</w:t>
            </w:r>
            <w:r>
              <w:rPr>
                <w:rFonts w:hint="eastAsia" w:cs="Times New Roman"/>
                <w:color w:val="auto"/>
                <w:kern w:val="2"/>
                <w:sz w:val="24"/>
                <w:szCs w:val="24"/>
                <w:highlight w:val="none"/>
                <w:vertAlign w:val="superscript"/>
                <w:lang w:val="en-US" w:eastAsia="zh-CN" w:bidi="ar-SA"/>
              </w:rPr>
              <w:t>3</w:t>
            </w:r>
            <w:r>
              <w:rPr>
                <w:rFonts w:hint="eastAsia" w:cs="Times New Roman"/>
                <w:color w:val="auto"/>
                <w:kern w:val="2"/>
                <w:sz w:val="24"/>
                <w:szCs w:val="24"/>
                <w:highlight w:val="none"/>
                <w:lang w:val="en-US" w:eastAsia="zh-CN" w:bidi="ar-SA"/>
              </w:rPr>
              <w:t>/a，剩余能力3000m</w:t>
            </w:r>
            <w:r>
              <w:rPr>
                <w:rFonts w:hint="eastAsia" w:cs="Times New Roman"/>
                <w:color w:val="auto"/>
                <w:kern w:val="2"/>
                <w:sz w:val="24"/>
                <w:szCs w:val="24"/>
                <w:highlight w:val="none"/>
                <w:vertAlign w:val="superscript"/>
                <w:lang w:val="en-US" w:eastAsia="zh-CN" w:bidi="ar-SA"/>
              </w:rPr>
              <w:t>3</w:t>
            </w:r>
            <w:r>
              <w:rPr>
                <w:rFonts w:hint="eastAsia" w:cs="Times New Roman"/>
                <w:color w:val="auto"/>
                <w:kern w:val="2"/>
                <w:sz w:val="24"/>
                <w:szCs w:val="24"/>
                <w:highlight w:val="none"/>
                <w:lang w:val="en-US" w:eastAsia="zh-CN" w:bidi="ar-SA"/>
              </w:rPr>
              <w:t>/a，本项目新增量仅占1.68%，完全可接纳。</w:t>
            </w:r>
          </w:p>
          <w:p w14:paraId="714A0DF0">
            <w:pPr>
              <w:widowControl w:val="0"/>
              <w:wordWrap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产业园范围内已有乐昌产业转移工业园污水处理厂，根据乐昌产业转移工业园管网分布图（附图</w:t>
            </w:r>
            <w:r>
              <w:rPr>
                <w:rFonts w:hint="default" w:ascii="Times New Roman" w:hAnsi="Times New Roman" w:cs="Times New Roman"/>
                <w:color w:val="auto"/>
                <w:kern w:val="2"/>
                <w:sz w:val="24"/>
                <w:szCs w:val="24"/>
                <w:highlight w:val="none"/>
                <w:lang w:val="en-US" w:eastAsia="zh-CN" w:bidi="ar-SA"/>
              </w:rPr>
              <w:t>16</w:t>
            </w:r>
            <w:r>
              <w:rPr>
                <w:rFonts w:hint="default" w:ascii="Times New Roman" w:hAnsi="Times New Roman" w:eastAsia="宋体" w:cs="Times New Roman"/>
                <w:color w:val="auto"/>
                <w:kern w:val="2"/>
                <w:sz w:val="24"/>
                <w:szCs w:val="24"/>
                <w:highlight w:val="none"/>
                <w:lang w:val="en-US" w:eastAsia="zh-CN" w:bidi="ar-SA"/>
              </w:rPr>
              <w:t>）可知，本项目所在地块已纳入现状排污管收集范围内。污水工艺采用循环式活性污泥法（CASS）工艺。出水水质标准执行广东省地方标准《水污染物排放限值》(DB44/26-2001)第二时段一级标准及国家《城镇污水处理厂污染物排放标准》(GB18918-2002)一级</w:t>
            </w:r>
            <w:r>
              <w:rPr>
                <w:rFonts w:hint="default" w:ascii="Times New Roman" w:hAnsi="Times New Roman" w:cs="Times New Roman"/>
                <w:color w:val="auto"/>
                <w:kern w:val="2"/>
                <w:sz w:val="24"/>
                <w:szCs w:val="24"/>
                <w:highlight w:val="none"/>
                <w:lang w:val="en-US" w:eastAsia="zh-CN" w:bidi="ar-SA"/>
              </w:rPr>
              <w:t>A</w:t>
            </w:r>
            <w:r>
              <w:rPr>
                <w:rFonts w:hint="default" w:ascii="Times New Roman" w:hAnsi="Times New Roman" w:eastAsia="宋体" w:cs="Times New Roman"/>
                <w:color w:val="auto"/>
                <w:kern w:val="2"/>
                <w:sz w:val="24"/>
                <w:szCs w:val="24"/>
                <w:highlight w:val="none"/>
                <w:lang w:val="en-US" w:eastAsia="zh-CN" w:bidi="ar-SA"/>
              </w:rPr>
              <w:t>标准中较严标准，处理达标后由污水处理厂内提升泵通过已建成6392米长的出水管道输送至武江排放。</w:t>
            </w:r>
          </w:p>
          <w:p w14:paraId="78E4B5D9">
            <w:pPr>
              <w:widowControl w:val="0"/>
              <w:wordWrap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园区污水处理厂主体工艺采用为CASS，该工艺运行灵活、耐冲击能力强等优点。对于产业转移工业园工业废水，现状各企业基本无生产废水产生，只产生生活污水。可能对污水厂处理工艺产生影响的主要为产业转移工业园规划引进的企业的生产废水，园区主导行业电子信息、机械、金属制品、轻纺等产业可能产生的生产废水中部分指标较高，对于接入污水厂的生产废水，产业转移工业园要求企业根据生产废水的水质情况进行预处理。其中，如有集成电路生产企业，其生产废水经pH值调节、投药、絮凝沉淀，重点去除F-后，预处理达到广东省《水污染</w:t>
            </w:r>
            <w:r>
              <w:rPr>
                <w:rFonts w:hint="eastAsia" w:cs="Times New Roman"/>
                <w:color w:val="auto"/>
                <w:kern w:val="2"/>
                <w:sz w:val="24"/>
                <w:szCs w:val="24"/>
                <w:highlight w:val="none"/>
                <w:lang w:val="en-US" w:eastAsia="zh-CN" w:bidi="ar-SA"/>
              </w:rPr>
              <w:t>物</w:t>
            </w:r>
            <w:r>
              <w:rPr>
                <w:rFonts w:hint="default" w:ascii="Times New Roman" w:hAnsi="Times New Roman" w:eastAsia="宋体" w:cs="Times New Roman"/>
                <w:color w:val="auto"/>
                <w:kern w:val="2"/>
                <w:sz w:val="24"/>
                <w:szCs w:val="24"/>
                <w:highlight w:val="none"/>
                <w:lang w:val="en-US" w:eastAsia="zh-CN" w:bidi="ar-SA"/>
              </w:rPr>
              <w:t>排放限值》(DB44/26-2001)第二时段三级标准。</w:t>
            </w:r>
          </w:p>
          <w:p w14:paraId="30BD170A">
            <w:pPr>
              <w:widowControl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产业园污水处理厂目前已建成正常运行，并安装了在线监控设施并与</w:t>
            </w:r>
            <w:r>
              <w:rPr>
                <w:rFonts w:hint="eastAsia" w:cs="Times New Roman"/>
                <w:color w:val="auto"/>
                <w:kern w:val="2"/>
                <w:sz w:val="24"/>
                <w:szCs w:val="24"/>
                <w:highlight w:val="none"/>
                <w:lang w:val="en-US" w:eastAsia="zh-CN" w:bidi="ar-SA"/>
              </w:rPr>
              <w:t>生态环境</w:t>
            </w:r>
            <w:r>
              <w:rPr>
                <w:rFonts w:hint="default" w:ascii="Times New Roman" w:hAnsi="Times New Roman" w:eastAsia="宋体" w:cs="Times New Roman"/>
                <w:color w:val="auto"/>
                <w:kern w:val="2"/>
                <w:sz w:val="24"/>
                <w:szCs w:val="24"/>
                <w:highlight w:val="none"/>
                <w:lang w:val="en-US" w:eastAsia="zh-CN" w:bidi="ar-SA"/>
              </w:rPr>
              <w:t>部门联网，园区污水处理厂占地面积15400m²，设计处理能力为10000m</w:t>
            </w:r>
            <w:r>
              <w:rPr>
                <w:rFonts w:hint="default" w:ascii="Times New Roman" w:hAnsi="Times New Roman" w:eastAsia="宋体" w:cs="Times New Roman"/>
                <w:color w:val="auto"/>
                <w:kern w:val="2"/>
                <w:sz w:val="24"/>
                <w:szCs w:val="24"/>
                <w:highlight w:val="none"/>
                <w:vertAlign w:val="superscript"/>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/d，分两期建设，一期处理能力5000m</w:t>
            </w:r>
            <w:r>
              <w:rPr>
                <w:rFonts w:hint="default" w:ascii="Times New Roman" w:hAnsi="Times New Roman" w:eastAsia="宋体" w:cs="Times New Roman"/>
                <w:color w:val="auto"/>
                <w:kern w:val="2"/>
                <w:sz w:val="24"/>
                <w:szCs w:val="24"/>
                <w:highlight w:val="none"/>
                <w:vertAlign w:val="superscript"/>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/d，二期处理能力5000m</w:t>
            </w:r>
            <w:r>
              <w:rPr>
                <w:rFonts w:hint="default" w:ascii="Times New Roman" w:hAnsi="Times New Roman" w:eastAsia="宋体" w:cs="Times New Roman"/>
                <w:color w:val="auto"/>
                <w:kern w:val="2"/>
                <w:sz w:val="24"/>
                <w:szCs w:val="24"/>
                <w:highlight w:val="none"/>
                <w:vertAlign w:val="superscript"/>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/d，现状首期5000m</w:t>
            </w:r>
            <w:r>
              <w:rPr>
                <w:rFonts w:hint="default" w:ascii="Times New Roman" w:hAnsi="Times New Roman" w:eastAsia="宋体" w:cs="Times New Roman"/>
                <w:color w:val="auto"/>
                <w:kern w:val="2"/>
                <w:sz w:val="24"/>
                <w:szCs w:val="24"/>
                <w:highlight w:val="none"/>
                <w:vertAlign w:val="superscript"/>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/d已经建成运行。</w:t>
            </w:r>
            <w:r>
              <w:rPr>
                <w:rFonts w:hint="default" w:ascii="Times New Roman" w:hAnsi="Times New Roman" w:cs="Times New Roman"/>
                <w:color w:val="auto"/>
                <w:sz w:val="24"/>
                <w:szCs w:val="24"/>
                <w:highlight w:val="none"/>
              </w:rPr>
              <w:t>根据《乐昌产业转移工业园污水处理厂202</w:t>
            </w:r>
            <w:r>
              <w:rPr>
                <w:rFonts w:hint="eastAsia"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年排污许可证执行报告》202</w:t>
            </w:r>
            <w:r>
              <w:rPr>
                <w:rFonts w:hint="eastAsia"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年乐昌产业转移工业园污水处理厂年处理废水</w:t>
            </w:r>
            <w:r>
              <w:rPr>
                <w:rFonts w:hint="eastAsia" w:cs="Times New Roman"/>
                <w:color w:val="auto"/>
                <w:sz w:val="24"/>
                <w:szCs w:val="24"/>
                <w:highlight w:val="none"/>
                <w:lang w:val="en-US" w:eastAsia="zh-CN"/>
              </w:rPr>
              <w:t>73</w:t>
            </w:r>
            <w:r>
              <w:rPr>
                <w:rFonts w:hint="default" w:ascii="Times New Roman" w:hAnsi="Times New Roman" w:cs="Times New Roman"/>
                <w:color w:val="auto"/>
                <w:sz w:val="24"/>
                <w:szCs w:val="24"/>
                <w:highlight w:val="none"/>
              </w:rPr>
              <w:t>万吨（约</w:t>
            </w:r>
            <w:r>
              <w:rPr>
                <w:rFonts w:hint="eastAsia" w:cs="Times New Roman"/>
                <w:color w:val="auto"/>
                <w:sz w:val="24"/>
                <w:szCs w:val="24"/>
                <w:highlight w:val="none"/>
                <w:lang w:val="en-US" w:eastAsia="zh-CN"/>
              </w:rPr>
              <w:t>2000</w:t>
            </w:r>
            <w:r>
              <w:rPr>
                <w:rFonts w:hint="default" w:ascii="Times New Roman" w:hAnsi="Times New Roman" w:cs="Times New Roman"/>
                <w:color w:val="auto"/>
                <w:sz w:val="24"/>
                <w:szCs w:val="24"/>
                <w:highlight w:val="none"/>
              </w:rPr>
              <w:t>t/d）</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kern w:val="0"/>
                <w:sz w:val="24"/>
                <w:szCs w:val="24"/>
                <w:highlight w:val="none"/>
                <w:lang w:val="en-US" w:eastAsia="zh-CN"/>
              </w:rPr>
              <w:t>则剩余能力有</w:t>
            </w:r>
            <w:r>
              <w:rPr>
                <w:rFonts w:hint="default" w:ascii="Times New Roman" w:hAnsi="Times New Roman" w:cs="Times New Roman"/>
                <w:color w:val="auto"/>
                <w:kern w:val="0"/>
                <w:sz w:val="24"/>
                <w:szCs w:val="24"/>
                <w:highlight w:val="none"/>
                <w:lang w:val="en-US" w:eastAsia="zh-CN"/>
              </w:rPr>
              <w:t>3</w:t>
            </w:r>
            <w:r>
              <w:rPr>
                <w:rFonts w:hint="eastAsia" w:cs="Times New Roman"/>
                <w:color w:val="auto"/>
                <w:kern w:val="0"/>
                <w:sz w:val="24"/>
                <w:szCs w:val="24"/>
                <w:highlight w:val="none"/>
                <w:lang w:val="en-US" w:eastAsia="zh-CN"/>
              </w:rPr>
              <w:t>000</w:t>
            </w:r>
            <w:r>
              <w:rPr>
                <w:rFonts w:hint="default" w:ascii="Times New Roman" w:hAnsi="Times New Roman" w:eastAsia="宋体" w:cs="Times New Roman"/>
                <w:color w:val="auto"/>
                <w:kern w:val="0"/>
                <w:sz w:val="24"/>
                <w:szCs w:val="24"/>
                <w:highlight w:val="none"/>
                <w:lang w:val="en-US" w:eastAsia="zh-CN"/>
              </w:rPr>
              <w:t>t/d。</w:t>
            </w:r>
            <w:r>
              <w:rPr>
                <w:rFonts w:hint="default" w:ascii="Times New Roman" w:hAnsi="Times New Roman" w:eastAsia="宋体" w:cs="Times New Roman"/>
                <w:color w:val="auto"/>
                <w:kern w:val="2"/>
                <w:sz w:val="24"/>
                <w:szCs w:val="24"/>
                <w:highlight w:val="none"/>
                <w:lang w:val="en-US" w:eastAsia="zh-CN" w:bidi="ar-SA"/>
              </w:rPr>
              <w:t>本项目纳入污水处理厂的污水排放量为</w:t>
            </w:r>
            <w:r>
              <w:rPr>
                <w:rFonts w:hint="eastAsia" w:cs="Times New Roman"/>
                <w:color w:val="auto"/>
                <w:kern w:val="2"/>
                <w:sz w:val="24"/>
                <w:szCs w:val="24"/>
                <w:highlight w:val="none"/>
                <w:lang w:val="en-US" w:eastAsia="zh-CN" w:bidi="ar-SA"/>
              </w:rPr>
              <w:t>1</w:t>
            </w:r>
            <w:r>
              <w:rPr>
                <w:rFonts w:hint="default" w:ascii="Times New Roman" w:hAnsi="Times New Roman" w:cs="Times New Roman"/>
                <w:color w:val="auto"/>
                <w:kern w:val="2"/>
                <w:sz w:val="24"/>
                <w:szCs w:val="24"/>
                <w:highlight w:val="none"/>
                <w:lang w:val="en-US" w:eastAsia="zh-CN" w:bidi="ar-SA"/>
              </w:rPr>
              <w:t>.</w:t>
            </w:r>
            <w:r>
              <w:rPr>
                <w:rFonts w:hint="eastAsia"/>
                <w:color w:val="auto"/>
                <w:lang w:val="en-US" w:eastAsia="zh-CN"/>
              </w:rPr>
              <w:t>03</w:t>
            </w:r>
            <w:r>
              <w:rPr>
                <w:rFonts w:hint="default" w:ascii="Times New Roman" w:hAnsi="Times New Roman" w:eastAsia="宋体" w:cs="Times New Roman"/>
                <w:color w:val="auto"/>
                <w:kern w:val="2"/>
                <w:sz w:val="24"/>
                <w:szCs w:val="24"/>
                <w:highlight w:val="none"/>
                <w:lang w:val="en-US" w:eastAsia="zh-CN" w:bidi="ar-SA"/>
              </w:rPr>
              <w:t>m</w:t>
            </w:r>
            <w:r>
              <w:rPr>
                <w:rFonts w:hint="default" w:ascii="Times New Roman" w:hAnsi="Times New Roman" w:eastAsia="宋体" w:cs="Times New Roman"/>
                <w:color w:val="auto"/>
                <w:kern w:val="2"/>
                <w:sz w:val="24"/>
                <w:szCs w:val="24"/>
                <w:highlight w:val="none"/>
                <w:vertAlign w:val="superscript"/>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/d，仅占剩余处理能力的0.</w:t>
            </w:r>
            <w:r>
              <w:rPr>
                <w:rFonts w:hint="default" w:ascii="Times New Roman" w:hAnsi="Times New Roman" w:cs="Times New Roman"/>
                <w:color w:val="auto"/>
                <w:kern w:val="2"/>
                <w:sz w:val="24"/>
                <w:szCs w:val="24"/>
                <w:highlight w:val="none"/>
                <w:lang w:val="en-US" w:eastAsia="zh-CN" w:bidi="ar-SA"/>
              </w:rPr>
              <w:t>0</w:t>
            </w:r>
            <w:r>
              <w:rPr>
                <w:rFonts w:hint="eastAsia" w:cs="Times New Roman"/>
                <w:color w:val="auto"/>
                <w:kern w:val="2"/>
                <w:sz w:val="24"/>
                <w:szCs w:val="24"/>
                <w:highlight w:val="none"/>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%。污水中的污染物主要为SS、CODcr、BOD</w:t>
            </w:r>
            <w:r>
              <w:rPr>
                <w:rFonts w:hint="default" w:ascii="Times New Roman" w:hAnsi="Times New Roman" w:eastAsia="宋体" w:cs="Times New Roman"/>
                <w:color w:val="auto"/>
                <w:kern w:val="2"/>
                <w:sz w:val="24"/>
                <w:szCs w:val="24"/>
                <w:highlight w:val="none"/>
                <w:vertAlign w:val="subscript"/>
                <w:lang w:val="en-US" w:eastAsia="zh-CN" w:bidi="ar-SA"/>
              </w:rPr>
              <w:t>5</w:t>
            </w:r>
            <w:r>
              <w:rPr>
                <w:rFonts w:hint="default" w:ascii="Times New Roman" w:hAnsi="Times New Roman" w:eastAsia="宋体" w:cs="Times New Roman"/>
                <w:color w:val="auto"/>
                <w:kern w:val="2"/>
                <w:sz w:val="24"/>
                <w:szCs w:val="24"/>
                <w:highlight w:val="none"/>
                <w:lang w:val="en-US" w:eastAsia="zh-CN" w:bidi="ar-SA"/>
              </w:rPr>
              <w:t>、NH</w:t>
            </w:r>
            <w:r>
              <w:rPr>
                <w:rFonts w:hint="default" w:ascii="Times New Roman" w:hAnsi="Times New Roman" w:eastAsia="宋体" w:cs="Times New Roman"/>
                <w:color w:val="auto"/>
                <w:kern w:val="2"/>
                <w:sz w:val="24"/>
                <w:szCs w:val="24"/>
                <w:highlight w:val="none"/>
                <w:vertAlign w:val="subscript"/>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-N等，污染物种类较简单，根据前面分析，园区污水处理厂剩余污水处理能力完全可以容纳处理本项目排入的污水，因此，本项目产生的污水经预处理后排入园区污水处理厂处理具有环境可行性。</w:t>
            </w:r>
          </w:p>
          <w:p w14:paraId="215320B4">
            <w:pPr>
              <w:widowControl w:val="0"/>
              <w:spacing w:line="360" w:lineRule="auto"/>
              <w:jc w:val="center"/>
              <w:rPr>
                <w:rFonts w:hint="default" w:ascii="Times New Roman" w:hAnsi="Times New Roman" w:eastAsia="宋体" w:cs="Times New Roman"/>
                <w:color w:val="auto"/>
                <w:kern w:val="2"/>
                <w:sz w:val="24"/>
                <w:szCs w:val="28"/>
                <w:highlight w:val="none"/>
                <w:lang w:val="en-US" w:eastAsia="zh-CN" w:bidi="ar-SA"/>
              </w:rPr>
            </w:pPr>
            <w:r>
              <w:rPr>
                <w:rFonts w:hint="default" w:ascii="Times New Roman" w:hAnsi="Times New Roman" w:eastAsia="宋体" w:cs="Times New Roman"/>
                <w:color w:val="auto"/>
                <w:kern w:val="2"/>
                <w:sz w:val="24"/>
                <w:szCs w:val="28"/>
                <w:highlight w:val="none"/>
                <w:lang w:val="en-US" w:eastAsia="zh-CN" w:bidi="ar-SA"/>
              </w:rPr>
              <w:drawing>
                <wp:inline distT="0" distB="0" distL="0" distR="0">
                  <wp:extent cx="3470275" cy="1511300"/>
                  <wp:effectExtent l="9525" t="9525" r="24765" b="22225"/>
                  <wp:docPr id="1031" name="图片 4"/>
                  <wp:cNvGraphicFramePr/>
                  <a:graphic xmlns:a="http://schemas.openxmlformats.org/drawingml/2006/main">
                    <a:graphicData uri="http://schemas.openxmlformats.org/drawingml/2006/picture">
                      <pic:pic xmlns:pic="http://schemas.openxmlformats.org/drawingml/2006/picture">
                        <pic:nvPicPr>
                          <pic:cNvPr id="1031" name="图片 4"/>
                          <pic:cNvPicPr/>
                        </pic:nvPicPr>
                        <pic:blipFill>
                          <a:blip r:embed="rId15" cstate="print"/>
                          <a:srcRect/>
                          <a:stretch>
                            <a:fillRect/>
                          </a:stretch>
                        </pic:blipFill>
                        <pic:spPr>
                          <a:xfrm>
                            <a:off x="0" y="0"/>
                            <a:ext cx="3470909" cy="1511300"/>
                          </a:xfrm>
                          <a:prstGeom prst="rect">
                            <a:avLst/>
                          </a:prstGeom>
                          <a:ln w="9525" cap="flat" cmpd="sng">
                            <a:solidFill>
                              <a:srgbClr val="000000"/>
                            </a:solidFill>
                            <a:prstDash val="solid"/>
                            <a:round/>
                          </a:ln>
                        </pic:spPr>
                      </pic:pic>
                    </a:graphicData>
                  </a:graphic>
                </wp:inline>
              </w:drawing>
            </w:r>
          </w:p>
          <w:p w14:paraId="32437122">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eastAsia="宋体" w:cs="Times New Roman"/>
                <w:b/>
                <w:color w:val="auto"/>
                <w:kern w:val="2"/>
                <w:sz w:val="21"/>
                <w:szCs w:val="21"/>
                <w:highlight w:val="none"/>
                <w:lang w:val="en-US" w:eastAsia="zh-CN" w:bidi="ar-SA"/>
              </w:rPr>
              <w:t>图4-</w:t>
            </w:r>
            <w:r>
              <w:rPr>
                <w:rFonts w:hint="default" w:ascii="Times New Roman" w:hAnsi="Times New Roman" w:cs="Times New Roman"/>
                <w:b/>
                <w:color w:val="auto"/>
                <w:kern w:val="2"/>
                <w:sz w:val="21"/>
                <w:szCs w:val="21"/>
                <w:highlight w:val="none"/>
                <w:lang w:val="en-US" w:eastAsia="zh-CN" w:bidi="ar-SA"/>
              </w:rPr>
              <w:t>1</w:t>
            </w:r>
            <w:r>
              <w:rPr>
                <w:rFonts w:hint="default" w:ascii="Times New Roman" w:hAnsi="Times New Roman" w:eastAsia="宋体" w:cs="Times New Roman"/>
                <w:b/>
                <w:color w:val="auto"/>
                <w:kern w:val="2"/>
                <w:sz w:val="21"/>
                <w:szCs w:val="21"/>
                <w:highlight w:val="none"/>
                <w:lang w:val="en-US" w:eastAsia="zh-CN" w:bidi="ar-SA"/>
              </w:rPr>
              <w:t>园区污水处理厂工艺流程图</w:t>
            </w:r>
          </w:p>
          <w:p w14:paraId="4C7FEBAA">
            <w:pPr>
              <w:widowControl w:val="0"/>
              <w:wordWrap w:val="0"/>
              <w:spacing w:line="360" w:lineRule="auto"/>
              <w:ind w:firstLine="480" w:firstLineChars="200"/>
              <w:jc w:val="both"/>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5、监测要求</w:t>
            </w:r>
          </w:p>
          <w:p w14:paraId="04712D0A">
            <w:pPr>
              <w:widowControl/>
              <w:ind w:firstLine="480" w:firstLineChars="200"/>
              <w:jc w:val="left"/>
              <w:rPr>
                <w:rFonts w:hint="default" w:ascii="Times New Roman" w:hAnsi="Times New Roman" w:cs="Times New Roman"/>
                <w:color w:val="auto"/>
                <w:kern w:val="0"/>
                <w:highlight w:val="none"/>
              </w:rPr>
            </w:pPr>
            <w:r>
              <w:rPr>
                <w:rFonts w:hint="eastAsia" w:cs="Times New Roman"/>
                <w:color w:val="auto"/>
                <w:kern w:val="0"/>
                <w:sz w:val="24"/>
                <w:szCs w:val="20"/>
                <w:highlight w:val="none"/>
                <w:lang w:val="en-US" w:eastAsia="zh-CN" w:bidi="ar-SA"/>
              </w:rPr>
              <w:t>本项目不设废水排放口，故无监测要求。</w:t>
            </w:r>
          </w:p>
        </w:tc>
      </w:tr>
    </w:tbl>
    <w:p w14:paraId="14FC26ED">
      <w:pPr>
        <w:rPr>
          <w:rFonts w:hint="default" w:ascii="Times New Roman" w:hAnsi="Times New Roman" w:eastAsia="宋体" w:cs="Times New Roman"/>
          <w:color w:val="auto"/>
          <w:highlight w:val="none"/>
        </w:rPr>
        <w:sectPr>
          <w:pgSz w:w="11906" w:h="16838"/>
          <w:pgMar w:top="1440" w:right="1797" w:bottom="1440" w:left="1797" w:header="851" w:footer="680" w:gutter="0"/>
          <w:pgBorders>
            <w:top w:val="none" w:sz="0" w:space="0"/>
            <w:left w:val="none" w:sz="0" w:space="0"/>
            <w:bottom w:val="none" w:sz="0" w:space="0"/>
            <w:right w:val="none" w:sz="0" w:space="0"/>
          </w:pgBorders>
          <w:pgNumType w:fmt="decimal"/>
          <w:cols w:space="720" w:num="1"/>
          <w:docGrid w:type="linesAndChars" w:linePitch="312" w:charSpace="0"/>
        </w:sectPr>
      </w:pPr>
    </w:p>
    <w:bookmarkEnd w:id="96"/>
    <w:tbl>
      <w:tblPr>
        <w:tblStyle w:val="45"/>
        <w:tblW w:w="0" w:type="auto"/>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3"/>
        <w:gridCol w:w="13663"/>
      </w:tblGrid>
      <w:tr w14:paraId="36134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0" w:hRule="atLeast"/>
        </w:trPr>
        <w:tc>
          <w:tcPr>
            <w:tcW w:w="578" w:type="dxa"/>
          </w:tcPr>
          <w:p w14:paraId="4A4F6D2D">
            <w:pPr>
              <w:pStyle w:val="7"/>
              <w:numPr>
                <w:ilvl w:val="0"/>
                <w:numId w:val="0"/>
              </w:numPr>
              <w:rPr>
                <w:rFonts w:hint="default" w:ascii="Times New Roman" w:hAnsi="Times New Roman" w:cs="Times New Roman"/>
                <w:color w:val="auto"/>
                <w:highlight w:val="none"/>
              </w:rPr>
            </w:pPr>
            <w:bookmarkStart w:id="111" w:name="_Toc7465"/>
          </w:p>
        </w:tc>
        <w:tc>
          <w:tcPr>
            <w:tcW w:w="20303" w:type="dxa"/>
          </w:tcPr>
          <w:p w14:paraId="6D5E208E">
            <w:pPr>
              <w:keepNext/>
              <w:keepLines/>
              <w:tabs>
                <w:tab w:val="left" w:pos="0"/>
              </w:tabs>
              <w:ind w:firstLine="480" w:firstLineChars="200"/>
              <w:outlineLvl w:val="2"/>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三、噪声污染源</w:t>
            </w:r>
          </w:p>
          <w:p w14:paraId="0CB101D1">
            <w:pPr>
              <w:keepNext/>
              <w:keepLines/>
              <w:tabs>
                <w:tab w:val="left" w:pos="0"/>
              </w:tabs>
              <w:ind w:firstLine="480" w:firstLineChars="200"/>
              <w:outlineLvl w:val="3"/>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1、污染源源强分析</w:t>
            </w:r>
          </w:p>
          <w:p w14:paraId="17B6E130">
            <w:pPr>
              <w:pStyle w:val="21"/>
              <w:ind w:firstLine="422"/>
              <w:jc w:val="left"/>
              <w:rPr>
                <w:rFonts w:hint="default" w:ascii="Times New Roman" w:hAnsi="Times New Roman" w:cs="Times New Roman"/>
                <w:b/>
                <w:bCs/>
                <w:color w:val="auto"/>
                <w:kern w:val="0"/>
                <w:sz w:val="21"/>
                <w:szCs w:val="21"/>
                <w:highlight w:val="none"/>
              </w:rPr>
            </w:pPr>
            <w:r>
              <w:rPr>
                <w:rFonts w:hint="default" w:ascii="Times New Roman" w:hAnsi="Times New Roman" w:eastAsia="宋体" w:cs="Times New Roman"/>
                <w:color w:val="auto"/>
                <w:highlight w:val="none"/>
              </w:rPr>
              <w:t>本项目运营期噪声源主要为生产设备运行产生的噪声。</w:t>
            </w:r>
            <w:r>
              <w:rPr>
                <w:rFonts w:hint="default" w:ascii="Times New Roman" w:hAnsi="Times New Roman" w:eastAsia="宋体" w:cs="Times New Roman"/>
                <w:bCs/>
                <w:color w:val="auto"/>
                <w:kern w:val="0"/>
                <w:highlight w:val="none"/>
              </w:rPr>
              <w:t>生产及辅助设备运行时产生的噪声强度值为</w:t>
            </w:r>
            <w:r>
              <w:rPr>
                <w:rFonts w:hint="default" w:ascii="Times New Roman" w:hAnsi="Times New Roman" w:cs="Times New Roman"/>
                <w:bCs/>
                <w:color w:val="auto"/>
                <w:kern w:val="0"/>
                <w:highlight w:val="none"/>
                <w:lang w:val="en-US" w:eastAsia="zh-CN"/>
              </w:rPr>
              <w:t>75</w:t>
            </w:r>
            <w:r>
              <w:rPr>
                <w:rFonts w:hint="default" w:ascii="Times New Roman" w:hAnsi="Times New Roman" w:eastAsia="宋体" w:cs="Times New Roman"/>
                <w:bCs/>
                <w:color w:val="auto"/>
                <w:kern w:val="0"/>
                <w:highlight w:val="none"/>
              </w:rPr>
              <w:t>~</w:t>
            </w:r>
            <w:r>
              <w:rPr>
                <w:rFonts w:hint="default" w:ascii="Times New Roman" w:hAnsi="Times New Roman" w:cs="Times New Roman"/>
                <w:bCs/>
                <w:color w:val="auto"/>
                <w:kern w:val="0"/>
                <w:highlight w:val="none"/>
                <w:lang w:val="en-US" w:eastAsia="zh-CN"/>
              </w:rPr>
              <w:t>80</w:t>
            </w:r>
            <w:r>
              <w:rPr>
                <w:rFonts w:hint="default" w:ascii="Times New Roman" w:hAnsi="Times New Roman" w:eastAsia="宋体" w:cs="Times New Roman"/>
                <w:bCs/>
                <w:color w:val="auto"/>
                <w:kern w:val="0"/>
                <w:highlight w:val="none"/>
              </w:rPr>
              <w:t>dB</w:t>
            </w:r>
            <w:r>
              <w:rPr>
                <w:rFonts w:hint="default" w:ascii="Times New Roman" w:hAnsi="Times New Roman" w:cs="Times New Roman"/>
                <w:bCs/>
                <w:color w:val="auto"/>
                <w:kern w:val="0"/>
                <w:highlight w:val="none"/>
                <w:lang w:eastAsia="zh-CN"/>
              </w:rPr>
              <w:t>（</w:t>
            </w:r>
            <w:r>
              <w:rPr>
                <w:rFonts w:hint="default" w:ascii="Times New Roman" w:hAnsi="Times New Roman" w:eastAsia="宋体" w:cs="Times New Roman"/>
                <w:bCs/>
                <w:color w:val="auto"/>
                <w:kern w:val="0"/>
                <w:highlight w:val="none"/>
              </w:rPr>
              <w:t>A</w:t>
            </w:r>
            <w:r>
              <w:rPr>
                <w:rFonts w:hint="default" w:ascii="Times New Roman" w:hAnsi="Times New Roman" w:cs="Times New Roman"/>
                <w:bCs/>
                <w:color w:val="auto"/>
                <w:kern w:val="0"/>
                <w:highlight w:val="none"/>
                <w:lang w:eastAsia="zh-CN"/>
              </w:rPr>
              <w:t>）</w:t>
            </w:r>
            <w:r>
              <w:rPr>
                <w:rFonts w:hint="default" w:ascii="Times New Roman" w:hAnsi="Times New Roman" w:eastAsia="宋体" w:cs="Times New Roman"/>
                <w:bCs/>
                <w:color w:val="auto"/>
                <w:kern w:val="0"/>
                <w:highlight w:val="none"/>
              </w:rPr>
              <w:t>之间。噪声特征以连续性噪声为主，间歇性噪声为辅，噪声污染源强核算结果及相关参数如下表。</w:t>
            </w:r>
          </w:p>
          <w:p w14:paraId="1FBD3D0A">
            <w:pPr>
              <w:pStyle w:val="21"/>
              <w:ind w:firstLine="422"/>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rPr>
              <w:t>表 4-</w:t>
            </w:r>
            <w:r>
              <w:rPr>
                <w:rFonts w:hint="eastAsia" w:cs="Times New Roman"/>
                <w:b/>
                <w:bCs/>
                <w:color w:val="auto"/>
                <w:kern w:val="0"/>
                <w:sz w:val="21"/>
                <w:szCs w:val="21"/>
                <w:highlight w:val="none"/>
                <w:lang w:val="en-US" w:eastAsia="zh-CN"/>
              </w:rPr>
              <w:t>6</w:t>
            </w:r>
            <w:r>
              <w:rPr>
                <w:rFonts w:hint="default" w:ascii="Times New Roman" w:hAnsi="Times New Roman" w:cs="Times New Roman"/>
                <w:b/>
                <w:bCs/>
                <w:color w:val="auto"/>
                <w:kern w:val="0"/>
                <w:sz w:val="21"/>
                <w:szCs w:val="21"/>
                <w:highlight w:val="none"/>
              </w:rPr>
              <w:t xml:space="preserve"> 项目</w:t>
            </w:r>
            <w:r>
              <w:rPr>
                <w:rFonts w:hint="eastAsia" w:cs="Times New Roman"/>
                <w:b/>
                <w:bCs/>
                <w:color w:val="auto"/>
                <w:kern w:val="0"/>
                <w:sz w:val="21"/>
                <w:szCs w:val="21"/>
                <w:highlight w:val="none"/>
                <w:lang w:val="en-US" w:eastAsia="zh-CN"/>
              </w:rPr>
              <w:t>室内</w:t>
            </w:r>
            <w:r>
              <w:rPr>
                <w:rFonts w:hint="default" w:ascii="Times New Roman" w:hAnsi="Times New Roman" w:cs="Times New Roman"/>
                <w:b/>
                <w:bCs/>
                <w:color w:val="auto"/>
                <w:kern w:val="0"/>
                <w:sz w:val="21"/>
                <w:szCs w:val="21"/>
                <w:highlight w:val="none"/>
              </w:rPr>
              <w:t>昼间噪声</w:t>
            </w:r>
          </w:p>
          <w:tbl>
            <w:tblPr>
              <w:tblStyle w:val="44"/>
              <w:tblW w:w="4998" w:type="pct"/>
              <w:tblCellSpacing w:w="0" w:type="dxa"/>
              <w:tblInd w:w="0" w:type="dxa"/>
              <w:tblBorders>
                <w:top w:val="single" w:color="000000" w:sz="8" w:space="0"/>
                <w:left w:val="single" w:color="000000" w:sz="8" w:space="0"/>
                <w:bottom w:val="single" w:color="000000" w:sz="6" w:space="0"/>
                <w:right w:val="single" w:color="000000" w:sz="6"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1"/>
              <w:gridCol w:w="916"/>
              <w:gridCol w:w="613"/>
              <w:gridCol w:w="830"/>
              <w:gridCol w:w="572"/>
              <w:gridCol w:w="589"/>
              <w:gridCol w:w="559"/>
              <w:gridCol w:w="572"/>
              <w:gridCol w:w="572"/>
              <w:gridCol w:w="572"/>
              <w:gridCol w:w="578"/>
              <w:gridCol w:w="623"/>
              <w:gridCol w:w="623"/>
              <w:gridCol w:w="623"/>
              <w:gridCol w:w="615"/>
              <w:gridCol w:w="830"/>
              <w:gridCol w:w="624"/>
              <w:gridCol w:w="608"/>
              <w:gridCol w:w="624"/>
              <w:gridCol w:w="633"/>
              <w:gridCol w:w="767"/>
            </w:tblGrid>
            <w:tr w14:paraId="359CD779">
              <w:tblPrEx>
                <w:tblBorders>
                  <w:top w:val="single" w:color="000000" w:sz="8" w:space="0"/>
                  <w:left w:val="single" w:color="000000" w:sz="8" w:space="0"/>
                  <w:bottom w:val="single" w:color="000000" w:sz="6" w:space="0"/>
                  <w:right w:val="single" w:color="000000" w:sz="6" w:space="0"/>
                  <w:insideH w:val="none" w:color="auto" w:sz="0" w:space="0"/>
                  <w:insideV w:val="none" w:color="auto" w:sz="0" w:space="0"/>
                </w:tblBorders>
                <w:shd w:val="clear" w:color="auto" w:fill="auto"/>
                <w:tblCellMar>
                  <w:top w:w="0" w:type="dxa"/>
                  <w:left w:w="108" w:type="dxa"/>
                  <w:bottom w:w="0" w:type="dxa"/>
                  <w:right w:w="108" w:type="dxa"/>
                </w:tblCellMar>
              </w:tblPrEx>
              <w:trPr>
                <w:tblCellSpacing w:w="0" w:type="dxa"/>
              </w:trPr>
              <w:tc>
                <w:tcPr>
                  <w:tcW w:w="179" w:type="pct"/>
                  <w:vMerge w:val="restart"/>
                  <w:tcBorders>
                    <w:top w:val="single" w:color="000000" w:sz="8" w:space="0"/>
                    <w:left w:val="single" w:color="000000" w:sz="8" w:space="0"/>
                    <w:bottom w:val="single" w:color="000000" w:sz="4" w:space="0"/>
                    <w:right w:val="single" w:color="000000" w:sz="4" w:space="0"/>
                  </w:tcBorders>
                  <w:shd w:val="clear" w:color="auto" w:fill="auto"/>
                  <w:tcMar>
                    <w:left w:w="0" w:type="dxa"/>
                    <w:right w:w="0" w:type="dxa"/>
                  </w:tcMar>
                  <w:vAlign w:val="center"/>
                </w:tcPr>
                <w:p w14:paraId="757EC018">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序号</w:t>
                  </w:r>
                </w:p>
              </w:tc>
              <w:tc>
                <w:tcPr>
                  <w:tcW w:w="341" w:type="pct"/>
                  <w:vMerge w:val="restart"/>
                  <w:tcBorders>
                    <w:top w:val="single" w:color="000000" w:sz="8" w:space="0"/>
                    <w:left w:val="nil"/>
                    <w:bottom w:val="single" w:color="000000" w:sz="4" w:space="0"/>
                    <w:right w:val="single" w:color="000000" w:sz="4" w:space="0"/>
                  </w:tcBorders>
                  <w:shd w:val="clear" w:color="auto" w:fill="auto"/>
                  <w:tcMar>
                    <w:left w:w="0" w:type="dxa"/>
                    <w:right w:w="0" w:type="dxa"/>
                  </w:tcMar>
                  <w:vAlign w:val="center"/>
                </w:tcPr>
                <w:p w14:paraId="0909E87A">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声源名称</w:t>
                  </w:r>
                </w:p>
              </w:tc>
              <w:tc>
                <w:tcPr>
                  <w:tcW w:w="228" w:type="pct"/>
                  <w:vMerge w:val="restart"/>
                  <w:tcBorders>
                    <w:top w:val="single" w:color="000000" w:sz="8" w:space="0"/>
                    <w:left w:val="nil"/>
                    <w:bottom w:val="single" w:color="000000" w:sz="4" w:space="0"/>
                    <w:right w:val="single" w:color="000000" w:sz="4" w:space="0"/>
                  </w:tcBorders>
                  <w:shd w:val="clear" w:color="auto" w:fill="auto"/>
                  <w:tcMar>
                    <w:left w:w="0" w:type="dxa"/>
                    <w:right w:w="0" w:type="dxa"/>
                  </w:tcMar>
                  <w:vAlign w:val="center"/>
                </w:tcPr>
                <w:p w14:paraId="0D36CDEE">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设备数量</w:t>
                  </w:r>
                </w:p>
              </w:tc>
              <w:tc>
                <w:tcPr>
                  <w:tcW w:w="309" w:type="pct"/>
                  <w:vMerge w:val="restart"/>
                  <w:tcBorders>
                    <w:top w:val="single" w:color="000000" w:sz="8" w:space="0"/>
                    <w:left w:val="nil"/>
                    <w:right w:val="single" w:color="000000" w:sz="4" w:space="0"/>
                  </w:tcBorders>
                  <w:shd w:val="clear" w:color="auto" w:fill="auto"/>
                  <w:tcMar>
                    <w:left w:w="0" w:type="dxa"/>
                    <w:right w:w="0" w:type="dxa"/>
                  </w:tcMar>
                  <w:vAlign w:val="center"/>
                </w:tcPr>
                <w:p w14:paraId="2E7C4051">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声压级/dB(A)</w:t>
                  </w:r>
                </w:p>
              </w:tc>
              <w:tc>
                <w:tcPr>
                  <w:tcW w:w="640" w:type="pct"/>
                  <w:gridSpan w:val="3"/>
                  <w:tcBorders>
                    <w:top w:val="single" w:color="000000" w:sz="8" w:space="0"/>
                    <w:left w:val="nil"/>
                    <w:bottom w:val="single" w:color="000000" w:sz="4" w:space="0"/>
                    <w:right w:val="single" w:color="000000" w:sz="4" w:space="0"/>
                  </w:tcBorders>
                  <w:shd w:val="clear" w:color="auto" w:fill="auto"/>
                  <w:tcMar>
                    <w:left w:w="0" w:type="dxa"/>
                    <w:right w:w="0" w:type="dxa"/>
                  </w:tcMar>
                  <w:vAlign w:val="center"/>
                </w:tcPr>
                <w:p w14:paraId="70134BCA">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空间相对位置</w:t>
                  </w:r>
                </w:p>
              </w:tc>
              <w:tc>
                <w:tcPr>
                  <w:tcW w:w="854" w:type="pct"/>
                  <w:gridSpan w:val="4"/>
                  <w:tcBorders>
                    <w:top w:val="single" w:color="000000" w:sz="8" w:space="0"/>
                    <w:left w:val="nil"/>
                    <w:bottom w:val="single" w:color="000000" w:sz="4" w:space="0"/>
                    <w:right w:val="single" w:color="000000" w:sz="4" w:space="0"/>
                  </w:tcBorders>
                  <w:shd w:val="clear" w:color="auto" w:fill="auto"/>
                  <w:tcMar>
                    <w:left w:w="0" w:type="dxa"/>
                    <w:right w:w="0" w:type="dxa"/>
                  </w:tcMar>
                  <w:vAlign w:val="center"/>
                </w:tcPr>
                <w:p w14:paraId="22A6FA57">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距室内边界距离/m</w:t>
                  </w:r>
                </w:p>
              </w:tc>
              <w:tc>
                <w:tcPr>
                  <w:tcW w:w="925" w:type="pct"/>
                  <w:gridSpan w:val="4"/>
                  <w:tcBorders>
                    <w:top w:val="single" w:color="000000" w:sz="8" w:space="0"/>
                    <w:left w:val="nil"/>
                    <w:bottom w:val="single" w:color="000000" w:sz="4" w:space="0"/>
                    <w:right w:val="single" w:color="000000" w:sz="4" w:space="0"/>
                  </w:tcBorders>
                  <w:shd w:val="clear" w:color="auto" w:fill="auto"/>
                  <w:tcMar>
                    <w:left w:w="0" w:type="dxa"/>
                    <w:right w:w="0" w:type="dxa"/>
                  </w:tcMar>
                  <w:vAlign w:val="center"/>
                </w:tcPr>
                <w:p w14:paraId="5B7E6125">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室内边界声级/dB(A)</w:t>
                  </w:r>
                </w:p>
              </w:tc>
              <w:tc>
                <w:tcPr>
                  <w:tcW w:w="309" w:type="pct"/>
                  <w:vMerge w:val="restart"/>
                  <w:tcBorders>
                    <w:top w:val="single" w:color="000000" w:sz="8" w:space="0"/>
                    <w:left w:val="nil"/>
                    <w:bottom w:val="single" w:color="000000" w:sz="4" w:space="0"/>
                    <w:right w:val="single" w:color="000000" w:sz="4" w:space="0"/>
                  </w:tcBorders>
                  <w:shd w:val="clear" w:color="auto" w:fill="auto"/>
                  <w:tcMar>
                    <w:left w:w="0" w:type="dxa"/>
                    <w:right w:w="0" w:type="dxa"/>
                  </w:tcMar>
                  <w:vAlign w:val="center"/>
                </w:tcPr>
                <w:p w14:paraId="1BE529CF">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建筑物插入损失/dB(A)</w:t>
                  </w:r>
                </w:p>
              </w:tc>
              <w:tc>
                <w:tcPr>
                  <w:tcW w:w="925" w:type="pct"/>
                  <w:gridSpan w:val="4"/>
                  <w:tcBorders>
                    <w:top w:val="single" w:color="000000" w:sz="8" w:space="0"/>
                    <w:left w:val="nil"/>
                    <w:bottom w:val="single" w:color="000000" w:sz="4" w:space="0"/>
                    <w:right w:val="single" w:color="000000" w:sz="4" w:space="0"/>
                  </w:tcBorders>
                  <w:shd w:val="clear" w:color="auto" w:fill="auto"/>
                  <w:tcMar>
                    <w:left w:w="0" w:type="dxa"/>
                    <w:right w:w="0" w:type="dxa"/>
                  </w:tcMar>
                  <w:vAlign w:val="center"/>
                </w:tcPr>
                <w:p w14:paraId="7968384A">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建筑物外声级/dB(A)</w:t>
                  </w:r>
                </w:p>
              </w:tc>
              <w:tc>
                <w:tcPr>
                  <w:tcW w:w="285" w:type="pct"/>
                  <w:vMerge w:val="restart"/>
                  <w:tcBorders>
                    <w:top w:val="single" w:color="000000" w:sz="8" w:space="0"/>
                    <w:left w:val="nil"/>
                    <w:bottom w:val="single" w:color="000000" w:sz="4" w:space="0"/>
                    <w:right w:val="single" w:color="000000" w:sz="6" w:space="0"/>
                  </w:tcBorders>
                  <w:shd w:val="clear" w:color="auto" w:fill="auto"/>
                  <w:tcMar>
                    <w:left w:w="0" w:type="dxa"/>
                    <w:right w:w="0" w:type="dxa"/>
                  </w:tcMar>
                  <w:vAlign w:val="center"/>
                </w:tcPr>
                <w:p w14:paraId="64D2C1AB">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建筑物外距离/m</w:t>
                  </w:r>
                </w:p>
              </w:tc>
            </w:tr>
            <w:tr w14:paraId="07F7B5E1">
              <w:tblPrEx>
                <w:tblBorders>
                  <w:top w:val="single" w:color="000000" w:sz="8" w:space="0"/>
                  <w:left w:val="single" w:color="000000" w:sz="8"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blCellSpacing w:w="0" w:type="dxa"/>
              </w:trPr>
              <w:tc>
                <w:tcPr>
                  <w:tcW w:w="179" w:type="pct"/>
                  <w:vMerge w:val="continue"/>
                  <w:tcBorders>
                    <w:top w:val="single" w:color="000000" w:sz="8" w:space="0"/>
                    <w:left w:val="single" w:color="000000" w:sz="8" w:space="0"/>
                    <w:bottom w:val="single" w:color="000000" w:sz="4" w:space="0"/>
                    <w:right w:val="single" w:color="000000" w:sz="4" w:space="0"/>
                  </w:tcBorders>
                  <w:shd w:val="clear" w:color="auto" w:fill="auto"/>
                  <w:tcMar>
                    <w:left w:w="0" w:type="dxa"/>
                    <w:right w:w="0" w:type="dxa"/>
                  </w:tcMar>
                  <w:vAlign w:val="center"/>
                </w:tcPr>
                <w:p w14:paraId="5F5663B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 w:val="24"/>
                      <w:szCs w:val="24"/>
                    </w:rPr>
                  </w:pPr>
                </w:p>
              </w:tc>
              <w:tc>
                <w:tcPr>
                  <w:tcW w:w="341" w:type="pct"/>
                  <w:vMerge w:val="continue"/>
                  <w:tcBorders>
                    <w:top w:val="single" w:color="000000" w:sz="8" w:space="0"/>
                    <w:left w:val="nil"/>
                    <w:bottom w:val="single" w:color="000000" w:sz="4" w:space="0"/>
                    <w:right w:val="single" w:color="000000" w:sz="4" w:space="0"/>
                  </w:tcBorders>
                  <w:shd w:val="clear" w:color="auto" w:fill="auto"/>
                  <w:tcMar>
                    <w:left w:w="0" w:type="dxa"/>
                    <w:right w:w="0" w:type="dxa"/>
                  </w:tcMar>
                  <w:vAlign w:val="center"/>
                </w:tcPr>
                <w:p w14:paraId="645D062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 w:val="24"/>
                      <w:szCs w:val="24"/>
                    </w:rPr>
                  </w:pPr>
                </w:p>
              </w:tc>
              <w:tc>
                <w:tcPr>
                  <w:tcW w:w="228" w:type="pct"/>
                  <w:vMerge w:val="continue"/>
                  <w:tcBorders>
                    <w:top w:val="single" w:color="000000" w:sz="8" w:space="0"/>
                    <w:left w:val="nil"/>
                    <w:bottom w:val="single" w:color="000000" w:sz="4" w:space="0"/>
                    <w:right w:val="single" w:color="000000" w:sz="4" w:space="0"/>
                  </w:tcBorders>
                  <w:shd w:val="clear" w:color="auto" w:fill="auto"/>
                  <w:tcMar>
                    <w:left w:w="0" w:type="dxa"/>
                    <w:right w:w="0" w:type="dxa"/>
                  </w:tcMar>
                  <w:vAlign w:val="center"/>
                </w:tcPr>
                <w:p w14:paraId="768AF9E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 w:val="24"/>
                      <w:szCs w:val="24"/>
                    </w:rPr>
                  </w:pPr>
                </w:p>
              </w:tc>
              <w:tc>
                <w:tcPr>
                  <w:tcW w:w="309" w:type="pct"/>
                  <w:vMerge w:val="continue"/>
                  <w:tcBorders>
                    <w:left w:val="nil"/>
                    <w:bottom w:val="single" w:color="000000" w:sz="4" w:space="0"/>
                    <w:right w:val="single" w:color="000000" w:sz="4" w:space="0"/>
                  </w:tcBorders>
                  <w:shd w:val="clear" w:color="auto" w:fill="auto"/>
                  <w:tcMar>
                    <w:left w:w="0" w:type="dxa"/>
                    <w:right w:w="0" w:type="dxa"/>
                  </w:tcMar>
                  <w:vAlign w:val="center"/>
                </w:tcPr>
                <w:p w14:paraId="5F365038">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p>
              </w:tc>
              <w:tc>
                <w:tcPr>
                  <w:tcW w:w="213" w:type="pct"/>
                  <w:tcBorders>
                    <w:top w:val="nil"/>
                    <w:left w:val="nil"/>
                    <w:bottom w:val="single" w:color="000000" w:sz="4" w:space="0"/>
                    <w:right w:val="single" w:color="000000" w:sz="4" w:space="0"/>
                  </w:tcBorders>
                  <w:shd w:val="clear" w:color="auto" w:fill="auto"/>
                  <w:tcMar>
                    <w:left w:w="0" w:type="dxa"/>
                    <w:right w:w="0" w:type="dxa"/>
                  </w:tcMar>
                  <w:vAlign w:val="center"/>
                </w:tcPr>
                <w:p w14:paraId="6FD028DD">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X</w:t>
                  </w:r>
                </w:p>
              </w:tc>
              <w:tc>
                <w:tcPr>
                  <w:tcW w:w="219" w:type="pct"/>
                  <w:tcBorders>
                    <w:top w:val="nil"/>
                    <w:left w:val="nil"/>
                    <w:bottom w:val="single" w:color="000000" w:sz="4" w:space="0"/>
                    <w:right w:val="single" w:color="000000" w:sz="4" w:space="0"/>
                  </w:tcBorders>
                  <w:shd w:val="clear" w:color="auto" w:fill="auto"/>
                  <w:tcMar>
                    <w:left w:w="0" w:type="dxa"/>
                    <w:right w:w="0" w:type="dxa"/>
                  </w:tcMar>
                  <w:vAlign w:val="center"/>
                </w:tcPr>
                <w:p w14:paraId="6C44287F">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Y</w:t>
                  </w:r>
                </w:p>
              </w:tc>
              <w:tc>
                <w:tcPr>
                  <w:tcW w:w="208" w:type="pct"/>
                  <w:tcBorders>
                    <w:top w:val="nil"/>
                    <w:left w:val="nil"/>
                    <w:bottom w:val="single" w:color="000000" w:sz="4" w:space="0"/>
                    <w:right w:val="single" w:color="000000" w:sz="4" w:space="0"/>
                  </w:tcBorders>
                  <w:shd w:val="clear" w:color="auto" w:fill="auto"/>
                  <w:tcMar>
                    <w:left w:w="0" w:type="dxa"/>
                    <w:right w:w="0" w:type="dxa"/>
                  </w:tcMar>
                  <w:vAlign w:val="center"/>
                </w:tcPr>
                <w:p w14:paraId="699B3C11">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Z</w:t>
                  </w:r>
                </w:p>
              </w:tc>
              <w:tc>
                <w:tcPr>
                  <w:tcW w:w="213" w:type="pct"/>
                  <w:tcBorders>
                    <w:top w:val="nil"/>
                    <w:left w:val="nil"/>
                    <w:bottom w:val="single" w:color="000000" w:sz="4" w:space="0"/>
                    <w:right w:val="single" w:color="000000" w:sz="4" w:space="0"/>
                  </w:tcBorders>
                  <w:shd w:val="clear" w:color="auto" w:fill="auto"/>
                  <w:tcMar>
                    <w:left w:w="0" w:type="dxa"/>
                    <w:right w:w="0" w:type="dxa"/>
                  </w:tcMar>
                  <w:vAlign w:val="center"/>
                </w:tcPr>
                <w:p w14:paraId="28067818">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东</w:t>
                  </w:r>
                </w:p>
              </w:tc>
              <w:tc>
                <w:tcPr>
                  <w:tcW w:w="213" w:type="pct"/>
                  <w:tcBorders>
                    <w:top w:val="nil"/>
                    <w:left w:val="nil"/>
                    <w:bottom w:val="single" w:color="000000" w:sz="4" w:space="0"/>
                    <w:right w:val="single" w:color="000000" w:sz="4" w:space="0"/>
                  </w:tcBorders>
                  <w:shd w:val="clear" w:color="auto" w:fill="auto"/>
                  <w:tcMar>
                    <w:left w:w="0" w:type="dxa"/>
                    <w:right w:w="0" w:type="dxa"/>
                  </w:tcMar>
                  <w:vAlign w:val="center"/>
                </w:tcPr>
                <w:p w14:paraId="7AB9E483">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南</w:t>
                  </w:r>
                </w:p>
              </w:tc>
              <w:tc>
                <w:tcPr>
                  <w:tcW w:w="213" w:type="pct"/>
                  <w:tcBorders>
                    <w:top w:val="nil"/>
                    <w:left w:val="nil"/>
                    <w:bottom w:val="single" w:color="000000" w:sz="4" w:space="0"/>
                    <w:right w:val="single" w:color="000000" w:sz="4" w:space="0"/>
                  </w:tcBorders>
                  <w:shd w:val="clear" w:color="auto" w:fill="auto"/>
                  <w:tcMar>
                    <w:left w:w="0" w:type="dxa"/>
                    <w:right w:w="0" w:type="dxa"/>
                  </w:tcMar>
                  <w:vAlign w:val="center"/>
                </w:tcPr>
                <w:p w14:paraId="4C2DC874">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西</w:t>
                  </w:r>
                </w:p>
              </w:tc>
              <w:tc>
                <w:tcPr>
                  <w:tcW w:w="214" w:type="pct"/>
                  <w:tcBorders>
                    <w:top w:val="nil"/>
                    <w:left w:val="nil"/>
                    <w:bottom w:val="single" w:color="000000" w:sz="4" w:space="0"/>
                    <w:right w:val="single" w:color="000000" w:sz="4" w:space="0"/>
                  </w:tcBorders>
                  <w:shd w:val="clear" w:color="auto" w:fill="auto"/>
                  <w:tcMar>
                    <w:left w:w="0" w:type="dxa"/>
                    <w:right w:w="0" w:type="dxa"/>
                  </w:tcMar>
                  <w:vAlign w:val="center"/>
                </w:tcPr>
                <w:p w14:paraId="50838F9B">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北</w:t>
                  </w:r>
                </w:p>
              </w:tc>
              <w:tc>
                <w:tcPr>
                  <w:tcW w:w="232" w:type="pct"/>
                  <w:tcBorders>
                    <w:top w:val="nil"/>
                    <w:left w:val="nil"/>
                    <w:bottom w:val="single" w:color="000000" w:sz="4" w:space="0"/>
                    <w:right w:val="single" w:color="000000" w:sz="4" w:space="0"/>
                  </w:tcBorders>
                  <w:shd w:val="clear" w:color="auto" w:fill="auto"/>
                  <w:tcMar>
                    <w:left w:w="0" w:type="dxa"/>
                    <w:right w:w="0" w:type="dxa"/>
                  </w:tcMar>
                  <w:vAlign w:val="center"/>
                </w:tcPr>
                <w:p w14:paraId="353B6B33">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东</w:t>
                  </w:r>
                </w:p>
              </w:tc>
              <w:tc>
                <w:tcPr>
                  <w:tcW w:w="232" w:type="pct"/>
                  <w:tcBorders>
                    <w:top w:val="nil"/>
                    <w:left w:val="nil"/>
                    <w:bottom w:val="single" w:color="000000" w:sz="4" w:space="0"/>
                    <w:right w:val="single" w:color="000000" w:sz="4" w:space="0"/>
                  </w:tcBorders>
                  <w:shd w:val="clear" w:color="auto" w:fill="auto"/>
                  <w:tcMar>
                    <w:left w:w="0" w:type="dxa"/>
                    <w:right w:w="0" w:type="dxa"/>
                  </w:tcMar>
                  <w:vAlign w:val="center"/>
                </w:tcPr>
                <w:p w14:paraId="3A2DFFE7">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南</w:t>
                  </w:r>
                </w:p>
              </w:tc>
              <w:tc>
                <w:tcPr>
                  <w:tcW w:w="232" w:type="pct"/>
                  <w:tcBorders>
                    <w:top w:val="nil"/>
                    <w:left w:val="nil"/>
                    <w:bottom w:val="single" w:color="000000" w:sz="4" w:space="0"/>
                    <w:right w:val="single" w:color="000000" w:sz="4" w:space="0"/>
                  </w:tcBorders>
                  <w:shd w:val="clear" w:color="auto" w:fill="auto"/>
                  <w:tcMar>
                    <w:left w:w="0" w:type="dxa"/>
                    <w:right w:w="0" w:type="dxa"/>
                  </w:tcMar>
                  <w:vAlign w:val="center"/>
                </w:tcPr>
                <w:p w14:paraId="70F2310A">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西</w:t>
                  </w:r>
                </w:p>
              </w:tc>
              <w:tc>
                <w:tcPr>
                  <w:tcW w:w="228" w:type="pct"/>
                  <w:tcBorders>
                    <w:top w:val="nil"/>
                    <w:left w:val="nil"/>
                    <w:bottom w:val="single" w:color="000000" w:sz="4" w:space="0"/>
                    <w:right w:val="single" w:color="000000" w:sz="4" w:space="0"/>
                  </w:tcBorders>
                  <w:shd w:val="clear" w:color="auto" w:fill="auto"/>
                  <w:tcMar>
                    <w:left w:w="0" w:type="dxa"/>
                    <w:right w:w="0" w:type="dxa"/>
                  </w:tcMar>
                  <w:vAlign w:val="center"/>
                </w:tcPr>
                <w:p w14:paraId="2786D272">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北</w:t>
                  </w:r>
                </w:p>
              </w:tc>
              <w:tc>
                <w:tcPr>
                  <w:tcW w:w="309" w:type="pct"/>
                  <w:vMerge w:val="continue"/>
                  <w:tcBorders>
                    <w:top w:val="single" w:color="000000" w:sz="8" w:space="0"/>
                    <w:left w:val="nil"/>
                    <w:bottom w:val="single" w:color="000000" w:sz="4" w:space="0"/>
                    <w:right w:val="single" w:color="000000" w:sz="4" w:space="0"/>
                  </w:tcBorders>
                  <w:shd w:val="clear" w:color="auto" w:fill="auto"/>
                  <w:tcMar>
                    <w:left w:w="0" w:type="dxa"/>
                    <w:right w:w="0" w:type="dxa"/>
                  </w:tcMar>
                  <w:vAlign w:val="center"/>
                </w:tcPr>
                <w:p w14:paraId="48EC665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 w:val="24"/>
                      <w:szCs w:val="24"/>
                    </w:rPr>
                  </w:pPr>
                </w:p>
              </w:tc>
              <w:tc>
                <w:tcPr>
                  <w:tcW w:w="232" w:type="pct"/>
                  <w:tcBorders>
                    <w:top w:val="nil"/>
                    <w:left w:val="nil"/>
                    <w:bottom w:val="single" w:color="000000" w:sz="4" w:space="0"/>
                    <w:right w:val="single" w:color="000000" w:sz="4" w:space="0"/>
                  </w:tcBorders>
                  <w:shd w:val="clear" w:color="auto" w:fill="auto"/>
                  <w:tcMar>
                    <w:left w:w="0" w:type="dxa"/>
                    <w:right w:w="0" w:type="dxa"/>
                  </w:tcMar>
                  <w:vAlign w:val="center"/>
                </w:tcPr>
                <w:p w14:paraId="518F70F6">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东</w:t>
                  </w:r>
                </w:p>
              </w:tc>
              <w:tc>
                <w:tcPr>
                  <w:tcW w:w="226" w:type="pct"/>
                  <w:tcBorders>
                    <w:top w:val="nil"/>
                    <w:left w:val="nil"/>
                    <w:bottom w:val="single" w:color="000000" w:sz="4" w:space="0"/>
                    <w:right w:val="single" w:color="000000" w:sz="4" w:space="0"/>
                  </w:tcBorders>
                  <w:shd w:val="clear" w:color="auto" w:fill="auto"/>
                  <w:tcMar>
                    <w:left w:w="0" w:type="dxa"/>
                    <w:right w:w="0" w:type="dxa"/>
                  </w:tcMar>
                  <w:vAlign w:val="center"/>
                </w:tcPr>
                <w:p w14:paraId="371CF3B3">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南</w:t>
                  </w:r>
                </w:p>
              </w:tc>
              <w:tc>
                <w:tcPr>
                  <w:tcW w:w="232" w:type="pct"/>
                  <w:tcBorders>
                    <w:top w:val="nil"/>
                    <w:left w:val="nil"/>
                    <w:bottom w:val="single" w:color="000000" w:sz="4" w:space="0"/>
                    <w:right w:val="single" w:color="000000" w:sz="4" w:space="0"/>
                  </w:tcBorders>
                  <w:shd w:val="clear" w:color="auto" w:fill="auto"/>
                  <w:tcMar>
                    <w:left w:w="0" w:type="dxa"/>
                    <w:right w:w="0" w:type="dxa"/>
                  </w:tcMar>
                  <w:vAlign w:val="center"/>
                </w:tcPr>
                <w:p w14:paraId="37F8EF2A">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西</w:t>
                  </w:r>
                </w:p>
              </w:tc>
              <w:tc>
                <w:tcPr>
                  <w:tcW w:w="234" w:type="pct"/>
                  <w:tcBorders>
                    <w:top w:val="nil"/>
                    <w:left w:val="nil"/>
                    <w:bottom w:val="single" w:color="000000" w:sz="4" w:space="0"/>
                    <w:right w:val="single" w:color="000000" w:sz="4" w:space="0"/>
                  </w:tcBorders>
                  <w:shd w:val="clear" w:color="auto" w:fill="auto"/>
                  <w:tcMar>
                    <w:left w:w="0" w:type="dxa"/>
                    <w:right w:w="0" w:type="dxa"/>
                  </w:tcMar>
                  <w:vAlign w:val="center"/>
                </w:tcPr>
                <w:p w14:paraId="629B6A20">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北</w:t>
                  </w:r>
                </w:p>
              </w:tc>
              <w:tc>
                <w:tcPr>
                  <w:tcW w:w="285" w:type="pct"/>
                  <w:vMerge w:val="continue"/>
                  <w:tcBorders>
                    <w:top w:val="single" w:color="000000" w:sz="8" w:space="0"/>
                    <w:left w:val="nil"/>
                    <w:bottom w:val="single" w:color="000000" w:sz="4" w:space="0"/>
                    <w:right w:val="single" w:color="000000" w:sz="6" w:space="0"/>
                  </w:tcBorders>
                  <w:shd w:val="clear" w:color="auto" w:fill="auto"/>
                  <w:tcMar>
                    <w:left w:w="0" w:type="dxa"/>
                    <w:right w:w="0" w:type="dxa"/>
                  </w:tcMar>
                  <w:vAlign w:val="center"/>
                </w:tcPr>
                <w:p w14:paraId="3C8E2C7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 w:val="24"/>
                      <w:szCs w:val="24"/>
                    </w:rPr>
                  </w:pPr>
                </w:p>
              </w:tc>
            </w:tr>
            <w:tr w14:paraId="6ADE6C1B">
              <w:tblPrEx>
                <w:tblBorders>
                  <w:top w:val="single" w:color="000000" w:sz="8" w:space="0"/>
                  <w:left w:val="single" w:color="000000" w:sz="8" w:space="0"/>
                  <w:bottom w:val="single" w:color="000000" w:sz="6" w:space="0"/>
                  <w:right w:val="single" w:color="000000" w:sz="6" w:space="0"/>
                  <w:insideH w:val="none" w:color="auto" w:sz="0" w:space="0"/>
                  <w:insideV w:val="none" w:color="auto" w:sz="0" w:space="0"/>
                </w:tblBorders>
                <w:shd w:val="clear" w:color="auto" w:fill="auto"/>
                <w:tblCellMar>
                  <w:top w:w="0" w:type="dxa"/>
                  <w:left w:w="108" w:type="dxa"/>
                  <w:bottom w:w="0" w:type="dxa"/>
                  <w:right w:w="108" w:type="dxa"/>
                </w:tblCellMar>
              </w:tblPrEx>
              <w:trPr>
                <w:tblCellSpacing w:w="0" w:type="dxa"/>
              </w:trPr>
              <w:tc>
                <w:tcPr>
                  <w:tcW w:w="179" w:type="pct"/>
                  <w:tcBorders>
                    <w:top w:val="nil"/>
                    <w:left w:val="single" w:color="000000" w:sz="8" w:space="0"/>
                    <w:bottom w:val="single" w:color="000000" w:sz="6" w:space="0"/>
                    <w:right w:val="single" w:color="000000" w:sz="4" w:space="0"/>
                  </w:tcBorders>
                  <w:shd w:val="clear" w:color="auto" w:fill="auto"/>
                  <w:tcMar>
                    <w:left w:w="0" w:type="dxa"/>
                    <w:right w:w="0" w:type="dxa"/>
                  </w:tcMar>
                  <w:vAlign w:val="center"/>
                </w:tcPr>
                <w:p w14:paraId="0181B305">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1</w:t>
                  </w:r>
                </w:p>
              </w:tc>
              <w:tc>
                <w:tcPr>
                  <w:tcW w:w="341" w:type="pct"/>
                  <w:tcBorders>
                    <w:top w:val="nil"/>
                    <w:left w:val="nil"/>
                    <w:bottom w:val="single" w:color="000000" w:sz="6" w:space="0"/>
                    <w:right w:val="single" w:color="000000" w:sz="4" w:space="0"/>
                  </w:tcBorders>
                  <w:shd w:val="clear" w:color="auto" w:fill="auto"/>
                  <w:tcMar>
                    <w:left w:w="0" w:type="dxa"/>
                    <w:right w:w="0" w:type="dxa"/>
                  </w:tcMar>
                  <w:vAlign w:val="center"/>
                </w:tcPr>
                <w:p w14:paraId="4316A754">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打包机</w:t>
                  </w:r>
                </w:p>
              </w:tc>
              <w:tc>
                <w:tcPr>
                  <w:tcW w:w="228" w:type="pct"/>
                  <w:tcBorders>
                    <w:top w:val="nil"/>
                    <w:left w:val="nil"/>
                    <w:bottom w:val="single" w:color="000000" w:sz="6" w:space="0"/>
                    <w:right w:val="single" w:color="000000" w:sz="4" w:space="0"/>
                  </w:tcBorders>
                  <w:shd w:val="clear" w:color="auto" w:fill="auto"/>
                  <w:tcMar>
                    <w:left w:w="0" w:type="dxa"/>
                    <w:right w:w="0" w:type="dxa"/>
                  </w:tcMar>
                  <w:vAlign w:val="center"/>
                </w:tcPr>
                <w:p w14:paraId="772D731F">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1</w:t>
                  </w:r>
                </w:p>
              </w:tc>
              <w:tc>
                <w:tcPr>
                  <w:tcW w:w="309" w:type="pct"/>
                  <w:tcBorders>
                    <w:top w:val="nil"/>
                    <w:left w:val="nil"/>
                    <w:bottom w:val="single" w:color="000000" w:sz="6" w:space="0"/>
                    <w:right w:val="single" w:color="000000" w:sz="4" w:space="0"/>
                  </w:tcBorders>
                  <w:shd w:val="clear" w:color="auto" w:fill="auto"/>
                  <w:tcMar>
                    <w:left w:w="0" w:type="dxa"/>
                    <w:right w:w="0" w:type="dxa"/>
                  </w:tcMar>
                  <w:vAlign w:val="center"/>
                </w:tcPr>
                <w:p w14:paraId="16C9CF27">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80</w:t>
                  </w:r>
                </w:p>
              </w:tc>
              <w:tc>
                <w:tcPr>
                  <w:tcW w:w="213" w:type="pct"/>
                  <w:tcBorders>
                    <w:top w:val="nil"/>
                    <w:left w:val="nil"/>
                    <w:bottom w:val="single" w:color="000000" w:sz="6" w:space="0"/>
                    <w:right w:val="single" w:color="000000" w:sz="4" w:space="0"/>
                  </w:tcBorders>
                  <w:shd w:val="clear" w:color="auto" w:fill="auto"/>
                  <w:tcMar>
                    <w:left w:w="0" w:type="dxa"/>
                    <w:right w:w="0" w:type="dxa"/>
                  </w:tcMar>
                  <w:vAlign w:val="center"/>
                </w:tcPr>
                <w:p w14:paraId="1FBBE147">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11</w:t>
                  </w:r>
                </w:p>
              </w:tc>
              <w:tc>
                <w:tcPr>
                  <w:tcW w:w="219" w:type="pct"/>
                  <w:tcBorders>
                    <w:top w:val="nil"/>
                    <w:left w:val="nil"/>
                    <w:bottom w:val="single" w:color="000000" w:sz="6" w:space="0"/>
                    <w:right w:val="single" w:color="000000" w:sz="4" w:space="0"/>
                  </w:tcBorders>
                  <w:shd w:val="clear" w:color="auto" w:fill="auto"/>
                  <w:tcMar>
                    <w:left w:w="0" w:type="dxa"/>
                    <w:right w:w="0" w:type="dxa"/>
                  </w:tcMar>
                  <w:vAlign w:val="center"/>
                </w:tcPr>
                <w:p w14:paraId="51FFD9C4">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-13</w:t>
                  </w:r>
                </w:p>
              </w:tc>
              <w:tc>
                <w:tcPr>
                  <w:tcW w:w="208" w:type="pct"/>
                  <w:tcBorders>
                    <w:top w:val="nil"/>
                    <w:left w:val="nil"/>
                    <w:bottom w:val="single" w:color="000000" w:sz="6" w:space="0"/>
                    <w:right w:val="single" w:color="000000" w:sz="4" w:space="0"/>
                  </w:tcBorders>
                  <w:shd w:val="clear" w:color="auto" w:fill="auto"/>
                  <w:tcMar>
                    <w:left w:w="0" w:type="dxa"/>
                    <w:right w:w="0" w:type="dxa"/>
                  </w:tcMar>
                  <w:vAlign w:val="center"/>
                </w:tcPr>
                <w:p w14:paraId="2EAE8335">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1</w:t>
                  </w:r>
                </w:p>
              </w:tc>
              <w:tc>
                <w:tcPr>
                  <w:tcW w:w="213" w:type="pct"/>
                  <w:tcBorders>
                    <w:top w:val="nil"/>
                    <w:left w:val="nil"/>
                    <w:bottom w:val="single" w:color="000000" w:sz="6" w:space="0"/>
                    <w:right w:val="single" w:color="000000" w:sz="4" w:space="0"/>
                  </w:tcBorders>
                  <w:shd w:val="clear" w:color="auto" w:fill="auto"/>
                  <w:tcMar>
                    <w:left w:w="0" w:type="dxa"/>
                    <w:right w:w="0" w:type="dxa"/>
                  </w:tcMar>
                  <w:vAlign w:val="center"/>
                </w:tcPr>
                <w:p w14:paraId="0C083F62">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32</w:t>
                  </w:r>
                </w:p>
              </w:tc>
              <w:tc>
                <w:tcPr>
                  <w:tcW w:w="213" w:type="pct"/>
                  <w:tcBorders>
                    <w:top w:val="nil"/>
                    <w:left w:val="nil"/>
                    <w:bottom w:val="single" w:color="000000" w:sz="6" w:space="0"/>
                    <w:right w:val="single" w:color="000000" w:sz="4" w:space="0"/>
                  </w:tcBorders>
                  <w:shd w:val="clear" w:color="auto" w:fill="auto"/>
                  <w:tcMar>
                    <w:left w:w="0" w:type="dxa"/>
                    <w:right w:w="0" w:type="dxa"/>
                  </w:tcMar>
                  <w:vAlign w:val="center"/>
                </w:tcPr>
                <w:p w14:paraId="4B1815E1">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12</w:t>
                  </w:r>
                </w:p>
              </w:tc>
              <w:tc>
                <w:tcPr>
                  <w:tcW w:w="213" w:type="pct"/>
                  <w:tcBorders>
                    <w:top w:val="nil"/>
                    <w:left w:val="nil"/>
                    <w:bottom w:val="single" w:color="000000" w:sz="6" w:space="0"/>
                    <w:right w:val="single" w:color="000000" w:sz="4" w:space="0"/>
                  </w:tcBorders>
                  <w:shd w:val="clear" w:color="auto" w:fill="auto"/>
                  <w:tcMar>
                    <w:left w:w="0" w:type="dxa"/>
                    <w:right w:w="0" w:type="dxa"/>
                  </w:tcMar>
                  <w:vAlign w:val="center"/>
                </w:tcPr>
                <w:p w14:paraId="6DBC31A4">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55</w:t>
                  </w:r>
                </w:p>
              </w:tc>
              <w:tc>
                <w:tcPr>
                  <w:tcW w:w="214" w:type="pct"/>
                  <w:tcBorders>
                    <w:top w:val="nil"/>
                    <w:left w:val="nil"/>
                    <w:bottom w:val="single" w:color="000000" w:sz="6" w:space="0"/>
                    <w:right w:val="single" w:color="000000" w:sz="4" w:space="0"/>
                  </w:tcBorders>
                  <w:shd w:val="clear" w:color="auto" w:fill="auto"/>
                  <w:tcMar>
                    <w:left w:w="0" w:type="dxa"/>
                    <w:right w:w="0" w:type="dxa"/>
                  </w:tcMar>
                  <w:vAlign w:val="center"/>
                </w:tcPr>
                <w:p w14:paraId="0E279265">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49</w:t>
                  </w:r>
                </w:p>
              </w:tc>
              <w:tc>
                <w:tcPr>
                  <w:tcW w:w="232" w:type="pct"/>
                  <w:tcBorders>
                    <w:top w:val="nil"/>
                    <w:left w:val="nil"/>
                    <w:bottom w:val="single" w:color="000000" w:sz="6" w:space="0"/>
                    <w:right w:val="single" w:color="000000" w:sz="4" w:space="0"/>
                  </w:tcBorders>
                  <w:shd w:val="clear" w:color="auto" w:fill="auto"/>
                  <w:tcMar>
                    <w:left w:w="0" w:type="dxa"/>
                    <w:right w:w="0" w:type="dxa"/>
                  </w:tcMar>
                  <w:vAlign w:val="center"/>
                </w:tcPr>
                <w:p w14:paraId="377EC13E">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49.92</w:t>
                  </w:r>
                </w:p>
              </w:tc>
              <w:tc>
                <w:tcPr>
                  <w:tcW w:w="232" w:type="pct"/>
                  <w:tcBorders>
                    <w:top w:val="nil"/>
                    <w:left w:val="nil"/>
                    <w:bottom w:val="single" w:color="000000" w:sz="6" w:space="0"/>
                    <w:right w:val="single" w:color="000000" w:sz="4" w:space="0"/>
                  </w:tcBorders>
                  <w:shd w:val="clear" w:color="auto" w:fill="auto"/>
                  <w:tcMar>
                    <w:left w:w="0" w:type="dxa"/>
                    <w:right w:w="0" w:type="dxa"/>
                  </w:tcMar>
                  <w:vAlign w:val="center"/>
                </w:tcPr>
                <w:p w14:paraId="6943E067">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58.39</w:t>
                  </w:r>
                </w:p>
              </w:tc>
              <w:tc>
                <w:tcPr>
                  <w:tcW w:w="232" w:type="pct"/>
                  <w:tcBorders>
                    <w:top w:val="nil"/>
                    <w:left w:val="nil"/>
                    <w:bottom w:val="single" w:color="000000" w:sz="6" w:space="0"/>
                    <w:right w:val="single" w:color="000000" w:sz="4" w:space="0"/>
                  </w:tcBorders>
                  <w:shd w:val="clear" w:color="auto" w:fill="auto"/>
                  <w:tcMar>
                    <w:left w:w="0" w:type="dxa"/>
                    <w:right w:w="0" w:type="dxa"/>
                  </w:tcMar>
                  <w:vAlign w:val="center"/>
                </w:tcPr>
                <w:p w14:paraId="64926FEF">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45.23</w:t>
                  </w:r>
                </w:p>
              </w:tc>
              <w:tc>
                <w:tcPr>
                  <w:tcW w:w="228" w:type="pct"/>
                  <w:tcBorders>
                    <w:top w:val="nil"/>
                    <w:left w:val="nil"/>
                    <w:bottom w:val="single" w:color="000000" w:sz="6" w:space="0"/>
                    <w:right w:val="single" w:color="000000" w:sz="4" w:space="0"/>
                  </w:tcBorders>
                  <w:shd w:val="clear" w:color="auto" w:fill="auto"/>
                  <w:tcMar>
                    <w:left w:w="0" w:type="dxa"/>
                    <w:right w:w="0" w:type="dxa"/>
                  </w:tcMar>
                  <w:vAlign w:val="center"/>
                </w:tcPr>
                <w:p w14:paraId="49F47E68">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49.1</w:t>
                  </w:r>
                </w:p>
              </w:tc>
              <w:tc>
                <w:tcPr>
                  <w:tcW w:w="309" w:type="pct"/>
                  <w:tcBorders>
                    <w:top w:val="nil"/>
                    <w:left w:val="nil"/>
                    <w:bottom w:val="single" w:color="000000" w:sz="6" w:space="0"/>
                    <w:right w:val="single" w:color="000000" w:sz="4" w:space="0"/>
                  </w:tcBorders>
                  <w:shd w:val="clear" w:color="auto" w:fill="auto"/>
                  <w:tcMar>
                    <w:left w:w="0" w:type="dxa"/>
                    <w:right w:w="0" w:type="dxa"/>
                  </w:tcMar>
                  <w:vAlign w:val="center"/>
                </w:tcPr>
                <w:p w14:paraId="57D07957">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20</w:t>
                  </w:r>
                </w:p>
              </w:tc>
              <w:tc>
                <w:tcPr>
                  <w:tcW w:w="232" w:type="pct"/>
                  <w:tcBorders>
                    <w:top w:val="nil"/>
                    <w:left w:val="nil"/>
                    <w:bottom w:val="single" w:color="000000" w:sz="6" w:space="0"/>
                    <w:right w:val="single" w:color="000000" w:sz="4" w:space="0"/>
                  </w:tcBorders>
                  <w:shd w:val="clear" w:color="auto" w:fill="auto"/>
                  <w:tcMar>
                    <w:left w:w="0" w:type="dxa"/>
                    <w:right w:w="0" w:type="dxa"/>
                  </w:tcMar>
                  <w:vAlign w:val="center"/>
                </w:tcPr>
                <w:p w14:paraId="3B05955B">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23.65</w:t>
                  </w:r>
                </w:p>
              </w:tc>
              <w:tc>
                <w:tcPr>
                  <w:tcW w:w="226" w:type="pct"/>
                  <w:tcBorders>
                    <w:top w:val="nil"/>
                    <w:left w:val="nil"/>
                    <w:bottom w:val="single" w:color="000000" w:sz="6" w:space="0"/>
                    <w:right w:val="single" w:color="000000" w:sz="4" w:space="0"/>
                  </w:tcBorders>
                  <w:shd w:val="clear" w:color="auto" w:fill="auto"/>
                  <w:tcMar>
                    <w:left w:w="0" w:type="dxa"/>
                    <w:right w:w="0" w:type="dxa"/>
                  </w:tcMar>
                  <w:vAlign w:val="center"/>
                </w:tcPr>
                <w:p w14:paraId="791EFA52">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31.7</w:t>
                  </w:r>
                </w:p>
              </w:tc>
              <w:tc>
                <w:tcPr>
                  <w:tcW w:w="232" w:type="pct"/>
                  <w:tcBorders>
                    <w:top w:val="nil"/>
                    <w:left w:val="nil"/>
                    <w:bottom w:val="single" w:color="000000" w:sz="6" w:space="0"/>
                    <w:right w:val="single" w:color="000000" w:sz="4" w:space="0"/>
                  </w:tcBorders>
                  <w:shd w:val="clear" w:color="auto" w:fill="auto"/>
                  <w:tcMar>
                    <w:left w:w="0" w:type="dxa"/>
                    <w:right w:w="0" w:type="dxa"/>
                  </w:tcMar>
                  <w:vAlign w:val="center"/>
                </w:tcPr>
                <w:p w14:paraId="79401E61">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19.07</w:t>
                  </w:r>
                </w:p>
              </w:tc>
              <w:tc>
                <w:tcPr>
                  <w:tcW w:w="234" w:type="pct"/>
                  <w:tcBorders>
                    <w:top w:val="nil"/>
                    <w:left w:val="nil"/>
                    <w:bottom w:val="single" w:color="000000" w:sz="6" w:space="0"/>
                    <w:right w:val="single" w:color="000000" w:sz="4" w:space="0"/>
                  </w:tcBorders>
                  <w:shd w:val="clear" w:color="auto" w:fill="auto"/>
                  <w:tcMar>
                    <w:left w:w="0" w:type="dxa"/>
                    <w:right w:w="0" w:type="dxa"/>
                  </w:tcMar>
                  <w:vAlign w:val="center"/>
                </w:tcPr>
                <w:p w14:paraId="7681A2AC">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22.86</w:t>
                  </w:r>
                </w:p>
              </w:tc>
              <w:tc>
                <w:tcPr>
                  <w:tcW w:w="285" w:type="pct"/>
                  <w:tcBorders>
                    <w:top w:val="nil"/>
                    <w:left w:val="nil"/>
                    <w:bottom w:val="single" w:color="000000" w:sz="6" w:space="0"/>
                    <w:right w:val="single" w:color="000000" w:sz="6" w:space="0"/>
                  </w:tcBorders>
                  <w:shd w:val="clear" w:color="auto" w:fill="auto"/>
                  <w:tcMar>
                    <w:left w:w="0" w:type="dxa"/>
                    <w:right w:w="0" w:type="dxa"/>
                  </w:tcMar>
                  <w:vAlign w:val="center"/>
                </w:tcPr>
                <w:p w14:paraId="5A3E876B">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1</w:t>
                  </w:r>
                </w:p>
              </w:tc>
            </w:tr>
          </w:tbl>
          <w:p w14:paraId="481DF821">
            <w:pPr>
              <w:pStyle w:val="21"/>
              <w:ind w:firstLine="0" w:firstLineChars="0"/>
              <w:jc w:val="center"/>
              <w:rPr>
                <w:rFonts w:hint="default" w:ascii="Times New Roman" w:hAnsi="Times New Roman" w:cs="Times New Roman"/>
                <w:b/>
                <w:bCs/>
                <w:color w:val="auto"/>
                <w:kern w:val="0"/>
                <w:sz w:val="21"/>
                <w:szCs w:val="21"/>
                <w:highlight w:val="none"/>
              </w:rPr>
            </w:pPr>
          </w:p>
          <w:p w14:paraId="4FEDDF28">
            <w:pPr>
              <w:pStyle w:val="21"/>
              <w:ind w:firstLine="0" w:firstLineChars="0"/>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rPr>
              <w:t>表</w:t>
            </w:r>
            <w:r>
              <w:rPr>
                <w:rFonts w:hint="eastAsia" w:cs="Times New Roman"/>
                <w:b/>
                <w:bCs/>
                <w:color w:val="auto"/>
                <w:kern w:val="0"/>
                <w:sz w:val="21"/>
                <w:szCs w:val="21"/>
                <w:highlight w:val="none"/>
                <w:lang w:val="en-US" w:eastAsia="zh-CN"/>
              </w:rPr>
              <w:t xml:space="preserve"> 4-7</w:t>
            </w:r>
            <w:r>
              <w:rPr>
                <w:rFonts w:hint="default" w:ascii="Times New Roman" w:hAnsi="Times New Roman" w:cs="Times New Roman"/>
                <w:b/>
                <w:bCs/>
                <w:color w:val="auto"/>
                <w:kern w:val="0"/>
                <w:sz w:val="21"/>
                <w:szCs w:val="21"/>
                <w:highlight w:val="none"/>
              </w:rPr>
              <w:t>噪声预测结果</w:t>
            </w:r>
          </w:p>
          <w:tbl>
            <w:tblPr>
              <w:tblStyle w:val="44"/>
              <w:tblW w:w="4997" w:type="pct"/>
              <w:tblCellSpacing w:w="0" w:type="dxa"/>
              <w:tblInd w:w="0" w:type="dxa"/>
              <w:tblBorders>
                <w:top w:val="single" w:color="000000" w:sz="8" w:space="0"/>
                <w:left w:val="single" w:color="000000" w:sz="8" w:space="0"/>
                <w:bottom w:val="single" w:color="000000" w:sz="6" w:space="0"/>
                <w:right w:val="single" w:color="000000" w:sz="6"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33"/>
              <w:gridCol w:w="2141"/>
              <w:gridCol w:w="3731"/>
              <w:gridCol w:w="4262"/>
              <w:gridCol w:w="2154"/>
            </w:tblGrid>
            <w:tr w14:paraId="3A5234C8">
              <w:tblPrEx>
                <w:tblBorders>
                  <w:top w:val="single" w:color="000000" w:sz="8" w:space="0"/>
                  <w:left w:val="single" w:color="000000" w:sz="8" w:space="0"/>
                  <w:bottom w:val="single" w:color="000000" w:sz="6" w:space="0"/>
                  <w:right w:val="single" w:color="000000" w:sz="6" w:space="0"/>
                  <w:insideH w:val="none" w:color="auto" w:sz="0" w:space="0"/>
                  <w:insideV w:val="none" w:color="auto" w:sz="0" w:space="0"/>
                </w:tblBorders>
                <w:shd w:val="clear" w:color="auto" w:fill="auto"/>
              </w:tblPrEx>
              <w:trPr>
                <w:tblCellSpacing w:w="0" w:type="dxa"/>
              </w:trPr>
              <w:tc>
                <w:tcPr>
                  <w:tcW w:w="422" w:type="pct"/>
                  <w:vMerge w:val="restart"/>
                  <w:tcBorders>
                    <w:top w:val="single" w:color="000000" w:sz="8" w:space="0"/>
                    <w:left w:val="single" w:color="000000" w:sz="8" w:space="0"/>
                    <w:bottom w:val="single" w:color="000000" w:sz="4" w:space="0"/>
                    <w:right w:val="single" w:color="000000" w:sz="4" w:space="0"/>
                  </w:tcBorders>
                  <w:shd w:val="clear" w:color="auto" w:fill="auto"/>
                  <w:tcMar>
                    <w:left w:w="0" w:type="dxa"/>
                    <w:right w:w="0" w:type="dxa"/>
                  </w:tcMar>
                  <w:vAlign w:val="center"/>
                </w:tcPr>
                <w:p w14:paraId="1148C1EA">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序号</w:t>
                  </w:r>
                </w:p>
              </w:tc>
              <w:tc>
                <w:tcPr>
                  <w:tcW w:w="797" w:type="pct"/>
                  <w:vMerge w:val="restart"/>
                  <w:tcBorders>
                    <w:top w:val="single" w:color="000000" w:sz="8" w:space="0"/>
                    <w:left w:val="nil"/>
                    <w:bottom w:val="single" w:color="000000" w:sz="4" w:space="0"/>
                    <w:right w:val="single" w:color="000000" w:sz="4" w:space="0"/>
                  </w:tcBorders>
                  <w:shd w:val="clear" w:color="auto" w:fill="auto"/>
                  <w:tcMar>
                    <w:left w:w="0" w:type="dxa"/>
                    <w:right w:w="0" w:type="dxa"/>
                  </w:tcMar>
                  <w:vAlign w:val="center"/>
                </w:tcPr>
                <w:p w14:paraId="685F32E2">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sz w:val="21"/>
                      <w:szCs w:val="21"/>
                    </w:rPr>
                  </w:pPr>
                  <w:r>
                    <w:rPr>
                      <w:rFonts w:hint="eastAsia"/>
                      <w:color w:val="auto"/>
                      <w:sz w:val="21"/>
                      <w:szCs w:val="21"/>
                      <w:lang w:val="en-US" w:eastAsia="zh-CN"/>
                    </w:rPr>
                    <w:t>预测</w:t>
                  </w:r>
                  <w:r>
                    <w:rPr>
                      <w:rFonts w:hint="eastAsia" w:cs="Times New Roman"/>
                      <w:color w:val="auto"/>
                      <w:sz w:val="21"/>
                      <w:szCs w:val="21"/>
                      <w:lang w:val="en-US" w:eastAsia="zh-CN"/>
                    </w:rPr>
                    <w:t>点位</w:t>
                  </w:r>
                </w:p>
              </w:tc>
              <w:tc>
                <w:tcPr>
                  <w:tcW w:w="1389" w:type="pct"/>
                  <w:tcBorders>
                    <w:top w:val="single" w:color="000000" w:sz="8" w:space="0"/>
                    <w:left w:val="nil"/>
                    <w:bottom w:val="single" w:color="000000" w:sz="4" w:space="0"/>
                    <w:right w:val="single" w:color="000000" w:sz="4" w:space="0"/>
                  </w:tcBorders>
                  <w:shd w:val="clear" w:color="auto" w:fill="auto"/>
                  <w:tcMar>
                    <w:left w:w="0" w:type="dxa"/>
                    <w:right w:w="0" w:type="dxa"/>
                  </w:tcMar>
                  <w:vAlign w:val="center"/>
                </w:tcPr>
                <w:p w14:paraId="07B403AE">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噪声标准/dB(A)</w:t>
                  </w:r>
                </w:p>
              </w:tc>
              <w:tc>
                <w:tcPr>
                  <w:tcW w:w="1587" w:type="pct"/>
                  <w:tcBorders>
                    <w:top w:val="single" w:color="000000" w:sz="8" w:space="0"/>
                    <w:left w:val="nil"/>
                    <w:bottom w:val="single" w:color="000000" w:sz="4" w:space="0"/>
                    <w:right w:val="single" w:color="000000" w:sz="4" w:space="0"/>
                  </w:tcBorders>
                  <w:shd w:val="clear" w:color="auto" w:fill="auto"/>
                  <w:tcMar>
                    <w:left w:w="0" w:type="dxa"/>
                    <w:right w:w="0" w:type="dxa"/>
                  </w:tcMar>
                  <w:vAlign w:val="center"/>
                </w:tcPr>
                <w:p w14:paraId="066F1107">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噪声/dB(A)</w:t>
                  </w:r>
                </w:p>
              </w:tc>
              <w:tc>
                <w:tcPr>
                  <w:tcW w:w="802" w:type="pct"/>
                  <w:tcBorders>
                    <w:top w:val="single" w:color="000000" w:sz="8" w:space="0"/>
                    <w:left w:val="nil"/>
                    <w:bottom w:val="single" w:color="000000" w:sz="4" w:space="0"/>
                    <w:right w:val="single" w:color="000000" w:sz="6" w:space="0"/>
                  </w:tcBorders>
                  <w:shd w:val="clear" w:color="auto" w:fill="auto"/>
                  <w:tcMar>
                    <w:left w:w="0" w:type="dxa"/>
                    <w:right w:w="0" w:type="dxa"/>
                  </w:tcMar>
                  <w:vAlign w:val="center"/>
                </w:tcPr>
                <w:p w14:paraId="0F4DCDCC">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达标情况</w:t>
                  </w:r>
                </w:p>
              </w:tc>
            </w:tr>
            <w:tr w14:paraId="6052F2F0">
              <w:tblPrEx>
                <w:tblBorders>
                  <w:top w:val="single" w:color="000000" w:sz="8" w:space="0"/>
                  <w:left w:val="single" w:color="000000" w:sz="8" w:space="0"/>
                  <w:bottom w:val="single" w:color="000000" w:sz="6" w:space="0"/>
                  <w:right w:val="single" w:color="000000" w:sz="6" w:space="0"/>
                  <w:insideH w:val="none" w:color="auto" w:sz="0" w:space="0"/>
                  <w:insideV w:val="none" w:color="auto" w:sz="0" w:space="0"/>
                </w:tblBorders>
                <w:shd w:val="clear" w:color="auto" w:fill="auto"/>
                <w:tblCellMar>
                  <w:top w:w="0" w:type="dxa"/>
                  <w:left w:w="108" w:type="dxa"/>
                  <w:bottom w:w="0" w:type="dxa"/>
                  <w:right w:w="108" w:type="dxa"/>
                </w:tblCellMar>
              </w:tblPrEx>
              <w:trPr>
                <w:tblCellSpacing w:w="0" w:type="dxa"/>
              </w:trPr>
              <w:tc>
                <w:tcPr>
                  <w:tcW w:w="422" w:type="pct"/>
                  <w:vMerge w:val="continue"/>
                  <w:tcBorders>
                    <w:top w:val="single" w:color="000000" w:sz="8" w:space="0"/>
                    <w:left w:val="single" w:color="000000" w:sz="8" w:space="0"/>
                    <w:bottom w:val="single" w:color="000000" w:sz="4" w:space="0"/>
                    <w:right w:val="single" w:color="000000" w:sz="4" w:space="0"/>
                  </w:tcBorders>
                  <w:shd w:val="clear" w:color="auto" w:fill="auto"/>
                  <w:tcMar>
                    <w:left w:w="0" w:type="dxa"/>
                    <w:right w:w="0" w:type="dxa"/>
                  </w:tcMar>
                  <w:vAlign w:val="center"/>
                </w:tcPr>
                <w:p w14:paraId="4D932E3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 w:val="24"/>
                      <w:szCs w:val="24"/>
                    </w:rPr>
                  </w:pPr>
                </w:p>
              </w:tc>
              <w:tc>
                <w:tcPr>
                  <w:tcW w:w="797" w:type="pct"/>
                  <w:vMerge w:val="continue"/>
                  <w:tcBorders>
                    <w:top w:val="single" w:color="000000" w:sz="8" w:space="0"/>
                    <w:left w:val="nil"/>
                    <w:bottom w:val="single" w:color="000000" w:sz="4" w:space="0"/>
                    <w:right w:val="single" w:color="000000" w:sz="4" w:space="0"/>
                  </w:tcBorders>
                  <w:shd w:val="clear" w:color="auto" w:fill="auto"/>
                  <w:tcMar>
                    <w:left w:w="0" w:type="dxa"/>
                    <w:right w:w="0" w:type="dxa"/>
                  </w:tcMar>
                  <w:vAlign w:val="center"/>
                </w:tcPr>
                <w:p w14:paraId="547A066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rPr>
                  </w:pPr>
                </w:p>
              </w:tc>
              <w:tc>
                <w:tcPr>
                  <w:tcW w:w="1389" w:type="pct"/>
                  <w:tcBorders>
                    <w:top w:val="nil"/>
                    <w:left w:val="nil"/>
                    <w:bottom w:val="single" w:color="000000" w:sz="4" w:space="0"/>
                    <w:right w:val="single" w:color="000000" w:sz="4" w:space="0"/>
                  </w:tcBorders>
                  <w:shd w:val="clear" w:color="auto" w:fill="auto"/>
                  <w:tcMar>
                    <w:left w:w="0" w:type="dxa"/>
                    <w:right w:w="0" w:type="dxa"/>
                  </w:tcMar>
                  <w:vAlign w:val="center"/>
                </w:tcPr>
                <w:p w14:paraId="0F090669">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昼间</w:t>
                  </w:r>
                </w:p>
              </w:tc>
              <w:tc>
                <w:tcPr>
                  <w:tcW w:w="1587" w:type="pct"/>
                  <w:tcBorders>
                    <w:top w:val="nil"/>
                    <w:left w:val="nil"/>
                    <w:bottom w:val="single" w:color="000000" w:sz="4" w:space="0"/>
                    <w:right w:val="single" w:color="000000" w:sz="4" w:space="0"/>
                  </w:tcBorders>
                  <w:shd w:val="clear" w:color="auto" w:fill="auto"/>
                  <w:tcMar>
                    <w:left w:w="0" w:type="dxa"/>
                    <w:right w:w="0" w:type="dxa"/>
                  </w:tcMar>
                  <w:vAlign w:val="center"/>
                </w:tcPr>
                <w:p w14:paraId="1B50BE8C">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昼间</w:t>
                  </w:r>
                </w:p>
              </w:tc>
              <w:tc>
                <w:tcPr>
                  <w:tcW w:w="802" w:type="pct"/>
                  <w:tcBorders>
                    <w:top w:val="nil"/>
                    <w:left w:val="nil"/>
                    <w:bottom w:val="single" w:color="000000" w:sz="4" w:space="0"/>
                    <w:right w:val="single" w:color="000000" w:sz="4" w:space="0"/>
                  </w:tcBorders>
                  <w:shd w:val="clear" w:color="auto" w:fill="auto"/>
                  <w:tcMar>
                    <w:left w:w="0" w:type="dxa"/>
                    <w:right w:w="0" w:type="dxa"/>
                  </w:tcMar>
                  <w:vAlign w:val="center"/>
                </w:tcPr>
                <w:p w14:paraId="5F9D1D62">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昼间</w:t>
                  </w:r>
                </w:p>
              </w:tc>
            </w:tr>
            <w:tr w14:paraId="0ABA1DE3">
              <w:tblPrEx>
                <w:tblBorders>
                  <w:top w:val="single" w:color="000000" w:sz="8" w:space="0"/>
                  <w:left w:val="single" w:color="000000" w:sz="8" w:space="0"/>
                  <w:bottom w:val="single" w:color="000000" w:sz="6" w:space="0"/>
                  <w:right w:val="single" w:color="000000" w:sz="6" w:space="0"/>
                  <w:insideH w:val="none" w:color="auto" w:sz="0" w:space="0"/>
                  <w:insideV w:val="none" w:color="auto" w:sz="0" w:space="0"/>
                </w:tblBorders>
                <w:shd w:val="clear" w:color="auto" w:fill="auto"/>
                <w:tblCellMar>
                  <w:top w:w="0" w:type="dxa"/>
                  <w:left w:w="108" w:type="dxa"/>
                  <w:bottom w:w="0" w:type="dxa"/>
                  <w:right w:w="108" w:type="dxa"/>
                </w:tblCellMar>
              </w:tblPrEx>
              <w:trPr>
                <w:tblCellSpacing w:w="0" w:type="dxa"/>
              </w:trPr>
              <w:tc>
                <w:tcPr>
                  <w:tcW w:w="422" w:type="pct"/>
                  <w:tcBorders>
                    <w:top w:val="nil"/>
                    <w:left w:val="single" w:color="000000" w:sz="8" w:space="0"/>
                    <w:bottom w:val="single" w:color="000000" w:sz="4" w:space="0"/>
                    <w:right w:val="single" w:color="000000" w:sz="4" w:space="0"/>
                  </w:tcBorders>
                  <w:shd w:val="clear" w:color="auto" w:fill="auto"/>
                  <w:tcMar>
                    <w:left w:w="0" w:type="dxa"/>
                    <w:right w:w="0" w:type="dxa"/>
                  </w:tcMar>
                  <w:vAlign w:val="center"/>
                </w:tcPr>
                <w:p w14:paraId="340087DB">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1</w:t>
                  </w:r>
                </w:p>
              </w:tc>
              <w:tc>
                <w:tcPr>
                  <w:tcW w:w="797" w:type="pct"/>
                  <w:tcBorders>
                    <w:top w:val="nil"/>
                    <w:left w:val="nil"/>
                    <w:bottom w:val="single" w:color="000000" w:sz="4" w:space="0"/>
                    <w:right w:val="single" w:color="000000" w:sz="4" w:space="0"/>
                  </w:tcBorders>
                  <w:shd w:val="clear" w:color="auto" w:fill="auto"/>
                  <w:tcMar>
                    <w:left w:w="0" w:type="dxa"/>
                    <w:right w:w="0" w:type="dxa"/>
                  </w:tcMar>
                  <w:vAlign w:val="center"/>
                </w:tcPr>
                <w:p w14:paraId="29D12D09">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南</w:t>
                  </w:r>
                  <w:r>
                    <w:rPr>
                      <w:rFonts w:hint="eastAsia" w:cs="Times New Roman"/>
                      <w:color w:val="auto"/>
                      <w:sz w:val="21"/>
                      <w:szCs w:val="21"/>
                      <w:lang w:val="en-US" w:eastAsia="zh-CN"/>
                    </w:rPr>
                    <w:t>厂界</w:t>
                  </w:r>
                </w:p>
              </w:tc>
              <w:tc>
                <w:tcPr>
                  <w:tcW w:w="1389" w:type="pct"/>
                  <w:tcBorders>
                    <w:top w:val="nil"/>
                    <w:left w:val="nil"/>
                    <w:bottom w:val="single" w:color="000000" w:sz="4" w:space="0"/>
                    <w:right w:val="single" w:color="000000" w:sz="4" w:space="0"/>
                  </w:tcBorders>
                  <w:shd w:val="clear" w:color="auto" w:fill="auto"/>
                  <w:tcMar>
                    <w:left w:w="0" w:type="dxa"/>
                    <w:right w:w="0" w:type="dxa"/>
                  </w:tcMar>
                  <w:vAlign w:val="center"/>
                </w:tcPr>
                <w:p w14:paraId="7EAAB1FD">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65</w:t>
                  </w:r>
                </w:p>
              </w:tc>
              <w:tc>
                <w:tcPr>
                  <w:tcW w:w="1587" w:type="pct"/>
                  <w:tcBorders>
                    <w:top w:val="nil"/>
                    <w:left w:val="nil"/>
                    <w:bottom w:val="single" w:color="000000" w:sz="4" w:space="0"/>
                    <w:right w:val="single" w:color="000000" w:sz="4" w:space="0"/>
                  </w:tcBorders>
                  <w:shd w:val="clear" w:color="auto" w:fill="auto"/>
                  <w:tcMar>
                    <w:left w:w="0" w:type="dxa"/>
                    <w:right w:w="0" w:type="dxa"/>
                  </w:tcMar>
                  <w:vAlign w:val="center"/>
                </w:tcPr>
                <w:p w14:paraId="0205A65D">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color w:val="auto"/>
                      <w:lang w:val="en-US" w:eastAsia="zh-CN"/>
                    </w:rPr>
                  </w:pPr>
                  <w:r>
                    <w:rPr>
                      <w:rFonts w:hint="eastAsia" w:cs="Times New Roman"/>
                      <w:color w:val="auto"/>
                      <w:sz w:val="21"/>
                      <w:szCs w:val="21"/>
                      <w:lang w:val="en-US" w:eastAsia="zh-CN"/>
                    </w:rPr>
                    <w:t>31.7</w:t>
                  </w:r>
                </w:p>
              </w:tc>
              <w:tc>
                <w:tcPr>
                  <w:tcW w:w="802" w:type="pct"/>
                  <w:tcBorders>
                    <w:top w:val="nil"/>
                    <w:left w:val="nil"/>
                    <w:bottom w:val="single" w:color="000000" w:sz="4" w:space="0"/>
                    <w:right w:val="single" w:color="000000" w:sz="4" w:space="0"/>
                  </w:tcBorders>
                  <w:shd w:val="clear" w:color="auto" w:fill="auto"/>
                  <w:tcMar>
                    <w:left w:w="0" w:type="dxa"/>
                    <w:right w:w="0" w:type="dxa"/>
                  </w:tcMar>
                  <w:vAlign w:val="center"/>
                </w:tcPr>
                <w:p w14:paraId="19D56254">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达标</w:t>
                  </w:r>
                </w:p>
              </w:tc>
            </w:tr>
            <w:tr w14:paraId="595DAC4E">
              <w:tblPrEx>
                <w:tblBorders>
                  <w:top w:val="single" w:color="000000" w:sz="8" w:space="0"/>
                  <w:left w:val="single" w:color="000000" w:sz="8" w:space="0"/>
                  <w:bottom w:val="single" w:color="000000" w:sz="6" w:space="0"/>
                  <w:right w:val="single" w:color="000000" w:sz="6" w:space="0"/>
                  <w:insideH w:val="none" w:color="auto" w:sz="0" w:space="0"/>
                  <w:insideV w:val="none" w:color="auto" w:sz="0" w:space="0"/>
                </w:tblBorders>
                <w:shd w:val="clear" w:color="auto" w:fill="auto"/>
                <w:tblCellMar>
                  <w:top w:w="0" w:type="dxa"/>
                  <w:left w:w="108" w:type="dxa"/>
                  <w:bottom w:w="0" w:type="dxa"/>
                  <w:right w:w="108" w:type="dxa"/>
                </w:tblCellMar>
              </w:tblPrEx>
              <w:trPr>
                <w:tblCellSpacing w:w="0" w:type="dxa"/>
              </w:trPr>
              <w:tc>
                <w:tcPr>
                  <w:tcW w:w="422" w:type="pct"/>
                  <w:tcBorders>
                    <w:top w:val="nil"/>
                    <w:left w:val="single" w:color="000000" w:sz="8" w:space="0"/>
                    <w:bottom w:val="single" w:color="000000" w:sz="4" w:space="0"/>
                    <w:right w:val="single" w:color="000000" w:sz="4" w:space="0"/>
                  </w:tcBorders>
                  <w:shd w:val="clear" w:color="auto" w:fill="auto"/>
                  <w:tcMar>
                    <w:left w:w="0" w:type="dxa"/>
                    <w:right w:w="0" w:type="dxa"/>
                  </w:tcMar>
                  <w:vAlign w:val="center"/>
                </w:tcPr>
                <w:p w14:paraId="27C7EC38">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2</w:t>
                  </w:r>
                </w:p>
              </w:tc>
              <w:tc>
                <w:tcPr>
                  <w:tcW w:w="797" w:type="pct"/>
                  <w:tcBorders>
                    <w:top w:val="nil"/>
                    <w:left w:val="nil"/>
                    <w:bottom w:val="single" w:color="000000" w:sz="4" w:space="0"/>
                    <w:right w:val="single" w:color="000000" w:sz="4" w:space="0"/>
                  </w:tcBorders>
                  <w:shd w:val="clear" w:color="auto" w:fill="auto"/>
                  <w:tcMar>
                    <w:left w:w="0" w:type="dxa"/>
                    <w:right w:w="0" w:type="dxa"/>
                  </w:tcMar>
                  <w:vAlign w:val="center"/>
                </w:tcPr>
                <w:p w14:paraId="00BF3DD0">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北</w:t>
                  </w:r>
                  <w:r>
                    <w:rPr>
                      <w:rFonts w:hint="eastAsia" w:cs="Times New Roman"/>
                      <w:color w:val="auto"/>
                      <w:sz w:val="21"/>
                      <w:szCs w:val="21"/>
                      <w:lang w:val="en-US" w:eastAsia="zh-CN"/>
                    </w:rPr>
                    <w:t>厂界</w:t>
                  </w:r>
                </w:p>
              </w:tc>
              <w:tc>
                <w:tcPr>
                  <w:tcW w:w="1389" w:type="pct"/>
                  <w:tcBorders>
                    <w:top w:val="nil"/>
                    <w:left w:val="nil"/>
                    <w:bottom w:val="single" w:color="000000" w:sz="4" w:space="0"/>
                    <w:right w:val="single" w:color="000000" w:sz="4" w:space="0"/>
                  </w:tcBorders>
                  <w:shd w:val="clear" w:color="auto" w:fill="auto"/>
                  <w:tcMar>
                    <w:left w:w="0" w:type="dxa"/>
                    <w:right w:w="0" w:type="dxa"/>
                  </w:tcMar>
                  <w:vAlign w:val="center"/>
                </w:tcPr>
                <w:p w14:paraId="7E037096">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65</w:t>
                  </w:r>
                </w:p>
              </w:tc>
              <w:tc>
                <w:tcPr>
                  <w:tcW w:w="1587" w:type="pct"/>
                  <w:tcBorders>
                    <w:top w:val="nil"/>
                    <w:left w:val="nil"/>
                    <w:bottom w:val="single" w:color="000000" w:sz="4" w:space="0"/>
                    <w:right w:val="single" w:color="000000" w:sz="4" w:space="0"/>
                  </w:tcBorders>
                  <w:shd w:val="clear" w:color="auto" w:fill="auto"/>
                  <w:tcMar>
                    <w:left w:w="0" w:type="dxa"/>
                    <w:right w:w="0" w:type="dxa"/>
                  </w:tcMar>
                  <w:vAlign w:val="center"/>
                </w:tcPr>
                <w:p w14:paraId="3E9D0D37">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color w:val="auto"/>
                      <w:lang w:val="en-US" w:eastAsia="zh-CN"/>
                    </w:rPr>
                  </w:pPr>
                  <w:r>
                    <w:rPr>
                      <w:rFonts w:hint="eastAsia" w:cs="Times New Roman"/>
                      <w:color w:val="auto"/>
                      <w:sz w:val="21"/>
                      <w:szCs w:val="21"/>
                      <w:lang w:val="en-US" w:eastAsia="zh-CN"/>
                    </w:rPr>
                    <w:t>22.86</w:t>
                  </w:r>
                </w:p>
              </w:tc>
              <w:tc>
                <w:tcPr>
                  <w:tcW w:w="802" w:type="pct"/>
                  <w:tcBorders>
                    <w:top w:val="nil"/>
                    <w:left w:val="nil"/>
                    <w:bottom w:val="single" w:color="000000" w:sz="4" w:space="0"/>
                    <w:right w:val="single" w:color="000000" w:sz="4" w:space="0"/>
                  </w:tcBorders>
                  <w:shd w:val="clear" w:color="auto" w:fill="auto"/>
                  <w:tcMar>
                    <w:left w:w="0" w:type="dxa"/>
                    <w:right w:w="0" w:type="dxa"/>
                  </w:tcMar>
                  <w:vAlign w:val="center"/>
                </w:tcPr>
                <w:p w14:paraId="6AA228CA">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达标</w:t>
                  </w:r>
                </w:p>
              </w:tc>
            </w:tr>
            <w:tr w14:paraId="6005076D">
              <w:tblPrEx>
                <w:tblBorders>
                  <w:top w:val="single" w:color="000000" w:sz="8" w:space="0"/>
                  <w:left w:val="single" w:color="000000" w:sz="8" w:space="0"/>
                  <w:bottom w:val="single" w:color="000000" w:sz="6" w:space="0"/>
                  <w:right w:val="single" w:color="000000" w:sz="6" w:space="0"/>
                  <w:insideH w:val="none" w:color="auto" w:sz="0" w:space="0"/>
                  <w:insideV w:val="none" w:color="auto" w:sz="0" w:space="0"/>
                </w:tblBorders>
                <w:shd w:val="clear" w:color="auto" w:fill="auto"/>
                <w:tblCellMar>
                  <w:top w:w="0" w:type="dxa"/>
                  <w:left w:w="108" w:type="dxa"/>
                  <w:bottom w:w="0" w:type="dxa"/>
                  <w:right w:w="108" w:type="dxa"/>
                </w:tblCellMar>
              </w:tblPrEx>
              <w:trPr>
                <w:tblCellSpacing w:w="0" w:type="dxa"/>
              </w:trPr>
              <w:tc>
                <w:tcPr>
                  <w:tcW w:w="422" w:type="pct"/>
                  <w:tcBorders>
                    <w:top w:val="nil"/>
                    <w:left w:val="single" w:color="000000" w:sz="8" w:space="0"/>
                    <w:bottom w:val="single" w:color="000000" w:sz="4" w:space="0"/>
                    <w:right w:val="single" w:color="000000" w:sz="4" w:space="0"/>
                  </w:tcBorders>
                  <w:shd w:val="clear" w:color="auto" w:fill="auto"/>
                  <w:tcMar>
                    <w:left w:w="0" w:type="dxa"/>
                    <w:right w:w="0" w:type="dxa"/>
                  </w:tcMar>
                  <w:vAlign w:val="center"/>
                </w:tcPr>
                <w:p w14:paraId="75272534">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3</w:t>
                  </w:r>
                </w:p>
              </w:tc>
              <w:tc>
                <w:tcPr>
                  <w:tcW w:w="797" w:type="pct"/>
                  <w:tcBorders>
                    <w:top w:val="nil"/>
                    <w:left w:val="nil"/>
                    <w:bottom w:val="single" w:color="000000" w:sz="4" w:space="0"/>
                    <w:right w:val="single" w:color="000000" w:sz="4" w:space="0"/>
                  </w:tcBorders>
                  <w:shd w:val="clear" w:color="auto" w:fill="auto"/>
                  <w:tcMar>
                    <w:left w:w="0" w:type="dxa"/>
                    <w:right w:w="0" w:type="dxa"/>
                  </w:tcMar>
                  <w:vAlign w:val="center"/>
                </w:tcPr>
                <w:p w14:paraId="45C02973">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东</w:t>
                  </w:r>
                  <w:r>
                    <w:rPr>
                      <w:rFonts w:hint="eastAsia" w:cs="Times New Roman"/>
                      <w:color w:val="auto"/>
                      <w:sz w:val="21"/>
                      <w:szCs w:val="21"/>
                      <w:lang w:val="en-US" w:eastAsia="zh-CN"/>
                    </w:rPr>
                    <w:t>厂界</w:t>
                  </w:r>
                </w:p>
              </w:tc>
              <w:tc>
                <w:tcPr>
                  <w:tcW w:w="1389" w:type="pct"/>
                  <w:tcBorders>
                    <w:top w:val="nil"/>
                    <w:left w:val="nil"/>
                    <w:bottom w:val="single" w:color="000000" w:sz="4" w:space="0"/>
                    <w:right w:val="single" w:color="000000" w:sz="4" w:space="0"/>
                  </w:tcBorders>
                  <w:shd w:val="clear" w:color="auto" w:fill="auto"/>
                  <w:tcMar>
                    <w:left w:w="0" w:type="dxa"/>
                    <w:right w:w="0" w:type="dxa"/>
                  </w:tcMar>
                  <w:vAlign w:val="center"/>
                </w:tcPr>
                <w:p w14:paraId="5351E748">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65</w:t>
                  </w:r>
                </w:p>
              </w:tc>
              <w:tc>
                <w:tcPr>
                  <w:tcW w:w="1587" w:type="pct"/>
                  <w:tcBorders>
                    <w:top w:val="nil"/>
                    <w:left w:val="nil"/>
                    <w:bottom w:val="single" w:color="000000" w:sz="4" w:space="0"/>
                    <w:right w:val="single" w:color="000000" w:sz="4" w:space="0"/>
                  </w:tcBorders>
                  <w:shd w:val="clear" w:color="auto" w:fill="auto"/>
                  <w:tcMar>
                    <w:left w:w="0" w:type="dxa"/>
                    <w:right w:w="0" w:type="dxa"/>
                  </w:tcMar>
                  <w:vAlign w:val="center"/>
                </w:tcPr>
                <w:p w14:paraId="1FD37A84">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color w:val="auto"/>
                      <w:lang w:val="en-US" w:eastAsia="zh-CN"/>
                    </w:rPr>
                  </w:pPr>
                  <w:r>
                    <w:rPr>
                      <w:rFonts w:hint="eastAsia" w:cs="Times New Roman"/>
                      <w:color w:val="auto"/>
                      <w:sz w:val="21"/>
                      <w:szCs w:val="21"/>
                      <w:lang w:val="en-US" w:eastAsia="zh-CN"/>
                    </w:rPr>
                    <w:t>23.65</w:t>
                  </w:r>
                </w:p>
              </w:tc>
              <w:tc>
                <w:tcPr>
                  <w:tcW w:w="802" w:type="pct"/>
                  <w:tcBorders>
                    <w:top w:val="nil"/>
                    <w:left w:val="nil"/>
                    <w:bottom w:val="single" w:color="000000" w:sz="4" w:space="0"/>
                    <w:right w:val="single" w:color="000000" w:sz="4" w:space="0"/>
                  </w:tcBorders>
                  <w:shd w:val="clear" w:color="auto" w:fill="auto"/>
                  <w:tcMar>
                    <w:left w:w="0" w:type="dxa"/>
                    <w:right w:w="0" w:type="dxa"/>
                  </w:tcMar>
                  <w:vAlign w:val="center"/>
                </w:tcPr>
                <w:p w14:paraId="23E2D102">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达标</w:t>
                  </w:r>
                </w:p>
              </w:tc>
            </w:tr>
            <w:tr w14:paraId="22703AF1">
              <w:tblPrEx>
                <w:tblBorders>
                  <w:top w:val="single" w:color="000000" w:sz="8" w:space="0"/>
                  <w:left w:val="single" w:color="000000" w:sz="8" w:space="0"/>
                  <w:bottom w:val="single" w:color="000000" w:sz="6" w:space="0"/>
                  <w:right w:val="single" w:color="000000" w:sz="6" w:space="0"/>
                  <w:insideH w:val="none" w:color="auto" w:sz="0" w:space="0"/>
                  <w:insideV w:val="none" w:color="auto" w:sz="0" w:space="0"/>
                </w:tblBorders>
                <w:shd w:val="clear" w:color="auto" w:fill="auto"/>
                <w:tblCellMar>
                  <w:top w:w="0" w:type="dxa"/>
                  <w:left w:w="108" w:type="dxa"/>
                  <w:bottom w:w="0" w:type="dxa"/>
                  <w:right w:w="108" w:type="dxa"/>
                </w:tblCellMar>
              </w:tblPrEx>
              <w:trPr>
                <w:tblCellSpacing w:w="0" w:type="dxa"/>
              </w:trPr>
              <w:tc>
                <w:tcPr>
                  <w:tcW w:w="422" w:type="pct"/>
                  <w:tcBorders>
                    <w:top w:val="nil"/>
                    <w:left w:val="single" w:color="000000" w:sz="8" w:space="0"/>
                    <w:bottom w:val="single" w:color="000000" w:sz="6" w:space="0"/>
                    <w:right w:val="single" w:color="000000" w:sz="4" w:space="0"/>
                  </w:tcBorders>
                  <w:shd w:val="clear" w:color="auto" w:fill="auto"/>
                  <w:tcMar>
                    <w:left w:w="0" w:type="dxa"/>
                    <w:right w:w="0" w:type="dxa"/>
                  </w:tcMar>
                  <w:vAlign w:val="center"/>
                </w:tcPr>
                <w:p w14:paraId="458C88D2">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4</w:t>
                  </w:r>
                </w:p>
              </w:tc>
              <w:tc>
                <w:tcPr>
                  <w:tcW w:w="797" w:type="pct"/>
                  <w:tcBorders>
                    <w:top w:val="nil"/>
                    <w:left w:val="nil"/>
                    <w:bottom w:val="single" w:color="000000" w:sz="6" w:space="0"/>
                    <w:right w:val="single" w:color="000000" w:sz="4" w:space="0"/>
                  </w:tcBorders>
                  <w:shd w:val="clear" w:color="auto" w:fill="auto"/>
                  <w:tcMar>
                    <w:left w:w="0" w:type="dxa"/>
                    <w:right w:w="0" w:type="dxa"/>
                  </w:tcMar>
                  <w:vAlign w:val="center"/>
                </w:tcPr>
                <w:p w14:paraId="2D114163">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西</w:t>
                  </w:r>
                  <w:r>
                    <w:rPr>
                      <w:rFonts w:hint="eastAsia"/>
                      <w:color w:val="auto"/>
                      <w:sz w:val="21"/>
                      <w:szCs w:val="21"/>
                      <w:lang w:val="en-US" w:eastAsia="zh-CN"/>
                    </w:rPr>
                    <w:t>厂界</w:t>
                  </w:r>
                </w:p>
              </w:tc>
              <w:tc>
                <w:tcPr>
                  <w:tcW w:w="1389" w:type="pct"/>
                  <w:tcBorders>
                    <w:top w:val="nil"/>
                    <w:left w:val="nil"/>
                    <w:bottom w:val="single" w:color="000000" w:sz="6" w:space="0"/>
                    <w:right w:val="single" w:color="000000" w:sz="4" w:space="0"/>
                  </w:tcBorders>
                  <w:shd w:val="clear" w:color="auto" w:fill="auto"/>
                  <w:tcMar>
                    <w:left w:w="0" w:type="dxa"/>
                    <w:right w:w="0" w:type="dxa"/>
                  </w:tcMar>
                  <w:vAlign w:val="center"/>
                </w:tcPr>
                <w:p w14:paraId="1EA9135E">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65</w:t>
                  </w:r>
                </w:p>
              </w:tc>
              <w:tc>
                <w:tcPr>
                  <w:tcW w:w="1587" w:type="pct"/>
                  <w:tcBorders>
                    <w:top w:val="nil"/>
                    <w:left w:val="nil"/>
                    <w:bottom w:val="single" w:color="000000" w:sz="6" w:space="0"/>
                    <w:right w:val="single" w:color="000000" w:sz="4" w:space="0"/>
                  </w:tcBorders>
                  <w:shd w:val="clear" w:color="auto" w:fill="auto"/>
                  <w:tcMar>
                    <w:left w:w="0" w:type="dxa"/>
                    <w:right w:w="0" w:type="dxa"/>
                  </w:tcMar>
                  <w:vAlign w:val="center"/>
                </w:tcPr>
                <w:p w14:paraId="645B5AC1">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color w:val="auto"/>
                      <w:lang w:val="en-US" w:eastAsia="zh-CN"/>
                    </w:rPr>
                  </w:pPr>
                  <w:r>
                    <w:rPr>
                      <w:rFonts w:hint="eastAsia" w:cs="Times New Roman"/>
                      <w:color w:val="auto"/>
                      <w:sz w:val="21"/>
                      <w:szCs w:val="21"/>
                      <w:lang w:val="en-US" w:eastAsia="zh-CN"/>
                    </w:rPr>
                    <w:t>19.07</w:t>
                  </w:r>
                </w:p>
              </w:tc>
              <w:tc>
                <w:tcPr>
                  <w:tcW w:w="802" w:type="pct"/>
                  <w:tcBorders>
                    <w:top w:val="nil"/>
                    <w:left w:val="nil"/>
                    <w:bottom w:val="single" w:color="000000" w:sz="6" w:space="0"/>
                    <w:right w:val="single" w:color="000000" w:sz="4" w:space="0"/>
                  </w:tcBorders>
                  <w:shd w:val="clear" w:color="auto" w:fill="auto"/>
                  <w:tcMar>
                    <w:left w:w="0" w:type="dxa"/>
                    <w:right w:w="0" w:type="dxa"/>
                  </w:tcMar>
                  <w:vAlign w:val="center"/>
                </w:tcPr>
                <w:p w14:paraId="55D38F93">
                  <w:pPr>
                    <w:pStyle w:val="4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rPr>
                    <w:t>达标</w:t>
                  </w:r>
                </w:p>
              </w:tc>
            </w:tr>
          </w:tbl>
          <w:p w14:paraId="469337C5">
            <w:pPr>
              <w:rPr>
                <w:rFonts w:hint="default" w:ascii="Times New Roman" w:hAnsi="Times New Roman" w:cs="Times New Roman"/>
                <w:color w:val="auto"/>
                <w:highlight w:val="none"/>
              </w:rPr>
            </w:pPr>
          </w:p>
          <w:p w14:paraId="4D8E985B">
            <w:pPr>
              <w:rPr>
                <w:rFonts w:hint="default" w:ascii="Times New Roman" w:hAnsi="Times New Roman" w:cs="Times New Roman"/>
                <w:color w:val="auto"/>
                <w:highlight w:val="none"/>
              </w:rPr>
            </w:pPr>
          </w:p>
        </w:tc>
      </w:tr>
    </w:tbl>
    <w:p w14:paraId="74A3CA30">
      <w:pPr>
        <w:pStyle w:val="7"/>
        <w:numPr>
          <w:ilvl w:val="0"/>
          <w:numId w:val="0"/>
        </w:numPr>
        <w:rPr>
          <w:rFonts w:hint="default" w:ascii="Times New Roman" w:hAnsi="Times New Roman" w:cs="Times New Roman"/>
          <w:color w:val="auto"/>
          <w:highlight w:val="none"/>
        </w:rPr>
        <w:sectPr>
          <w:pgSz w:w="16838" w:h="11906" w:orient="landscape"/>
          <w:pgMar w:top="1417" w:right="1440" w:bottom="1417" w:left="1440" w:header="851" w:footer="680" w:gutter="0"/>
          <w:pgBorders>
            <w:top w:val="none" w:sz="0" w:space="0"/>
            <w:left w:val="none" w:sz="0" w:space="0"/>
            <w:bottom w:val="none" w:sz="0" w:space="0"/>
            <w:right w:val="none" w:sz="0" w:space="0"/>
          </w:pgBorders>
          <w:pgNumType w:fmt="decimal"/>
          <w:cols w:space="720" w:num="1"/>
          <w:docGrid w:type="linesAndChars" w:linePitch="312" w:charSpace="0"/>
        </w:sectPr>
      </w:pPr>
    </w:p>
    <w:tbl>
      <w:tblPr>
        <w:tblStyle w:val="45"/>
        <w:tblW w:w="0" w:type="auto"/>
        <w:tblInd w:w="1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
        <w:gridCol w:w="8936"/>
      </w:tblGrid>
      <w:tr w14:paraId="1AA96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388" w:type="dxa"/>
          </w:tcPr>
          <w:p w14:paraId="6BF127DA">
            <w:pPr>
              <w:rPr>
                <w:rFonts w:hint="default" w:ascii="Times New Roman" w:hAnsi="Times New Roman" w:cs="Times New Roman"/>
                <w:color w:val="auto"/>
                <w:highlight w:val="none"/>
              </w:rPr>
            </w:pPr>
          </w:p>
        </w:tc>
        <w:tc>
          <w:tcPr>
            <w:tcW w:w="8791" w:type="dxa"/>
          </w:tcPr>
          <w:p w14:paraId="4F466A7B">
            <w:pPr>
              <w:adjustRightInd w:val="0"/>
              <w:ind w:firstLine="480" w:firstLineChars="20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2、达标分析</w:t>
            </w:r>
          </w:p>
          <w:p w14:paraId="3FEA0DE3">
            <w:pPr>
              <w:adjustRightInd w:val="0"/>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项目厂界外50米范围内无声环境保护目标。</w:t>
            </w:r>
            <w:r>
              <w:rPr>
                <w:rFonts w:hint="default" w:ascii="Times New Roman" w:hAnsi="Times New Roman" w:eastAsia="宋体" w:cs="Times New Roman"/>
                <w:bCs/>
                <w:color w:val="auto"/>
                <w:kern w:val="0"/>
                <w:highlight w:val="none"/>
              </w:rPr>
              <w:t>项目运营期产生的噪声主要为生产设备运行时产生的噪声，其噪声的强度值为60~</w:t>
            </w:r>
            <w:r>
              <w:rPr>
                <w:rFonts w:hint="default" w:ascii="Times New Roman" w:hAnsi="Times New Roman" w:cs="Times New Roman"/>
                <w:bCs/>
                <w:color w:val="auto"/>
                <w:kern w:val="0"/>
                <w:highlight w:val="none"/>
                <w:lang w:val="en-US" w:eastAsia="zh-CN"/>
              </w:rPr>
              <w:t>90</w:t>
            </w:r>
            <w:r>
              <w:rPr>
                <w:rFonts w:hint="default" w:ascii="Times New Roman" w:hAnsi="Times New Roman" w:eastAsia="宋体" w:cs="Times New Roman"/>
                <w:bCs/>
                <w:color w:val="auto"/>
                <w:kern w:val="0"/>
                <w:highlight w:val="none"/>
              </w:rPr>
              <w:t>dB（A）之间。</w:t>
            </w:r>
          </w:p>
          <w:p w14:paraId="7C8D62CA">
            <w:pPr>
              <w:adjustRightInd w:val="0"/>
              <w:ind w:firstLine="480" w:firstLineChars="200"/>
              <w:rPr>
                <w:rFonts w:hint="default" w:ascii="Times New Roman" w:hAnsi="Times New Roman" w:eastAsia="宋体" w:cs="Times New Roman"/>
                <w:bCs/>
                <w:color w:val="auto"/>
                <w:highlight w:val="none"/>
              </w:rPr>
            </w:pPr>
            <w:r>
              <w:rPr>
                <w:rFonts w:hint="default" w:ascii="Times New Roman" w:hAnsi="Times New Roman" w:eastAsia="宋体" w:cs="Times New Roman"/>
                <w:color w:val="auto"/>
                <w:highlight w:val="none"/>
              </w:rPr>
              <w:t>固定声源的噪声向周围传播过程中，会发生反射、折射、衍射、吸收等现象。因此，随传播距离的增加而产生的衰减量并不按简单的几何规律计算。根据《环境影响评价技术导则-声环境》（HJ2.4-2021）对室内声源的预测方法，声源位于室内，室内声源可采用等效室外声源声功率级法进行计算。</w:t>
            </w:r>
          </w:p>
          <w:p w14:paraId="5C0249D5">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2"/>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（1）室内点声源</w:t>
            </w:r>
          </w:p>
          <w:p w14:paraId="4C95DA61">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声源位于室内，室内声源可采用等效室外声源声功率级法进行计算。设靠近开口处（或窗户）室内、室外某倍频带的声压级或A声级分别为Lp1和Lp2。若声源所在室内声场为近似扩散声场，则室外的倍频带声压级可按以下公式近似求出：</w:t>
            </w:r>
          </w:p>
          <w:p w14:paraId="53535F09">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drawing>
                <wp:inline distT="0" distB="0" distL="0" distR="0">
                  <wp:extent cx="1276350" cy="266700"/>
                  <wp:effectExtent l="0" t="0" r="0" b="0"/>
                  <wp:docPr id="1032" name="图片 1" descr="IMG_256"/>
                  <wp:cNvGraphicFramePr/>
                  <a:graphic xmlns:a="http://schemas.openxmlformats.org/drawingml/2006/main">
                    <a:graphicData uri="http://schemas.openxmlformats.org/drawingml/2006/picture">
                      <pic:pic xmlns:pic="http://schemas.openxmlformats.org/drawingml/2006/picture">
                        <pic:nvPicPr>
                          <pic:cNvPr id="1032" name="图片 1" descr="IMG_256"/>
                          <pic:cNvPicPr/>
                        </pic:nvPicPr>
                        <pic:blipFill>
                          <a:blip r:embed="rId16" cstate="print"/>
                          <a:srcRect/>
                          <a:stretch>
                            <a:fillRect/>
                          </a:stretch>
                        </pic:blipFill>
                        <pic:spPr>
                          <a:xfrm>
                            <a:off x="0" y="0"/>
                            <a:ext cx="1276350" cy="266700"/>
                          </a:xfrm>
                          <a:prstGeom prst="rect">
                            <a:avLst/>
                          </a:prstGeom>
                          <a:ln>
                            <a:noFill/>
                          </a:ln>
                        </pic:spPr>
                      </pic:pic>
                    </a:graphicData>
                  </a:graphic>
                </wp:inline>
              </w:drawing>
            </w:r>
          </w:p>
          <w:p w14:paraId="267CA4D8">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式中：L</w:t>
            </w:r>
            <w:r>
              <w:rPr>
                <w:rFonts w:hint="eastAsia" w:ascii="Times New Roman" w:hAnsi="Times New Roman" w:eastAsia="宋体" w:cs="Times New Roman"/>
                <w:color w:val="auto"/>
                <w:kern w:val="2"/>
                <w:sz w:val="24"/>
                <w:szCs w:val="24"/>
                <w:highlight w:val="none"/>
                <w:vertAlign w:val="subscript"/>
                <w:lang w:val="en-US" w:eastAsia="zh-CN" w:bidi="ar-SA"/>
              </w:rPr>
              <w:t>p1</w:t>
            </w:r>
            <w:r>
              <w:rPr>
                <w:rFonts w:hint="eastAsia" w:ascii="Times New Roman" w:hAnsi="Times New Roman" w:eastAsia="宋体" w:cs="Times New Roman"/>
                <w:color w:val="auto"/>
                <w:kern w:val="2"/>
                <w:sz w:val="24"/>
                <w:szCs w:val="24"/>
                <w:highlight w:val="none"/>
                <w:lang w:val="en-US" w:eastAsia="zh-CN" w:bidi="ar-SA"/>
              </w:rPr>
              <w:t>——靠近开口处（或窗户）室内某倍频带的声压级或A声级，dB；</w:t>
            </w:r>
          </w:p>
          <w:p w14:paraId="36353E75">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L</w:t>
            </w:r>
            <w:r>
              <w:rPr>
                <w:rFonts w:hint="eastAsia" w:ascii="Times New Roman" w:hAnsi="Times New Roman" w:eastAsia="宋体" w:cs="Times New Roman"/>
                <w:color w:val="auto"/>
                <w:kern w:val="2"/>
                <w:sz w:val="24"/>
                <w:szCs w:val="24"/>
                <w:highlight w:val="none"/>
                <w:vertAlign w:val="subscript"/>
                <w:lang w:val="en-US" w:eastAsia="zh-CN" w:bidi="ar-SA"/>
              </w:rPr>
              <w:t>p2</w:t>
            </w:r>
            <w:r>
              <w:rPr>
                <w:rFonts w:hint="eastAsia" w:ascii="Times New Roman" w:hAnsi="Times New Roman" w:eastAsia="宋体" w:cs="Times New Roman"/>
                <w:color w:val="auto"/>
                <w:kern w:val="2"/>
                <w:sz w:val="24"/>
                <w:szCs w:val="24"/>
                <w:highlight w:val="none"/>
                <w:lang w:val="en-US" w:eastAsia="zh-CN" w:bidi="ar-SA"/>
              </w:rPr>
              <w:t>——靠近开口处（或窗户）室外某倍频带的声压级或A声级，dB；</w:t>
            </w:r>
          </w:p>
          <w:p w14:paraId="148C3DA0">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TL——隔墙（或窗户）倍频带或A声级的隔声量，dB。</w:t>
            </w:r>
          </w:p>
          <w:p w14:paraId="620FEAE3">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也可按下列公式计算某一室内声源靠近围护结构处产生的倍频带声压级或A声级：</w:t>
            </w:r>
          </w:p>
          <w:p w14:paraId="782BFB3D">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drawing>
                <wp:inline distT="0" distB="0" distL="0" distR="0">
                  <wp:extent cx="1714500" cy="419100"/>
                  <wp:effectExtent l="0" t="0" r="0" b="0"/>
                  <wp:docPr id="1033" name="图片 2" descr="IMG_257"/>
                  <wp:cNvGraphicFramePr/>
                  <a:graphic xmlns:a="http://schemas.openxmlformats.org/drawingml/2006/main">
                    <a:graphicData uri="http://schemas.openxmlformats.org/drawingml/2006/picture">
                      <pic:pic xmlns:pic="http://schemas.openxmlformats.org/drawingml/2006/picture">
                        <pic:nvPicPr>
                          <pic:cNvPr id="1033" name="图片 2" descr="IMG_257"/>
                          <pic:cNvPicPr/>
                        </pic:nvPicPr>
                        <pic:blipFill>
                          <a:blip r:embed="rId17" cstate="print"/>
                          <a:srcRect/>
                          <a:stretch>
                            <a:fillRect/>
                          </a:stretch>
                        </pic:blipFill>
                        <pic:spPr>
                          <a:xfrm>
                            <a:off x="0" y="0"/>
                            <a:ext cx="1714500" cy="419100"/>
                          </a:xfrm>
                          <a:prstGeom prst="rect">
                            <a:avLst/>
                          </a:prstGeom>
                          <a:ln>
                            <a:noFill/>
                          </a:ln>
                        </pic:spPr>
                      </pic:pic>
                    </a:graphicData>
                  </a:graphic>
                </wp:inline>
              </w:drawing>
            </w:r>
          </w:p>
          <w:p w14:paraId="7BD64AB3">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式中：L</w:t>
            </w:r>
            <w:r>
              <w:rPr>
                <w:rFonts w:hint="eastAsia" w:ascii="Times New Roman" w:hAnsi="Times New Roman" w:eastAsia="宋体" w:cs="Times New Roman"/>
                <w:color w:val="auto"/>
                <w:kern w:val="2"/>
                <w:sz w:val="24"/>
                <w:szCs w:val="24"/>
                <w:highlight w:val="none"/>
                <w:vertAlign w:val="subscript"/>
                <w:lang w:val="en-US" w:eastAsia="zh-CN" w:bidi="ar-SA"/>
              </w:rPr>
              <w:t>p1</w:t>
            </w:r>
            <w:r>
              <w:rPr>
                <w:rFonts w:hint="eastAsia" w:ascii="Times New Roman" w:hAnsi="Times New Roman" w:eastAsia="宋体" w:cs="Times New Roman"/>
                <w:color w:val="auto"/>
                <w:kern w:val="2"/>
                <w:sz w:val="24"/>
                <w:szCs w:val="24"/>
                <w:highlight w:val="none"/>
                <w:lang w:val="en-US" w:eastAsia="zh-CN" w:bidi="ar-SA"/>
              </w:rPr>
              <w:t>——靠近开口处（或窗户）室内某倍频带的声压级或A声级，dB；</w:t>
            </w:r>
          </w:p>
          <w:p w14:paraId="3FBACBC8">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L</w:t>
            </w:r>
            <w:r>
              <w:rPr>
                <w:rFonts w:hint="eastAsia" w:ascii="Times New Roman" w:hAnsi="Times New Roman" w:eastAsia="宋体" w:cs="Times New Roman"/>
                <w:color w:val="auto"/>
                <w:kern w:val="2"/>
                <w:sz w:val="24"/>
                <w:szCs w:val="24"/>
                <w:highlight w:val="none"/>
                <w:vertAlign w:val="subscript"/>
                <w:lang w:val="en-US" w:eastAsia="zh-CN" w:bidi="ar-SA"/>
              </w:rPr>
              <w:t>w</w:t>
            </w:r>
            <w:r>
              <w:rPr>
                <w:rFonts w:hint="eastAsia" w:ascii="Times New Roman" w:hAnsi="Times New Roman" w:eastAsia="宋体" w:cs="Times New Roman"/>
                <w:color w:val="auto"/>
                <w:kern w:val="2"/>
                <w:sz w:val="24"/>
                <w:szCs w:val="24"/>
                <w:highlight w:val="none"/>
                <w:lang w:val="en-US" w:eastAsia="zh-CN" w:bidi="ar-SA"/>
              </w:rPr>
              <w:t>——点声源声功率级（A计权或倍频带），dB；</w:t>
            </w:r>
          </w:p>
          <w:p w14:paraId="0FCB8404">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Q——指向性因数；通常对无指向性声源，当声源放在房间中心时，Q=1；当放在一面墙的中心时，Q=2；当放在两面墙夹角处时，Q=4；当放在三面墙夹角处时，Q=8；</w:t>
            </w:r>
          </w:p>
          <w:p w14:paraId="19591972">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R——房间常数；R=Sα/(1-α)，S为房间内表面面积，m2；α为平均吸声系数；</w:t>
            </w:r>
          </w:p>
          <w:p w14:paraId="1519FD59">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r——声源到靠近围护结构某点处的距离，m。</w:t>
            </w:r>
          </w:p>
          <w:p w14:paraId="02EF9BC6">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然后按下列公式计算出所有室内声源在围护结构处产生的i倍频带叠加声压级：</w:t>
            </w:r>
          </w:p>
          <w:p w14:paraId="1EBB8D76">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drawing>
                <wp:inline distT="0" distB="0" distL="0" distR="0">
                  <wp:extent cx="1695450" cy="514350"/>
                  <wp:effectExtent l="0" t="0" r="0" b="0"/>
                  <wp:docPr id="1034" name="图片 3" descr="IMG_258"/>
                  <wp:cNvGraphicFramePr/>
                  <a:graphic xmlns:a="http://schemas.openxmlformats.org/drawingml/2006/main">
                    <a:graphicData uri="http://schemas.openxmlformats.org/drawingml/2006/picture">
                      <pic:pic xmlns:pic="http://schemas.openxmlformats.org/drawingml/2006/picture">
                        <pic:nvPicPr>
                          <pic:cNvPr id="1034" name="图片 3" descr="IMG_258"/>
                          <pic:cNvPicPr/>
                        </pic:nvPicPr>
                        <pic:blipFill>
                          <a:blip r:embed="rId18" cstate="print"/>
                          <a:srcRect/>
                          <a:stretch>
                            <a:fillRect/>
                          </a:stretch>
                        </pic:blipFill>
                        <pic:spPr>
                          <a:xfrm>
                            <a:off x="0" y="0"/>
                            <a:ext cx="1695450" cy="514350"/>
                          </a:xfrm>
                          <a:prstGeom prst="rect">
                            <a:avLst/>
                          </a:prstGeom>
                          <a:ln>
                            <a:noFill/>
                          </a:ln>
                        </pic:spPr>
                      </pic:pic>
                    </a:graphicData>
                  </a:graphic>
                </wp:inline>
              </w:drawing>
            </w:r>
            <w:r>
              <w:rPr>
                <w:rFonts w:hint="eastAsia" w:ascii="Times New Roman" w:hAnsi="Times New Roman" w:eastAsia="宋体" w:cs="Times New Roman"/>
                <w:color w:val="auto"/>
                <w:kern w:val="2"/>
                <w:sz w:val="24"/>
                <w:szCs w:val="24"/>
                <w:highlight w:val="none"/>
                <w:lang w:val="en-US" w:eastAsia="zh-CN" w:bidi="ar-SA"/>
              </w:rPr>
              <w:drawing>
                <wp:inline distT="0" distB="0" distL="0" distR="0">
                  <wp:extent cx="1704975" cy="523875"/>
                  <wp:effectExtent l="0" t="0" r="9525" b="9525"/>
                  <wp:docPr id="1035" name="图片 4" descr="IMG_259"/>
                  <wp:cNvGraphicFramePr/>
                  <a:graphic xmlns:a="http://schemas.openxmlformats.org/drawingml/2006/main">
                    <a:graphicData uri="http://schemas.openxmlformats.org/drawingml/2006/picture">
                      <pic:pic xmlns:pic="http://schemas.openxmlformats.org/drawingml/2006/picture">
                        <pic:nvPicPr>
                          <pic:cNvPr id="1035" name="图片 4" descr="IMG_259"/>
                          <pic:cNvPicPr/>
                        </pic:nvPicPr>
                        <pic:blipFill>
                          <a:blip r:embed="rId19" cstate="print"/>
                          <a:srcRect/>
                          <a:stretch>
                            <a:fillRect/>
                          </a:stretch>
                        </pic:blipFill>
                        <pic:spPr>
                          <a:xfrm>
                            <a:off x="0" y="0"/>
                            <a:ext cx="1704975" cy="523875"/>
                          </a:xfrm>
                          <a:prstGeom prst="rect">
                            <a:avLst/>
                          </a:prstGeom>
                          <a:ln>
                            <a:noFill/>
                          </a:ln>
                        </pic:spPr>
                      </pic:pic>
                    </a:graphicData>
                  </a:graphic>
                </wp:inline>
              </w:drawing>
            </w:r>
          </w:p>
          <w:p w14:paraId="0B49A91C">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式中：L</w:t>
            </w:r>
            <w:r>
              <w:rPr>
                <w:rFonts w:hint="eastAsia" w:ascii="Times New Roman" w:hAnsi="Times New Roman" w:eastAsia="宋体" w:cs="Times New Roman"/>
                <w:color w:val="auto"/>
                <w:kern w:val="2"/>
                <w:sz w:val="24"/>
                <w:szCs w:val="24"/>
                <w:highlight w:val="none"/>
                <w:vertAlign w:val="subscript"/>
                <w:lang w:val="en-US" w:eastAsia="zh-CN" w:bidi="ar-SA"/>
              </w:rPr>
              <w:t>p1i</w:t>
            </w:r>
            <w:r>
              <w:rPr>
                <w:rFonts w:hint="eastAsia" w:ascii="Times New Roman" w:hAnsi="Times New Roman" w:eastAsia="宋体" w:cs="Times New Roman"/>
                <w:color w:val="auto"/>
                <w:kern w:val="2"/>
                <w:sz w:val="24"/>
                <w:szCs w:val="24"/>
                <w:highlight w:val="none"/>
                <w:lang w:val="en-US" w:eastAsia="zh-CN" w:bidi="ar-SA"/>
              </w:rPr>
              <w:t>(T)——靠近围护结构处室内N个声源i倍频带的叠加声压级，dB；</w:t>
            </w:r>
          </w:p>
          <w:p w14:paraId="04E99166">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L</w:t>
            </w:r>
            <w:r>
              <w:rPr>
                <w:rFonts w:hint="eastAsia" w:ascii="Times New Roman" w:hAnsi="Times New Roman" w:eastAsia="宋体" w:cs="Times New Roman"/>
                <w:color w:val="auto"/>
                <w:kern w:val="2"/>
                <w:sz w:val="24"/>
                <w:szCs w:val="24"/>
                <w:highlight w:val="none"/>
                <w:vertAlign w:val="subscript"/>
                <w:lang w:val="en-US" w:eastAsia="zh-CN" w:bidi="ar-SA"/>
              </w:rPr>
              <w:t>p1ij</w:t>
            </w:r>
            <w:r>
              <w:rPr>
                <w:rFonts w:hint="eastAsia" w:ascii="Times New Roman" w:hAnsi="Times New Roman" w:eastAsia="宋体" w:cs="Times New Roman"/>
                <w:color w:val="auto"/>
                <w:kern w:val="2"/>
                <w:sz w:val="24"/>
                <w:szCs w:val="24"/>
                <w:highlight w:val="none"/>
                <w:lang w:val="en-US" w:eastAsia="zh-CN" w:bidi="ar-SA"/>
              </w:rPr>
              <w:t>——室内j声源i倍频带的声压级，dB；</w:t>
            </w:r>
          </w:p>
          <w:p w14:paraId="4AAA3A82">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N——室内声源总数。</w:t>
            </w:r>
          </w:p>
          <w:p w14:paraId="7775E742">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在室内近似为扩散声场时，按下列公式计算出靠近室外围护结构处的声压级：</w:t>
            </w:r>
          </w:p>
          <w:p w14:paraId="19CA2C44">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drawing>
                <wp:inline distT="0" distB="0" distL="0" distR="0">
                  <wp:extent cx="1809750" cy="266700"/>
                  <wp:effectExtent l="0" t="0" r="0" b="0"/>
                  <wp:docPr id="1036" name="图片 5" descr="IMG_260"/>
                  <wp:cNvGraphicFramePr/>
                  <a:graphic xmlns:a="http://schemas.openxmlformats.org/drawingml/2006/main">
                    <a:graphicData uri="http://schemas.openxmlformats.org/drawingml/2006/picture">
                      <pic:pic xmlns:pic="http://schemas.openxmlformats.org/drawingml/2006/picture">
                        <pic:nvPicPr>
                          <pic:cNvPr id="1036" name="图片 5" descr="IMG_260"/>
                          <pic:cNvPicPr/>
                        </pic:nvPicPr>
                        <pic:blipFill>
                          <a:blip r:embed="rId20" cstate="print"/>
                          <a:srcRect/>
                          <a:stretch>
                            <a:fillRect/>
                          </a:stretch>
                        </pic:blipFill>
                        <pic:spPr>
                          <a:xfrm>
                            <a:off x="0" y="0"/>
                            <a:ext cx="1809750" cy="266700"/>
                          </a:xfrm>
                          <a:prstGeom prst="rect">
                            <a:avLst/>
                          </a:prstGeom>
                          <a:ln>
                            <a:noFill/>
                          </a:ln>
                        </pic:spPr>
                      </pic:pic>
                    </a:graphicData>
                  </a:graphic>
                </wp:inline>
              </w:drawing>
            </w:r>
          </w:p>
          <w:p w14:paraId="4000286A">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式中：L</w:t>
            </w:r>
            <w:r>
              <w:rPr>
                <w:rFonts w:hint="eastAsia" w:ascii="Times New Roman" w:hAnsi="Times New Roman" w:eastAsia="宋体" w:cs="Times New Roman"/>
                <w:color w:val="auto"/>
                <w:kern w:val="2"/>
                <w:sz w:val="24"/>
                <w:szCs w:val="24"/>
                <w:highlight w:val="none"/>
                <w:vertAlign w:val="subscript"/>
                <w:lang w:val="en-US" w:eastAsia="zh-CN" w:bidi="ar-SA"/>
              </w:rPr>
              <w:t>p2i(</w:t>
            </w:r>
            <w:r>
              <w:rPr>
                <w:rFonts w:hint="eastAsia" w:ascii="Times New Roman" w:hAnsi="Times New Roman" w:eastAsia="宋体" w:cs="Times New Roman"/>
                <w:color w:val="auto"/>
                <w:kern w:val="2"/>
                <w:sz w:val="24"/>
                <w:szCs w:val="24"/>
                <w:highlight w:val="none"/>
                <w:lang w:val="en-US" w:eastAsia="zh-CN" w:bidi="ar-SA"/>
              </w:rPr>
              <w:t>T)——靠近围护结构处室外N个声源i倍频带的叠加声压级，dB；</w:t>
            </w:r>
          </w:p>
          <w:p w14:paraId="2B9BB706">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L</w:t>
            </w:r>
            <w:r>
              <w:rPr>
                <w:rFonts w:hint="eastAsia" w:ascii="Times New Roman" w:hAnsi="Times New Roman" w:eastAsia="宋体" w:cs="Times New Roman"/>
                <w:color w:val="auto"/>
                <w:kern w:val="2"/>
                <w:sz w:val="24"/>
                <w:szCs w:val="24"/>
                <w:highlight w:val="none"/>
                <w:vertAlign w:val="subscript"/>
                <w:lang w:val="en-US" w:eastAsia="zh-CN" w:bidi="ar-SA"/>
              </w:rPr>
              <w:t>p1i(</w:t>
            </w:r>
            <w:r>
              <w:rPr>
                <w:rFonts w:hint="eastAsia" w:ascii="Times New Roman" w:hAnsi="Times New Roman" w:eastAsia="宋体" w:cs="Times New Roman"/>
                <w:color w:val="auto"/>
                <w:kern w:val="2"/>
                <w:sz w:val="24"/>
                <w:szCs w:val="24"/>
                <w:highlight w:val="none"/>
                <w:lang w:val="en-US" w:eastAsia="zh-CN" w:bidi="ar-SA"/>
              </w:rPr>
              <w:t>T)——靠近围护结构处室内N个声源i倍频带的叠加声压级，dB；</w:t>
            </w:r>
          </w:p>
          <w:p w14:paraId="72C98C97">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TL</w:t>
            </w:r>
            <w:r>
              <w:rPr>
                <w:rFonts w:hint="eastAsia" w:ascii="Times New Roman" w:hAnsi="Times New Roman" w:eastAsia="宋体" w:cs="Times New Roman"/>
                <w:color w:val="auto"/>
                <w:kern w:val="2"/>
                <w:sz w:val="24"/>
                <w:szCs w:val="24"/>
                <w:highlight w:val="none"/>
                <w:vertAlign w:val="subscript"/>
                <w:lang w:val="en-US" w:eastAsia="zh-CN" w:bidi="ar-SA"/>
              </w:rPr>
              <w:t>i</w:t>
            </w:r>
            <w:r>
              <w:rPr>
                <w:rFonts w:hint="eastAsia" w:ascii="Times New Roman" w:hAnsi="Times New Roman" w:eastAsia="宋体" w:cs="Times New Roman"/>
                <w:color w:val="auto"/>
                <w:kern w:val="2"/>
                <w:sz w:val="24"/>
                <w:szCs w:val="24"/>
                <w:highlight w:val="none"/>
                <w:lang w:val="en-US" w:eastAsia="zh-CN" w:bidi="ar-SA"/>
              </w:rPr>
              <w:t>——围护结构i倍频带的隔声量，dB。</w:t>
            </w:r>
          </w:p>
          <w:p w14:paraId="1DED6F2C">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然后按下列公式将室外声源的声压级和透过面积换算成等效的室外声源，计算出中心位置位于透声面积（S）处的等效声源的倍频带声功率级：</w:t>
            </w:r>
          </w:p>
          <w:p w14:paraId="732DF33C">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drawing>
                <wp:inline distT="0" distB="0" distL="0" distR="0">
                  <wp:extent cx="1323975" cy="266700"/>
                  <wp:effectExtent l="0" t="0" r="9525" b="0"/>
                  <wp:docPr id="1037" name="图片 6" descr="IMG_261"/>
                  <wp:cNvGraphicFramePr/>
                  <a:graphic xmlns:a="http://schemas.openxmlformats.org/drawingml/2006/main">
                    <a:graphicData uri="http://schemas.openxmlformats.org/drawingml/2006/picture">
                      <pic:pic xmlns:pic="http://schemas.openxmlformats.org/drawingml/2006/picture">
                        <pic:nvPicPr>
                          <pic:cNvPr id="1037" name="图片 6" descr="IMG_261"/>
                          <pic:cNvPicPr/>
                        </pic:nvPicPr>
                        <pic:blipFill>
                          <a:blip r:embed="rId21" cstate="print"/>
                          <a:srcRect/>
                          <a:stretch>
                            <a:fillRect/>
                          </a:stretch>
                        </pic:blipFill>
                        <pic:spPr>
                          <a:xfrm>
                            <a:off x="0" y="0"/>
                            <a:ext cx="1323975" cy="266700"/>
                          </a:xfrm>
                          <a:prstGeom prst="rect">
                            <a:avLst/>
                          </a:prstGeom>
                          <a:ln>
                            <a:noFill/>
                          </a:ln>
                        </pic:spPr>
                      </pic:pic>
                    </a:graphicData>
                  </a:graphic>
                </wp:inline>
              </w:drawing>
            </w:r>
          </w:p>
          <w:p w14:paraId="7F76BE01">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式中：L</w:t>
            </w:r>
            <w:r>
              <w:rPr>
                <w:rFonts w:hint="eastAsia" w:ascii="Times New Roman" w:hAnsi="Times New Roman" w:eastAsia="宋体" w:cs="Times New Roman"/>
                <w:color w:val="auto"/>
                <w:kern w:val="2"/>
                <w:sz w:val="24"/>
                <w:szCs w:val="24"/>
                <w:highlight w:val="none"/>
                <w:vertAlign w:val="subscript"/>
                <w:lang w:val="en-US" w:eastAsia="zh-CN" w:bidi="ar-SA"/>
              </w:rPr>
              <w:t>w</w:t>
            </w:r>
            <w:r>
              <w:rPr>
                <w:rFonts w:hint="eastAsia" w:ascii="Times New Roman" w:hAnsi="Times New Roman" w:eastAsia="宋体" w:cs="Times New Roman"/>
                <w:color w:val="auto"/>
                <w:kern w:val="2"/>
                <w:sz w:val="24"/>
                <w:szCs w:val="24"/>
                <w:highlight w:val="none"/>
                <w:lang w:val="en-US" w:eastAsia="zh-CN" w:bidi="ar-SA"/>
              </w:rPr>
              <w:t>——中心位置位于透声面积（S）处的等效声源的倍频带声功率级，dB；</w:t>
            </w:r>
          </w:p>
          <w:p w14:paraId="22CB3C12">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L</w:t>
            </w:r>
            <w:r>
              <w:rPr>
                <w:rFonts w:hint="eastAsia" w:ascii="Times New Roman" w:hAnsi="Times New Roman" w:eastAsia="宋体" w:cs="Times New Roman"/>
                <w:color w:val="auto"/>
                <w:kern w:val="2"/>
                <w:sz w:val="24"/>
                <w:szCs w:val="24"/>
                <w:highlight w:val="none"/>
                <w:vertAlign w:val="subscript"/>
                <w:lang w:val="en-US" w:eastAsia="zh-CN" w:bidi="ar-SA"/>
              </w:rPr>
              <w:t>p2</w:t>
            </w:r>
            <w:r>
              <w:rPr>
                <w:rFonts w:hint="eastAsia" w:ascii="Times New Roman" w:hAnsi="Times New Roman" w:eastAsia="宋体" w:cs="Times New Roman"/>
                <w:color w:val="auto"/>
                <w:kern w:val="2"/>
                <w:sz w:val="24"/>
                <w:szCs w:val="24"/>
                <w:highlight w:val="none"/>
                <w:lang w:val="en-US" w:eastAsia="zh-CN" w:bidi="ar-SA"/>
              </w:rPr>
              <w:t>(T)——靠近围护结构处室外声源的声压级，dB；</w:t>
            </w:r>
          </w:p>
          <w:p w14:paraId="07AE8D50">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S——透声面积，m2。</w:t>
            </w:r>
          </w:p>
          <w:p w14:paraId="78521863">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然后按室外声源预测方法计算预测点处的A声级。</w:t>
            </w:r>
          </w:p>
          <w:p w14:paraId="2915F819">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2"/>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（2）室外声源</w:t>
            </w:r>
          </w:p>
          <w:p w14:paraId="3A12DFEB">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户外声传播衰减包括几何发散（A</w:t>
            </w:r>
            <w:r>
              <w:rPr>
                <w:rFonts w:hint="eastAsia" w:ascii="Times New Roman" w:hAnsi="Times New Roman" w:eastAsia="宋体" w:cs="Times New Roman"/>
                <w:color w:val="auto"/>
                <w:kern w:val="2"/>
                <w:sz w:val="24"/>
                <w:szCs w:val="24"/>
                <w:highlight w:val="none"/>
                <w:vertAlign w:val="subscript"/>
                <w:lang w:val="en-US" w:eastAsia="zh-CN" w:bidi="ar-SA"/>
              </w:rPr>
              <w:t>div</w:t>
            </w:r>
            <w:r>
              <w:rPr>
                <w:rFonts w:hint="eastAsia" w:ascii="Times New Roman" w:hAnsi="Times New Roman" w:eastAsia="宋体" w:cs="Times New Roman"/>
                <w:color w:val="auto"/>
                <w:kern w:val="2"/>
                <w:sz w:val="24"/>
                <w:szCs w:val="24"/>
                <w:highlight w:val="none"/>
                <w:lang w:val="en-US" w:eastAsia="zh-CN" w:bidi="ar-SA"/>
              </w:rPr>
              <w:t>）、大气吸收A</w:t>
            </w:r>
            <w:r>
              <w:rPr>
                <w:rFonts w:hint="eastAsia" w:ascii="Times New Roman" w:hAnsi="Times New Roman" w:eastAsia="宋体" w:cs="Times New Roman"/>
                <w:color w:val="auto"/>
                <w:kern w:val="2"/>
                <w:sz w:val="24"/>
                <w:szCs w:val="24"/>
                <w:highlight w:val="none"/>
                <w:vertAlign w:val="subscript"/>
                <w:lang w:val="en-US" w:eastAsia="zh-CN" w:bidi="ar-SA"/>
              </w:rPr>
              <w:t>atm</w:t>
            </w:r>
            <w:r>
              <w:rPr>
                <w:rFonts w:hint="eastAsia" w:ascii="Times New Roman" w:hAnsi="Times New Roman" w:eastAsia="宋体" w:cs="Times New Roman"/>
                <w:color w:val="auto"/>
                <w:kern w:val="2"/>
                <w:sz w:val="24"/>
                <w:szCs w:val="24"/>
                <w:highlight w:val="none"/>
                <w:lang w:val="en-US" w:eastAsia="zh-CN" w:bidi="ar-SA"/>
              </w:rPr>
              <w:t>）、地面效应A</w:t>
            </w:r>
            <w:r>
              <w:rPr>
                <w:rFonts w:hint="eastAsia" w:ascii="Times New Roman" w:hAnsi="Times New Roman" w:eastAsia="宋体" w:cs="Times New Roman"/>
                <w:color w:val="auto"/>
                <w:kern w:val="2"/>
                <w:sz w:val="24"/>
                <w:szCs w:val="24"/>
                <w:highlight w:val="none"/>
                <w:vertAlign w:val="subscript"/>
                <w:lang w:val="en-US" w:eastAsia="zh-CN" w:bidi="ar-SA"/>
              </w:rPr>
              <w:t>gr</w:t>
            </w:r>
            <w:r>
              <w:rPr>
                <w:rFonts w:hint="eastAsia" w:ascii="Times New Roman" w:hAnsi="Times New Roman" w:eastAsia="宋体" w:cs="Times New Roman"/>
                <w:color w:val="auto"/>
                <w:kern w:val="2"/>
                <w:sz w:val="24"/>
                <w:szCs w:val="24"/>
                <w:highlight w:val="none"/>
                <w:lang w:val="en-US" w:eastAsia="zh-CN" w:bidi="ar-SA"/>
              </w:rPr>
              <w:t>）、障碍物屏蔽（A</w:t>
            </w:r>
            <w:r>
              <w:rPr>
                <w:rFonts w:hint="eastAsia" w:ascii="Times New Roman" w:hAnsi="Times New Roman" w:eastAsia="宋体" w:cs="Times New Roman"/>
                <w:color w:val="auto"/>
                <w:kern w:val="2"/>
                <w:sz w:val="24"/>
                <w:szCs w:val="24"/>
                <w:highlight w:val="none"/>
                <w:vertAlign w:val="subscript"/>
                <w:lang w:val="en-US" w:eastAsia="zh-CN" w:bidi="ar-SA"/>
              </w:rPr>
              <w:t>bar</w:t>
            </w:r>
            <w:r>
              <w:rPr>
                <w:rFonts w:hint="eastAsia" w:ascii="Times New Roman" w:hAnsi="Times New Roman" w:eastAsia="宋体" w:cs="Times New Roman"/>
                <w:color w:val="auto"/>
                <w:kern w:val="2"/>
                <w:sz w:val="24"/>
                <w:szCs w:val="24"/>
                <w:highlight w:val="none"/>
                <w:lang w:val="en-US" w:eastAsia="zh-CN" w:bidi="ar-SA"/>
              </w:rPr>
              <w:t>）、其他多方面效应（A</w:t>
            </w:r>
            <w:r>
              <w:rPr>
                <w:rFonts w:hint="eastAsia" w:ascii="Times New Roman" w:hAnsi="Times New Roman" w:eastAsia="宋体" w:cs="Times New Roman"/>
                <w:color w:val="auto"/>
                <w:kern w:val="2"/>
                <w:sz w:val="24"/>
                <w:szCs w:val="24"/>
                <w:highlight w:val="none"/>
                <w:vertAlign w:val="subscript"/>
                <w:lang w:val="en-US" w:eastAsia="zh-CN" w:bidi="ar-SA"/>
              </w:rPr>
              <w:t>misc</w:t>
            </w:r>
            <w:r>
              <w:rPr>
                <w:rFonts w:hint="eastAsia" w:ascii="Times New Roman" w:hAnsi="Times New Roman" w:eastAsia="宋体" w:cs="Times New Roman"/>
                <w:color w:val="auto"/>
                <w:kern w:val="2"/>
                <w:sz w:val="24"/>
                <w:szCs w:val="24"/>
                <w:highlight w:val="none"/>
                <w:lang w:val="en-US" w:eastAsia="zh-CN" w:bidi="ar-SA"/>
              </w:rPr>
              <w:t>）引起的衰减。</w:t>
            </w:r>
          </w:p>
          <w:p w14:paraId="2B3829DE">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a）在环境影响评价中，应根据声源声功率级或参考位置处的声压级、户外声传播衰减，计算预测点的声级，分别按以下两个公式计算：</w:t>
            </w:r>
          </w:p>
          <w:p w14:paraId="6BD44CC0">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drawing>
                <wp:inline distT="0" distB="0" distL="0" distR="0">
                  <wp:extent cx="3028950" cy="266700"/>
                  <wp:effectExtent l="0" t="0" r="0" b="0"/>
                  <wp:docPr id="1038" name="图片 7" descr="IMG_262"/>
                  <wp:cNvGraphicFramePr/>
                  <a:graphic xmlns:a="http://schemas.openxmlformats.org/drawingml/2006/main">
                    <a:graphicData uri="http://schemas.openxmlformats.org/drawingml/2006/picture">
                      <pic:pic xmlns:pic="http://schemas.openxmlformats.org/drawingml/2006/picture">
                        <pic:nvPicPr>
                          <pic:cNvPr id="1038" name="图片 7" descr="IMG_262"/>
                          <pic:cNvPicPr/>
                        </pic:nvPicPr>
                        <pic:blipFill>
                          <a:blip r:embed="rId22" cstate="print"/>
                          <a:srcRect/>
                          <a:stretch>
                            <a:fillRect/>
                          </a:stretch>
                        </pic:blipFill>
                        <pic:spPr>
                          <a:xfrm>
                            <a:off x="0" y="0"/>
                            <a:ext cx="3028950" cy="266700"/>
                          </a:xfrm>
                          <a:prstGeom prst="rect">
                            <a:avLst/>
                          </a:prstGeom>
                          <a:ln>
                            <a:noFill/>
                          </a:ln>
                        </pic:spPr>
                      </pic:pic>
                    </a:graphicData>
                  </a:graphic>
                </wp:inline>
              </w:drawing>
            </w:r>
          </w:p>
          <w:p w14:paraId="5C01F7A2">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式中：L</w:t>
            </w:r>
            <w:r>
              <w:rPr>
                <w:rFonts w:hint="eastAsia" w:ascii="Times New Roman" w:hAnsi="Times New Roman" w:eastAsia="宋体" w:cs="Times New Roman"/>
                <w:color w:val="auto"/>
                <w:kern w:val="2"/>
                <w:sz w:val="24"/>
                <w:szCs w:val="24"/>
                <w:highlight w:val="none"/>
                <w:vertAlign w:val="subscript"/>
                <w:lang w:val="en-US" w:eastAsia="zh-CN" w:bidi="ar-SA"/>
              </w:rPr>
              <w:t>p</w:t>
            </w:r>
            <w:r>
              <w:rPr>
                <w:rFonts w:hint="eastAsia" w:ascii="Times New Roman" w:hAnsi="Times New Roman" w:eastAsia="宋体" w:cs="Times New Roman"/>
                <w:color w:val="auto"/>
                <w:kern w:val="2"/>
                <w:sz w:val="24"/>
                <w:szCs w:val="24"/>
                <w:highlight w:val="none"/>
                <w:lang w:val="en-US" w:eastAsia="zh-CN" w:bidi="ar-SA"/>
              </w:rPr>
              <w:t>(r)——预测点处声压级，dB；</w:t>
            </w:r>
          </w:p>
          <w:p w14:paraId="7AC54576">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L</w:t>
            </w:r>
            <w:r>
              <w:rPr>
                <w:rFonts w:hint="eastAsia" w:ascii="Times New Roman" w:hAnsi="Times New Roman" w:eastAsia="宋体" w:cs="Times New Roman"/>
                <w:color w:val="auto"/>
                <w:kern w:val="2"/>
                <w:sz w:val="24"/>
                <w:szCs w:val="24"/>
                <w:highlight w:val="none"/>
                <w:vertAlign w:val="subscript"/>
                <w:lang w:val="en-US" w:eastAsia="zh-CN" w:bidi="ar-SA"/>
              </w:rPr>
              <w:t>w</w:t>
            </w:r>
            <w:r>
              <w:rPr>
                <w:rFonts w:hint="eastAsia" w:ascii="Times New Roman" w:hAnsi="Times New Roman" w:eastAsia="宋体" w:cs="Times New Roman"/>
                <w:color w:val="auto"/>
                <w:kern w:val="2"/>
                <w:sz w:val="24"/>
                <w:szCs w:val="24"/>
                <w:highlight w:val="none"/>
                <w:lang w:val="en-US" w:eastAsia="zh-CN" w:bidi="ar-SA"/>
              </w:rPr>
              <w:t>——由点声源产生的声功率级（A计权或倍频带），dB；</w:t>
            </w:r>
          </w:p>
          <w:p w14:paraId="5A5377B9">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D</w:t>
            </w:r>
            <w:r>
              <w:rPr>
                <w:rFonts w:hint="eastAsia" w:ascii="Times New Roman" w:hAnsi="Times New Roman" w:eastAsia="宋体" w:cs="Times New Roman"/>
                <w:color w:val="auto"/>
                <w:kern w:val="2"/>
                <w:sz w:val="24"/>
                <w:szCs w:val="24"/>
                <w:highlight w:val="none"/>
                <w:vertAlign w:val="subscript"/>
                <w:lang w:val="en-US" w:eastAsia="zh-CN" w:bidi="ar-SA"/>
              </w:rPr>
              <w:t>C</w:t>
            </w:r>
            <w:r>
              <w:rPr>
                <w:rFonts w:hint="eastAsia" w:ascii="Times New Roman" w:hAnsi="Times New Roman" w:eastAsia="宋体" w:cs="Times New Roman"/>
                <w:color w:val="auto"/>
                <w:kern w:val="2"/>
                <w:sz w:val="24"/>
                <w:szCs w:val="24"/>
                <w:highlight w:val="none"/>
                <w:lang w:val="en-US" w:eastAsia="zh-CN" w:bidi="ar-SA"/>
              </w:rPr>
              <w:t>——指向性校正，它描述点声源的等效连续声压级与产生声功率级Lw的全向点声源在规定方向的声级的偏差程度，dB；</w:t>
            </w:r>
          </w:p>
          <w:p w14:paraId="08EEA320">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A</w:t>
            </w:r>
            <w:r>
              <w:rPr>
                <w:rFonts w:hint="eastAsia" w:ascii="Times New Roman" w:hAnsi="Times New Roman" w:eastAsia="宋体" w:cs="Times New Roman"/>
                <w:color w:val="auto"/>
                <w:kern w:val="2"/>
                <w:sz w:val="24"/>
                <w:szCs w:val="24"/>
                <w:highlight w:val="none"/>
                <w:vertAlign w:val="subscript"/>
                <w:lang w:val="en-US" w:eastAsia="zh-CN" w:bidi="ar-SA"/>
              </w:rPr>
              <w:t>div</w:t>
            </w:r>
            <w:r>
              <w:rPr>
                <w:rFonts w:hint="eastAsia" w:ascii="Times New Roman" w:hAnsi="Times New Roman" w:eastAsia="宋体" w:cs="Times New Roman"/>
                <w:color w:val="auto"/>
                <w:kern w:val="2"/>
                <w:sz w:val="24"/>
                <w:szCs w:val="24"/>
                <w:highlight w:val="none"/>
                <w:lang w:val="en-US" w:eastAsia="zh-CN" w:bidi="ar-SA"/>
              </w:rPr>
              <w:t>——几何发散引起的衰减，dB；</w:t>
            </w:r>
          </w:p>
          <w:p w14:paraId="343BFA96">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A</w:t>
            </w:r>
            <w:r>
              <w:rPr>
                <w:rFonts w:hint="eastAsia" w:ascii="Times New Roman" w:hAnsi="Times New Roman" w:eastAsia="宋体" w:cs="Times New Roman"/>
                <w:color w:val="auto"/>
                <w:kern w:val="2"/>
                <w:sz w:val="24"/>
                <w:szCs w:val="24"/>
                <w:highlight w:val="none"/>
                <w:vertAlign w:val="subscript"/>
                <w:lang w:val="en-US" w:eastAsia="zh-CN" w:bidi="ar-SA"/>
              </w:rPr>
              <w:t>atm</w:t>
            </w:r>
            <w:r>
              <w:rPr>
                <w:rFonts w:hint="eastAsia" w:ascii="Times New Roman" w:hAnsi="Times New Roman" w:eastAsia="宋体" w:cs="Times New Roman"/>
                <w:color w:val="auto"/>
                <w:kern w:val="2"/>
                <w:sz w:val="24"/>
                <w:szCs w:val="24"/>
                <w:highlight w:val="none"/>
                <w:lang w:val="en-US" w:eastAsia="zh-CN" w:bidi="ar-SA"/>
              </w:rPr>
              <w:t>——大气吸收引起的衰减，dB；</w:t>
            </w:r>
          </w:p>
          <w:p w14:paraId="57F93FC4">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A</w:t>
            </w:r>
            <w:r>
              <w:rPr>
                <w:rFonts w:hint="eastAsia" w:ascii="Times New Roman" w:hAnsi="Times New Roman" w:eastAsia="宋体" w:cs="Times New Roman"/>
                <w:color w:val="auto"/>
                <w:kern w:val="2"/>
                <w:sz w:val="24"/>
                <w:szCs w:val="24"/>
                <w:highlight w:val="none"/>
                <w:vertAlign w:val="subscript"/>
                <w:lang w:val="en-US" w:eastAsia="zh-CN" w:bidi="ar-SA"/>
              </w:rPr>
              <w:t>gr</w:t>
            </w:r>
            <w:r>
              <w:rPr>
                <w:rFonts w:hint="eastAsia" w:ascii="Times New Roman" w:hAnsi="Times New Roman" w:eastAsia="宋体" w:cs="Times New Roman"/>
                <w:color w:val="auto"/>
                <w:kern w:val="2"/>
                <w:sz w:val="24"/>
                <w:szCs w:val="24"/>
                <w:highlight w:val="none"/>
                <w:lang w:val="en-US" w:eastAsia="zh-CN" w:bidi="ar-SA"/>
              </w:rPr>
              <w:t>——地面效应引起的衰减，dB；</w:t>
            </w:r>
          </w:p>
          <w:p w14:paraId="2BC6E70C">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A</w:t>
            </w:r>
            <w:r>
              <w:rPr>
                <w:rFonts w:hint="eastAsia" w:ascii="Times New Roman" w:hAnsi="Times New Roman" w:eastAsia="宋体" w:cs="Times New Roman"/>
                <w:color w:val="auto"/>
                <w:kern w:val="2"/>
                <w:sz w:val="24"/>
                <w:szCs w:val="24"/>
                <w:highlight w:val="none"/>
                <w:vertAlign w:val="subscript"/>
                <w:lang w:val="en-US" w:eastAsia="zh-CN" w:bidi="ar-SA"/>
              </w:rPr>
              <w:t>bar</w:t>
            </w:r>
            <w:r>
              <w:rPr>
                <w:rFonts w:hint="eastAsia" w:ascii="Times New Roman" w:hAnsi="Times New Roman" w:eastAsia="宋体" w:cs="Times New Roman"/>
                <w:color w:val="auto"/>
                <w:kern w:val="2"/>
                <w:sz w:val="24"/>
                <w:szCs w:val="24"/>
                <w:highlight w:val="none"/>
                <w:lang w:val="en-US" w:eastAsia="zh-CN" w:bidi="ar-SA"/>
              </w:rPr>
              <w:t>——障碍物屏蔽引起的衰减，dB；</w:t>
            </w:r>
          </w:p>
          <w:p w14:paraId="678BA801">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A</w:t>
            </w:r>
            <w:r>
              <w:rPr>
                <w:rFonts w:hint="eastAsia" w:ascii="Times New Roman" w:hAnsi="Times New Roman" w:eastAsia="宋体" w:cs="Times New Roman"/>
                <w:color w:val="auto"/>
                <w:kern w:val="2"/>
                <w:sz w:val="24"/>
                <w:szCs w:val="24"/>
                <w:highlight w:val="none"/>
                <w:vertAlign w:val="subscript"/>
                <w:lang w:val="en-US" w:eastAsia="zh-CN" w:bidi="ar-SA"/>
              </w:rPr>
              <w:t>misc</w:t>
            </w:r>
            <w:r>
              <w:rPr>
                <w:rFonts w:hint="eastAsia" w:ascii="Times New Roman" w:hAnsi="Times New Roman" w:eastAsia="宋体" w:cs="Times New Roman"/>
                <w:color w:val="auto"/>
                <w:kern w:val="2"/>
                <w:sz w:val="24"/>
                <w:szCs w:val="24"/>
                <w:highlight w:val="none"/>
                <w:lang w:val="en-US" w:eastAsia="zh-CN" w:bidi="ar-SA"/>
              </w:rPr>
              <w:t>——其他多方面效应引起的衰减，dB。</w:t>
            </w:r>
          </w:p>
          <w:p w14:paraId="7DA17EBE">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drawing>
                <wp:inline distT="0" distB="0" distL="0" distR="0">
                  <wp:extent cx="3238500" cy="266700"/>
                  <wp:effectExtent l="0" t="0" r="0" b="0"/>
                  <wp:docPr id="1039" name="图片 8" descr="IMG_263"/>
                  <wp:cNvGraphicFramePr/>
                  <a:graphic xmlns:a="http://schemas.openxmlformats.org/drawingml/2006/main">
                    <a:graphicData uri="http://schemas.openxmlformats.org/drawingml/2006/picture">
                      <pic:pic xmlns:pic="http://schemas.openxmlformats.org/drawingml/2006/picture">
                        <pic:nvPicPr>
                          <pic:cNvPr id="1039" name="图片 8" descr="IMG_263"/>
                          <pic:cNvPicPr/>
                        </pic:nvPicPr>
                        <pic:blipFill>
                          <a:blip r:embed="rId23" cstate="print"/>
                          <a:srcRect/>
                          <a:stretch>
                            <a:fillRect/>
                          </a:stretch>
                        </pic:blipFill>
                        <pic:spPr>
                          <a:xfrm>
                            <a:off x="0" y="0"/>
                            <a:ext cx="3238500" cy="266700"/>
                          </a:xfrm>
                          <a:prstGeom prst="rect">
                            <a:avLst/>
                          </a:prstGeom>
                          <a:ln>
                            <a:noFill/>
                          </a:ln>
                        </pic:spPr>
                      </pic:pic>
                    </a:graphicData>
                  </a:graphic>
                </wp:inline>
              </w:drawing>
            </w:r>
          </w:p>
          <w:p w14:paraId="14BBB735">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式中：L</w:t>
            </w:r>
            <w:r>
              <w:rPr>
                <w:rFonts w:hint="eastAsia" w:ascii="Times New Roman" w:hAnsi="Times New Roman" w:eastAsia="宋体" w:cs="Times New Roman"/>
                <w:color w:val="auto"/>
                <w:kern w:val="2"/>
                <w:sz w:val="24"/>
                <w:szCs w:val="24"/>
                <w:highlight w:val="none"/>
                <w:vertAlign w:val="subscript"/>
                <w:lang w:val="en-US" w:eastAsia="zh-CN" w:bidi="ar-SA"/>
              </w:rPr>
              <w:t>p</w:t>
            </w:r>
            <w:r>
              <w:rPr>
                <w:rFonts w:hint="eastAsia" w:ascii="Times New Roman" w:hAnsi="Times New Roman" w:eastAsia="宋体" w:cs="Times New Roman"/>
                <w:color w:val="auto"/>
                <w:kern w:val="2"/>
                <w:sz w:val="24"/>
                <w:szCs w:val="24"/>
                <w:highlight w:val="none"/>
                <w:lang w:val="en-US" w:eastAsia="zh-CN" w:bidi="ar-SA"/>
              </w:rPr>
              <w:t>(r)——预测点处声压级，dB；</w:t>
            </w:r>
          </w:p>
          <w:p w14:paraId="266AD301">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L</w:t>
            </w:r>
            <w:r>
              <w:rPr>
                <w:rFonts w:hint="eastAsia" w:ascii="Times New Roman" w:hAnsi="Times New Roman" w:eastAsia="宋体" w:cs="Times New Roman"/>
                <w:color w:val="auto"/>
                <w:kern w:val="2"/>
                <w:sz w:val="24"/>
                <w:szCs w:val="24"/>
                <w:highlight w:val="none"/>
                <w:vertAlign w:val="subscript"/>
                <w:lang w:val="en-US" w:eastAsia="zh-CN" w:bidi="ar-SA"/>
              </w:rPr>
              <w:t>p</w:t>
            </w:r>
            <w:r>
              <w:rPr>
                <w:rFonts w:hint="eastAsia" w:ascii="Times New Roman" w:hAnsi="Times New Roman" w:eastAsia="宋体" w:cs="Times New Roman"/>
                <w:color w:val="auto"/>
                <w:kern w:val="2"/>
                <w:sz w:val="24"/>
                <w:szCs w:val="24"/>
                <w:highlight w:val="none"/>
                <w:lang w:val="en-US" w:eastAsia="zh-CN" w:bidi="ar-SA"/>
              </w:rPr>
              <w:t>(r0)——参考位置r0处的声压级，dB；</w:t>
            </w:r>
          </w:p>
          <w:p w14:paraId="0FD603C1">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D</w:t>
            </w:r>
            <w:r>
              <w:rPr>
                <w:rFonts w:hint="eastAsia" w:ascii="Times New Roman" w:hAnsi="Times New Roman" w:eastAsia="宋体" w:cs="Times New Roman"/>
                <w:color w:val="auto"/>
                <w:kern w:val="2"/>
                <w:sz w:val="24"/>
                <w:szCs w:val="24"/>
                <w:highlight w:val="none"/>
                <w:vertAlign w:val="subscript"/>
                <w:lang w:val="en-US" w:eastAsia="zh-CN" w:bidi="ar-SA"/>
              </w:rPr>
              <w:t>C</w:t>
            </w:r>
            <w:r>
              <w:rPr>
                <w:rFonts w:hint="eastAsia" w:ascii="Times New Roman" w:hAnsi="Times New Roman" w:eastAsia="宋体" w:cs="Times New Roman"/>
                <w:color w:val="auto"/>
                <w:kern w:val="2"/>
                <w:sz w:val="24"/>
                <w:szCs w:val="24"/>
                <w:highlight w:val="none"/>
                <w:lang w:val="en-US" w:eastAsia="zh-CN" w:bidi="ar-SA"/>
              </w:rPr>
              <w:t>——指向性校正，它描述点声源的等效连续声压级与产生声功率级Lw的全向点声源在规定方向的声级的偏差程度，dB；</w:t>
            </w:r>
          </w:p>
          <w:p w14:paraId="470E488A">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A</w:t>
            </w:r>
            <w:r>
              <w:rPr>
                <w:rFonts w:hint="eastAsia" w:ascii="Times New Roman" w:hAnsi="Times New Roman" w:eastAsia="宋体" w:cs="Times New Roman"/>
                <w:color w:val="auto"/>
                <w:kern w:val="2"/>
                <w:sz w:val="24"/>
                <w:szCs w:val="24"/>
                <w:highlight w:val="none"/>
                <w:vertAlign w:val="subscript"/>
                <w:lang w:val="en-US" w:eastAsia="zh-CN" w:bidi="ar-SA"/>
              </w:rPr>
              <w:t>div</w:t>
            </w:r>
            <w:r>
              <w:rPr>
                <w:rFonts w:hint="eastAsia" w:ascii="Times New Roman" w:hAnsi="Times New Roman" w:eastAsia="宋体" w:cs="Times New Roman"/>
                <w:color w:val="auto"/>
                <w:kern w:val="2"/>
                <w:sz w:val="24"/>
                <w:szCs w:val="24"/>
                <w:highlight w:val="none"/>
                <w:lang w:val="en-US" w:eastAsia="zh-CN" w:bidi="ar-SA"/>
              </w:rPr>
              <w:t>——几何发散引起的衰减，dB；</w:t>
            </w:r>
          </w:p>
          <w:p w14:paraId="371867F4">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A</w:t>
            </w:r>
            <w:r>
              <w:rPr>
                <w:rFonts w:hint="eastAsia" w:ascii="Times New Roman" w:hAnsi="Times New Roman" w:eastAsia="宋体" w:cs="Times New Roman"/>
                <w:color w:val="auto"/>
                <w:kern w:val="2"/>
                <w:sz w:val="24"/>
                <w:szCs w:val="24"/>
                <w:highlight w:val="none"/>
                <w:vertAlign w:val="subscript"/>
                <w:lang w:val="en-US" w:eastAsia="zh-CN" w:bidi="ar-SA"/>
              </w:rPr>
              <w:t>atm</w:t>
            </w:r>
            <w:r>
              <w:rPr>
                <w:rFonts w:hint="eastAsia" w:ascii="Times New Roman" w:hAnsi="Times New Roman" w:eastAsia="宋体" w:cs="Times New Roman"/>
                <w:color w:val="auto"/>
                <w:kern w:val="2"/>
                <w:sz w:val="24"/>
                <w:szCs w:val="24"/>
                <w:highlight w:val="none"/>
                <w:lang w:val="en-US" w:eastAsia="zh-CN" w:bidi="ar-SA"/>
              </w:rPr>
              <w:t>——大气吸收引起的衰减，dB；</w:t>
            </w:r>
          </w:p>
          <w:p w14:paraId="7614AE90">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A</w:t>
            </w:r>
            <w:r>
              <w:rPr>
                <w:rFonts w:hint="eastAsia" w:ascii="Times New Roman" w:hAnsi="Times New Roman" w:eastAsia="宋体" w:cs="Times New Roman"/>
                <w:color w:val="auto"/>
                <w:kern w:val="2"/>
                <w:sz w:val="24"/>
                <w:szCs w:val="24"/>
                <w:highlight w:val="none"/>
                <w:vertAlign w:val="subscript"/>
                <w:lang w:val="en-US" w:eastAsia="zh-CN" w:bidi="ar-SA"/>
              </w:rPr>
              <w:t>gr</w:t>
            </w:r>
            <w:r>
              <w:rPr>
                <w:rFonts w:hint="eastAsia" w:ascii="Times New Roman" w:hAnsi="Times New Roman" w:eastAsia="宋体" w:cs="Times New Roman"/>
                <w:color w:val="auto"/>
                <w:kern w:val="2"/>
                <w:sz w:val="24"/>
                <w:szCs w:val="24"/>
                <w:highlight w:val="none"/>
                <w:lang w:val="en-US" w:eastAsia="zh-CN" w:bidi="ar-SA"/>
              </w:rPr>
              <w:t>——地面效应引起的衰减，dB；</w:t>
            </w:r>
          </w:p>
          <w:p w14:paraId="158CDF62">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A</w:t>
            </w:r>
            <w:r>
              <w:rPr>
                <w:rFonts w:hint="eastAsia" w:ascii="Times New Roman" w:hAnsi="Times New Roman" w:eastAsia="宋体" w:cs="Times New Roman"/>
                <w:color w:val="auto"/>
                <w:kern w:val="2"/>
                <w:sz w:val="24"/>
                <w:szCs w:val="24"/>
                <w:highlight w:val="none"/>
                <w:vertAlign w:val="subscript"/>
                <w:lang w:val="en-US" w:eastAsia="zh-CN" w:bidi="ar-SA"/>
              </w:rPr>
              <w:t>bar</w:t>
            </w:r>
            <w:r>
              <w:rPr>
                <w:rFonts w:hint="eastAsia" w:ascii="Times New Roman" w:hAnsi="Times New Roman" w:eastAsia="宋体" w:cs="Times New Roman"/>
                <w:color w:val="auto"/>
                <w:kern w:val="2"/>
                <w:sz w:val="24"/>
                <w:szCs w:val="24"/>
                <w:highlight w:val="none"/>
                <w:lang w:val="en-US" w:eastAsia="zh-CN" w:bidi="ar-SA"/>
              </w:rPr>
              <w:t>——障碍物屏蔽引起的衰减，dB；</w:t>
            </w:r>
          </w:p>
          <w:p w14:paraId="3F8B51DB">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A</w:t>
            </w:r>
            <w:r>
              <w:rPr>
                <w:rFonts w:hint="eastAsia" w:ascii="Times New Roman" w:hAnsi="Times New Roman" w:eastAsia="宋体" w:cs="Times New Roman"/>
                <w:color w:val="auto"/>
                <w:kern w:val="2"/>
                <w:sz w:val="24"/>
                <w:szCs w:val="24"/>
                <w:highlight w:val="none"/>
                <w:vertAlign w:val="subscript"/>
                <w:lang w:val="en-US" w:eastAsia="zh-CN" w:bidi="ar-SA"/>
              </w:rPr>
              <w:t>misc</w:t>
            </w:r>
            <w:r>
              <w:rPr>
                <w:rFonts w:hint="eastAsia" w:ascii="Times New Roman" w:hAnsi="Times New Roman" w:eastAsia="宋体" w:cs="Times New Roman"/>
                <w:color w:val="auto"/>
                <w:kern w:val="2"/>
                <w:sz w:val="24"/>
                <w:szCs w:val="24"/>
                <w:highlight w:val="none"/>
                <w:lang w:val="en-US" w:eastAsia="zh-CN" w:bidi="ar-SA"/>
              </w:rPr>
              <w:t>——其他多方面效应引起的衰减，dB。</w:t>
            </w:r>
          </w:p>
          <w:p w14:paraId="55F56320">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b）预测点的A声级LA(r)可按以下公式计算，即将8个倍频带声压级合成，计算出预测点的A声级[LA(r)]：</w:t>
            </w:r>
          </w:p>
          <w:p w14:paraId="22A24CBF">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drawing>
                <wp:inline distT="0" distB="0" distL="0" distR="0">
                  <wp:extent cx="1924050" cy="485775"/>
                  <wp:effectExtent l="0" t="0" r="0" b="8890"/>
                  <wp:docPr id="1040" name="图片 9" descr="IMG_264"/>
                  <wp:cNvGraphicFramePr/>
                  <a:graphic xmlns:a="http://schemas.openxmlformats.org/drawingml/2006/main">
                    <a:graphicData uri="http://schemas.openxmlformats.org/drawingml/2006/picture">
                      <pic:pic xmlns:pic="http://schemas.openxmlformats.org/drawingml/2006/picture">
                        <pic:nvPicPr>
                          <pic:cNvPr id="1040" name="图片 9" descr="IMG_264"/>
                          <pic:cNvPicPr/>
                        </pic:nvPicPr>
                        <pic:blipFill>
                          <a:blip r:embed="rId24" cstate="print"/>
                          <a:srcRect/>
                          <a:stretch>
                            <a:fillRect/>
                          </a:stretch>
                        </pic:blipFill>
                        <pic:spPr>
                          <a:xfrm>
                            <a:off x="0" y="0"/>
                            <a:ext cx="1924050" cy="485775"/>
                          </a:xfrm>
                          <a:prstGeom prst="rect">
                            <a:avLst/>
                          </a:prstGeom>
                          <a:ln>
                            <a:noFill/>
                          </a:ln>
                        </pic:spPr>
                      </pic:pic>
                    </a:graphicData>
                  </a:graphic>
                </wp:inline>
              </w:drawing>
            </w:r>
          </w:p>
          <w:p w14:paraId="1628E1C0">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式中：L</w:t>
            </w:r>
            <w:r>
              <w:rPr>
                <w:rFonts w:hint="eastAsia" w:ascii="Times New Roman" w:hAnsi="Times New Roman" w:eastAsia="宋体" w:cs="Times New Roman"/>
                <w:color w:val="auto"/>
                <w:kern w:val="2"/>
                <w:sz w:val="24"/>
                <w:szCs w:val="24"/>
                <w:highlight w:val="none"/>
                <w:vertAlign w:val="subscript"/>
                <w:lang w:val="en-US" w:eastAsia="zh-CN" w:bidi="ar-SA"/>
              </w:rPr>
              <w:t>A</w:t>
            </w:r>
            <w:r>
              <w:rPr>
                <w:rFonts w:hint="eastAsia" w:ascii="Times New Roman" w:hAnsi="Times New Roman" w:eastAsia="宋体" w:cs="Times New Roman"/>
                <w:color w:val="auto"/>
                <w:kern w:val="2"/>
                <w:sz w:val="24"/>
                <w:szCs w:val="24"/>
                <w:highlight w:val="none"/>
                <w:lang w:val="en-US" w:eastAsia="zh-CN" w:bidi="ar-SA"/>
              </w:rPr>
              <w:t>(r)——距声源r处的A声级，dB(A)；</w:t>
            </w:r>
          </w:p>
          <w:p w14:paraId="5B05AAA5">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L</w:t>
            </w:r>
            <w:r>
              <w:rPr>
                <w:rFonts w:hint="eastAsia" w:ascii="Times New Roman" w:hAnsi="Times New Roman" w:eastAsia="宋体" w:cs="Times New Roman"/>
                <w:color w:val="auto"/>
                <w:kern w:val="2"/>
                <w:sz w:val="24"/>
                <w:szCs w:val="24"/>
                <w:highlight w:val="none"/>
                <w:vertAlign w:val="subscript"/>
                <w:lang w:val="en-US" w:eastAsia="zh-CN" w:bidi="ar-SA"/>
              </w:rPr>
              <w:t>pi</w:t>
            </w:r>
            <w:r>
              <w:rPr>
                <w:rFonts w:hint="eastAsia" w:ascii="Times New Roman" w:hAnsi="Times New Roman" w:eastAsia="宋体" w:cs="Times New Roman"/>
                <w:color w:val="auto"/>
                <w:kern w:val="2"/>
                <w:sz w:val="24"/>
                <w:szCs w:val="24"/>
                <w:highlight w:val="none"/>
                <w:lang w:val="en-US" w:eastAsia="zh-CN" w:bidi="ar-SA"/>
              </w:rPr>
              <w:t>(r)——预测点（r）处，第i倍频带声压级，dB；</w:t>
            </w:r>
          </w:p>
          <w:p w14:paraId="58834E8F">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ΔL</w:t>
            </w:r>
            <w:r>
              <w:rPr>
                <w:rFonts w:hint="eastAsia" w:ascii="Times New Roman" w:hAnsi="Times New Roman" w:eastAsia="宋体" w:cs="Times New Roman"/>
                <w:color w:val="auto"/>
                <w:kern w:val="2"/>
                <w:sz w:val="24"/>
                <w:szCs w:val="24"/>
                <w:highlight w:val="none"/>
                <w:vertAlign w:val="subscript"/>
                <w:lang w:val="en-US" w:eastAsia="zh-CN" w:bidi="ar-SA"/>
              </w:rPr>
              <w:t>i</w:t>
            </w:r>
            <w:r>
              <w:rPr>
                <w:rFonts w:hint="eastAsia" w:ascii="Times New Roman" w:hAnsi="Times New Roman" w:eastAsia="宋体" w:cs="Times New Roman"/>
                <w:color w:val="auto"/>
                <w:kern w:val="2"/>
                <w:sz w:val="24"/>
                <w:szCs w:val="24"/>
                <w:highlight w:val="none"/>
                <w:lang w:val="en-US" w:eastAsia="zh-CN" w:bidi="ar-SA"/>
              </w:rPr>
              <w:t>——第i倍频带的A计权网络修正值，dB。</w:t>
            </w:r>
          </w:p>
          <w:p w14:paraId="6B0F362A">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c）在只考虑几何发散衰减时，可按以下公式计算：</w:t>
            </w:r>
          </w:p>
          <w:p w14:paraId="67936BBC">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drawing>
                <wp:inline distT="0" distB="0" distL="0" distR="0">
                  <wp:extent cx="1295400" cy="257175"/>
                  <wp:effectExtent l="0" t="0" r="0" b="0"/>
                  <wp:docPr id="1041" name="图片 10" descr="IMG_265"/>
                  <wp:cNvGraphicFramePr/>
                  <a:graphic xmlns:a="http://schemas.openxmlformats.org/drawingml/2006/main">
                    <a:graphicData uri="http://schemas.openxmlformats.org/drawingml/2006/picture">
                      <pic:pic xmlns:pic="http://schemas.openxmlformats.org/drawingml/2006/picture">
                        <pic:nvPicPr>
                          <pic:cNvPr id="1041" name="图片 10" descr="IMG_265"/>
                          <pic:cNvPicPr/>
                        </pic:nvPicPr>
                        <pic:blipFill>
                          <a:blip r:embed="rId25" cstate="print"/>
                          <a:srcRect/>
                          <a:stretch>
                            <a:fillRect/>
                          </a:stretch>
                        </pic:blipFill>
                        <pic:spPr>
                          <a:xfrm>
                            <a:off x="0" y="0"/>
                            <a:ext cx="1295400" cy="257175"/>
                          </a:xfrm>
                          <a:prstGeom prst="rect">
                            <a:avLst/>
                          </a:prstGeom>
                          <a:ln>
                            <a:noFill/>
                          </a:ln>
                        </pic:spPr>
                      </pic:pic>
                    </a:graphicData>
                  </a:graphic>
                </wp:inline>
              </w:drawing>
            </w:r>
          </w:p>
          <w:p w14:paraId="6A3A63FD">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式中：L</w:t>
            </w:r>
            <w:r>
              <w:rPr>
                <w:rFonts w:hint="eastAsia" w:ascii="Times New Roman" w:hAnsi="Times New Roman" w:eastAsia="宋体" w:cs="Times New Roman"/>
                <w:color w:val="auto"/>
                <w:kern w:val="2"/>
                <w:sz w:val="24"/>
                <w:szCs w:val="24"/>
                <w:highlight w:val="none"/>
                <w:vertAlign w:val="subscript"/>
                <w:lang w:val="en-US" w:eastAsia="zh-CN" w:bidi="ar-SA"/>
              </w:rPr>
              <w:t>A</w:t>
            </w:r>
            <w:r>
              <w:rPr>
                <w:rFonts w:hint="eastAsia" w:ascii="Times New Roman" w:hAnsi="Times New Roman" w:eastAsia="宋体" w:cs="Times New Roman"/>
                <w:color w:val="auto"/>
                <w:kern w:val="2"/>
                <w:sz w:val="24"/>
                <w:szCs w:val="24"/>
                <w:highlight w:val="none"/>
                <w:lang w:val="en-US" w:eastAsia="zh-CN" w:bidi="ar-SA"/>
              </w:rPr>
              <w:t>(r)——距声源r处的A声级，dB(A)；</w:t>
            </w:r>
          </w:p>
          <w:p w14:paraId="6E43464E">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L</w:t>
            </w:r>
            <w:r>
              <w:rPr>
                <w:rFonts w:hint="eastAsia" w:ascii="Times New Roman" w:hAnsi="Times New Roman" w:eastAsia="宋体" w:cs="Times New Roman"/>
                <w:color w:val="auto"/>
                <w:kern w:val="2"/>
                <w:sz w:val="24"/>
                <w:szCs w:val="24"/>
                <w:highlight w:val="none"/>
                <w:vertAlign w:val="subscript"/>
                <w:lang w:val="en-US" w:eastAsia="zh-CN" w:bidi="ar-SA"/>
              </w:rPr>
              <w:t>A</w:t>
            </w:r>
            <w:r>
              <w:rPr>
                <w:rFonts w:hint="eastAsia" w:ascii="Times New Roman" w:hAnsi="Times New Roman" w:eastAsia="宋体" w:cs="Times New Roman"/>
                <w:color w:val="auto"/>
                <w:kern w:val="2"/>
                <w:sz w:val="24"/>
                <w:szCs w:val="24"/>
                <w:highlight w:val="none"/>
                <w:lang w:val="en-US" w:eastAsia="zh-CN" w:bidi="ar-SA"/>
              </w:rPr>
              <w:t>(r0)——参考位置r0处的A声级，dB(A)；</w:t>
            </w:r>
          </w:p>
          <w:p w14:paraId="4F179AFA">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A</w:t>
            </w:r>
            <w:r>
              <w:rPr>
                <w:rFonts w:hint="eastAsia" w:ascii="Times New Roman" w:hAnsi="Times New Roman" w:eastAsia="宋体" w:cs="Times New Roman"/>
                <w:color w:val="auto"/>
                <w:kern w:val="2"/>
                <w:sz w:val="24"/>
                <w:szCs w:val="24"/>
                <w:highlight w:val="none"/>
                <w:vertAlign w:val="subscript"/>
                <w:lang w:val="en-US" w:eastAsia="zh-CN" w:bidi="ar-SA"/>
              </w:rPr>
              <w:t>div</w:t>
            </w:r>
            <w:r>
              <w:rPr>
                <w:rFonts w:hint="eastAsia" w:ascii="Times New Roman" w:hAnsi="Times New Roman" w:eastAsia="宋体" w:cs="Times New Roman"/>
                <w:color w:val="auto"/>
                <w:kern w:val="2"/>
                <w:sz w:val="24"/>
                <w:szCs w:val="24"/>
                <w:highlight w:val="none"/>
                <w:lang w:val="en-US" w:eastAsia="zh-CN" w:bidi="ar-SA"/>
              </w:rPr>
              <w:t>——几何发散引起的衰减，dB。</w:t>
            </w:r>
          </w:p>
          <w:p w14:paraId="25244A1D">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2"/>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（4）噪声预测值计算</w:t>
            </w:r>
          </w:p>
          <w:p w14:paraId="3CEC9F09">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噪声预测值（Leq）计算公式为：</w:t>
            </w:r>
          </w:p>
          <w:p w14:paraId="1F054B17">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drawing>
                <wp:inline distT="0" distB="0" distL="0" distR="0">
                  <wp:extent cx="1733550" cy="295275"/>
                  <wp:effectExtent l="0" t="0" r="0" b="9525"/>
                  <wp:docPr id="1042" name="图片 11" descr="IMG_266"/>
                  <wp:cNvGraphicFramePr/>
                  <a:graphic xmlns:a="http://schemas.openxmlformats.org/drawingml/2006/main">
                    <a:graphicData uri="http://schemas.openxmlformats.org/drawingml/2006/picture">
                      <pic:pic xmlns:pic="http://schemas.openxmlformats.org/drawingml/2006/picture">
                        <pic:nvPicPr>
                          <pic:cNvPr id="1042" name="图片 11" descr="IMG_266"/>
                          <pic:cNvPicPr/>
                        </pic:nvPicPr>
                        <pic:blipFill>
                          <a:blip r:embed="rId26" cstate="print"/>
                          <a:srcRect/>
                          <a:stretch>
                            <a:fillRect/>
                          </a:stretch>
                        </pic:blipFill>
                        <pic:spPr>
                          <a:xfrm>
                            <a:off x="0" y="0"/>
                            <a:ext cx="1733550" cy="295275"/>
                          </a:xfrm>
                          <a:prstGeom prst="rect">
                            <a:avLst/>
                          </a:prstGeom>
                          <a:ln>
                            <a:noFill/>
                          </a:ln>
                        </pic:spPr>
                      </pic:pic>
                    </a:graphicData>
                  </a:graphic>
                </wp:inline>
              </w:drawing>
            </w:r>
          </w:p>
          <w:p w14:paraId="0F90D5C1">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式中：L</w:t>
            </w:r>
            <w:r>
              <w:rPr>
                <w:rFonts w:hint="eastAsia" w:ascii="Times New Roman" w:hAnsi="Times New Roman" w:eastAsia="宋体" w:cs="Times New Roman"/>
                <w:color w:val="auto"/>
                <w:kern w:val="2"/>
                <w:sz w:val="24"/>
                <w:szCs w:val="24"/>
                <w:highlight w:val="none"/>
                <w:vertAlign w:val="subscript"/>
                <w:lang w:val="en-US" w:eastAsia="zh-CN" w:bidi="ar-SA"/>
              </w:rPr>
              <w:t>eq</w:t>
            </w:r>
            <w:r>
              <w:rPr>
                <w:rFonts w:hint="eastAsia" w:ascii="Times New Roman" w:hAnsi="Times New Roman" w:eastAsia="宋体" w:cs="Times New Roman"/>
                <w:color w:val="auto"/>
                <w:kern w:val="2"/>
                <w:sz w:val="24"/>
                <w:szCs w:val="24"/>
                <w:highlight w:val="none"/>
                <w:lang w:val="en-US" w:eastAsia="zh-CN" w:bidi="ar-SA"/>
              </w:rPr>
              <w:t>——预测点的噪声预测值，dB(A)；</w:t>
            </w:r>
          </w:p>
          <w:p w14:paraId="6B53CA9C">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L</w:t>
            </w:r>
            <w:r>
              <w:rPr>
                <w:rFonts w:hint="eastAsia" w:ascii="Times New Roman" w:hAnsi="Times New Roman" w:eastAsia="宋体" w:cs="Times New Roman"/>
                <w:color w:val="auto"/>
                <w:kern w:val="2"/>
                <w:sz w:val="24"/>
                <w:szCs w:val="24"/>
                <w:highlight w:val="none"/>
                <w:vertAlign w:val="subscript"/>
                <w:lang w:val="en-US" w:eastAsia="zh-CN" w:bidi="ar-SA"/>
              </w:rPr>
              <w:t>eqg</w:t>
            </w:r>
            <w:r>
              <w:rPr>
                <w:rFonts w:hint="eastAsia" w:ascii="Times New Roman" w:hAnsi="Times New Roman" w:eastAsia="宋体" w:cs="Times New Roman"/>
                <w:color w:val="auto"/>
                <w:kern w:val="2"/>
                <w:sz w:val="24"/>
                <w:szCs w:val="24"/>
                <w:highlight w:val="none"/>
                <w:lang w:val="en-US" w:eastAsia="zh-CN" w:bidi="ar-SA"/>
              </w:rPr>
              <w:t>——项目声源在预测点的等效声级贡献值，dB(A)；</w:t>
            </w:r>
          </w:p>
          <w:p w14:paraId="333B0B3E">
            <w:pPr>
              <w:pStyle w:val="4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30"/>
              <w:jc w:val="both"/>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L</w:t>
            </w:r>
            <w:r>
              <w:rPr>
                <w:rFonts w:hint="eastAsia" w:ascii="Times New Roman" w:hAnsi="Times New Roman" w:eastAsia="宋体" w:cs="Times New Roman"/>
                <w:color w:val="auto"/>
                <w:kern w:val="2"/>
                <w:sz w:val="24"/>
                <w:szCs w:val="24"/>
                <w:highlight w:val="none"/>
                <w:vertAlign w:val="subscript"/>
                <w:lang w:val="en-US" w:eastAsia="zh-CN" w:bidi="ar-SA"/>
              </w:rPr>
              <w:t>eqb</w:t>
            </w:r>
            <w:r>
              <w:rPr>
                <w:rFonts w:hint="eastAsia" w:ascii="Times New Roman" w:hAnsi="Times New Roman" w:eastAsia="宋体" w:cs="Times New Roman"/>
                <w:color w:val="auto"/>
                <w:kern w:val="2"/>
                <w:sz w:val="24"/>
                <w:szCs w:val="24"/>
                <w:highlight w:val="none"/>
                <w:lang w:val="en-US" w:eastAsia="zh-CN" w:bidi="ar-SA"/>
              </w:rPr>
              <w:t>——预测点的背景噪声值，dB(A)；</w:t>
            </w:r>
          </w:p>
          <w:p w14:paraId="5BCF9D44">
            <w:pPr>
              <w:widowControl w:val="0"/>
              <w:autoSpaceDE w:val="0"/>
              <w:autoSpaceDN w:val="0"/>
              <w:adjustRightInd w:val="0"/>
              <w:spacing w:line="360" w:lineRule="auto"/>
              <w:ind w:firstLine="480" w:firstLineChars="200"/>
              <w:jc w:val="both"/>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通过预测分析，生产噪声通过距离的衰减和厂房的声屏障效应后，</w:t>
            </w:r>
            <w:r>
              <w:rPr>
                <w:rFonts w:hint="default" w:ascii="Times New Roman" w:hAnsi="Times New Roman" w:eastAsia="宋体" w:cs="Times New Roman"/>
                <w:color w:val="auto"/>
                <w:kern w:val="0"/>
                <w:sz w:val="24"/>
                <w:szCs w:val="24"/>
                <w:highlight w:val="none"/>
                <w:lang w:val="en-US" w:eastAsia="zh-CN" w:bidi="ar-SA"/>
              </w:rPr>
              <w:t>项目厂房厂界外1米处</w:t>
            </w:r>
            <w:r>
              <w:rPr>
                <w:rFonts w:hint="default" w:ascii="Times New Roman" w:hAnsi="Times New Roman" w:eastAsia="宋体" w:cs="Times New Roman"/>
                <w:color w:val="auto"/>
                <w:kern w:val="2"/>
                <w:sz w:val="24"/>
                <w:szCs w:val="24"/>
                <w:highlight w:val="none"/>
                <w:lang w:val="en-US" w:eastAsia="zh-CN" w:bidi="ar-SA"/>
              </w:rPr>
              <w:t>可达到</w:t>
            </w:r>
            <w:r>
              <w:rPr>
                <w:rFonts w:hint="default" w:ascii="Times New Roman" w:hAnsi="Times New Roman" w:eastAsia="宋体" w:cs="Times New Roman"/>
                <w:color w:val="auto"/>
                <w:spacing w:val="-2"/>
                <w:kern w:val="2"/>
                <w:sz w:val="24"/>
                <w:szCs w:val="24"/>
                <w:highlight w:val="none"/>
                <w:lang w:val="en-US" w:eastAsia="zh-CN" w:bidi="ar-SA"/>
              </w:rPr>
              <w:t>《工业企业厂界环境噪声排放标准》（GB12348-2008）中的3类标准</w:t>
            </w:r>
            <w:r>
              <w:rPr>
                <w:rFonts w:hint="default" w:ascii="Times New Roman" w:hAnsi="Times New Roman" w:eastAsia="宋体" w:cs="Times New Roman"/>
                <w:color w:val="auto"/>
                <w:kern w:val="2"/>
                <w:sz w:val="24"/>
                <w:szCs w:val="24"/>
                <w:highlight w:val="none"/>
                <w:lang w:val="en-US" w:eastAsia="zh-CN" w:bidi="ar-SA"/>
              </w:rPr>
              <w:t>，即项目产生的噪声不会对周边环境造成太大影响。</w:t>
            </w:r>
          </w:p>
          <w:p w14:paraId="3DCD87C5">
            <w:pPr>
              <w:keepNext/>
              <w:keepLines/>
              <w:widowControl w:val="0"/>
              <w:numPr>
                <w:ilvl w:val="3"/>
                <w:numId w:val="0"/>
              </w:numPr>
              <w:spacing w:line="360" w:lineRule="auto"/>
              <w:ind w:left="0" w:firstLine="480" w:firstLineChars="200"/>
              <w:jc w:val="both"/>
              <w:outlineLvl w:val="3"/>
              <w:rPr>
                <w:rFonts w:hint="default" w:ascii="Times New Roman" w:hAnsi="Times New Roman" w:eastAsia="宋体" w:cs="Times New Roman"/>
                <w:b/>
                <w:bCs/>
                <w:color w:val="auto"/>
                <w:kern w:val="2"/>
                <w:sz w:val="24"/>
                <w:szCs w:val="28"/>
                <w:highlight w:val="none"/>
                <w:lang w:val="en-US" w:eastAsia="zh-CN" w:bidi="ar-SA"/>
              </w:rPr>
            </w:pPr>
            <w:r>
              <w:rPr>
                <w:rFonts w:hint="default" w:ascii="Times New Roman" w:hAnsi="Times New Roman" w:eastAsia="宋体" w:cs="Times New Roman"/>
                <w:b/>
                <w:bCs/>
                <w:color w:val="auto"/>
                <w:kern w:val="2"/>
                <w:sz w:val="24"/>
                <w:szCs w:val="28"/>
                <w:highlight w:val="none"/>
                <w:lang w:val="en-US" w:eastAsia="zh-CN" w:bidi="ar-SA"/>
              </w:rPr>
              <w:t>3、污染防治措施</w:t>
            </w:r>
          </w:p>
          <w:p w14:paraId="6192CBF9">
            <w:pPr>
              <w:keepNext/>
              <w:keepLines/>
              <w:widowControl w:val="0"/>
              <w:numPr>
                <w:ilvl w:val="0"/>
                <w:numId w:val="0"/>
              </w:numPr>
              <w:spacing w:line="360" w:lineRule="auto"/>
              <w:ind w:firstLine="480" w:firstLineChars="200"/>
              <w:jc w:val="both"/>
              <w:outlineLvl w:val="5"/>
              <w:rPr>
                <w:rFonts w:hint="default" w:ascii="Times New Roman" w:hAnsi="Times New Roman" w:eastAsia="宋体" w:cs="Times New Roman"/>
                <w:color w:val="auto"/>
                <w:kern w:val="2"/>
                <w:sz w:val="24"/>
                <w:szCs w:val="21"/>
                <w:highlight w:val="none"/>
                <w:lang w:val="en-US" w:eastAsia="zh-CN" w:bidi="ar-SA"/>
              </w:rPr>
            </w:pPr>
            <w:r>
              <w:rPr>
                <w:rFonts w:hint="default" w:ascii="Times New Roman" w:hAnsi="Times New Roman" w:eastAsia="宋体" w:cs="Times New Roman"/>
                <w:color w:val="auto"/>
                <w:kern w:val="2"/>
                <w:sz w:val="24"/>
                <w:szCs w:val="21"/>
                <w:highlight w:val="none"/>
                <w:lang w:val="en-US" w:eastAsia="zh-CN" w:bidi="ar-SA"/>
              </w:rPr>
              <w:t>为确保厂界噪声满足《工业企业厂界环境噪声排放标准》（GB12348-2008）中的相应标准，项目拟采取以下治理措施：</w:t>
            </w:r>
          </w:p>
          <w:p w14:paraId="0389909A">
            <w:pPr>
              <w:keepNext/>
              <w:keepLines/>
              <w:widowControl w:val="0"/>
              <w:numPr>
                <w:ilvl w:val="0"/>
                <w:numId w:val="0"/>
              </w:numPr>
              <w:spacing w:line="360" w:lineRule="auto"/>
              <w:ind w:firstLine="480" w:firstLineChars="200"/>
              <w:jc w:val="both"/>
              <w:outlineLvl w:val="5"/>
              <w:rPr>
                <w:rFonts w:hint="default" w:ascii="Times New Roman" w:hAnsi="Times New Roman" w:eastAsia="宋体" w:cs="Times New Roman"/>
                <w:color w:val="auto"/>
                <w:kern w:val="2"/>
                <w:sz w:val="24"/>
                <w:szCs w:val="21"/>
                <w:highlight w:val="none"/>
                <w:lang w:val="en-US" w:eastAsia="zh-CN" w:bidi="ar-SA"/>
              </w:rPr>
            </w:pPr>
            <w:r>
              <w:rPr>
                <w:rFonts w:hint="default" w:ascii="Times New Roman" w:hAnsi="Times New Roman" w:eastAsia="宋体" w:cs="Times New Roman"/>
                <w:color w:val="auto"/>
                <w:kern w:val="2"/>
                <w:sz w:val="24"/>
                <w:szCs w:val="21"/>
                <w:highlight w:val="none"/>
                <w:lang w:val="en-US" w:eastAsia="zh-CN" w:bidi="ar-SA"/>
              </w:rPr>
              <w:t>①合理布局：尽量将高噪声设备布置在厂房中间，尽可能地选择远离厂界的位置。</w:t>
            </w:r>
          </w:p>
          <w:p w14:paraId="24ECE4AC">
            <w:pPr>
              <w:keepNext/>
              <w:keepLines/>
              <w:widowControl w:val="0"/>
              <w:numPr>
                <w:ilvl w:val="0"/>
                <w:numId w:val="0"/>
              </w:numPr>
              <w:spacing w:line="360" w:lineRule="auto"/>
              <w:ind w:firstLine="480" w:firstLineChars="200"/>
              <w:jc w:val="both"/>
              <w:outlineLvl w:val="5"/>
              <w:rPr>
                <w:rFonts w:hint="default" w:ascii="Times New Roman" w:hAnsi="Times New Roman" w:eastAsia="宋体" w:cs="Times New Roman"/>
                <w:color w:val="auto"/>
                <w:kern w:val="2"/>
                <w:sz w:val="24"/>
                <w:szCs w:val="21"/>
                <w:highlight w:val="none"/>
                <w:lang w:val="en-US" w:eastAsia="zh-CN" w:bidi="ar-SA"/>
              </w:rPr>
            </w:pPr>
            <w:r>
              <w:rPr>
                <w:rFonts w:hint="default" w:ascii="Times New Roman" w:hAnsi="Times New Roman" w:eastAsia="宋体" w:cs="Times New Roman"/>
                <w:color w:val="auto"/>
                <w:kern w:val="2"/>
                <w:sz w:val="24"/>
                <w:szCs w:val="21"/>
                <w:highlight w:val="none"/>
                <w:lang w:val="en-US" w:eastAsia="zh-CN" w:bidi="ar-SA"/>
              </w:rPr>
              <w:t>②落实设备基础减振以及厂房隔声：</w:t>
            </w:r>
          </w:p>
          <w:p w14:paraId="377E0D83">
            <w:pPr>
              <w:keepNext/>
              <w:keepLines/>
              <w:widowControl w:val="0"/>
              <w:numPr>
                <w:ilvl w:val="0"/>
                <w:numId w:val="0"/>
              </w:numPr>
              <w:spacing w:line="360" w:lineRule="auto"/>
              <w:ind w:firstLine="480" w:firstLineChars="200"/>
              <w:jc w:val="both"/>
              <w:outlineLvl w:val="5"/>
              <w:rPr>
                <w:rFonts w:hint="default" w:ascii="Times New Roman" w:hAnsi="Times New Roman" w:eastAsia="宋体" w:cs="Times New Roman"/>
                <w:color w:val="auto"/>
                <w:kern w:val="2"/>
                <w:sz w:val="24"/>
                <w:szCs w:val="21"/>
                <w:highlight w:val="none"/>
                <w:lang w:val="en-US" w:eastAsia="zh-CN" w:bidi="ar-SA"/>
              </w:rPr>
            </w:pPr>
            <w:r>
              <w:rPr>
                <w:rFonts w:hint="default" w:ascii="Times New Roman" w:hAnsi="Times New Roman" w:eastAsia="宋体" w:cs="Times New Roman"/>
                <w:color w:val="auto"/>
                <w:kern w:val="2"/>
                <w:sz w:val="24"/>
                <w:szCs w:val="21"/>
                <w:highlight w:val="none"/>
                <w:lang w:val="en-US" w:eastAsia="zh-CN" w:bidi="ar-SA"/>
              </w:rPr>
              <w:t>A、在设备选型方面，在满足工艺生产的前提下，选用精度高、装配质量好、噪声低的设备；对设备基础进行减振；</w:t>
            </w:r>
          </w:p>
          <w:p w14:paraId="1C1A8035">
            <w:pPr>
              <w:keepNext/>
              <w:keepLines/>
              <w:widowControl w:val="0"/>
              <w:numPr>
                <w:ilvl w:val="0"/>
                <w:numId w:val="0"/>
              </w:numPr>
              <w:spacing w:line="360" w:lineRule="auto"/>
              <w:ind w:firstLine="480" w:firstLineChars="200"/>
              <w:jc w:val="both"/>
              <w:outlineLvl w:val="5"/>
              <w:rPr>
                <w:rFonts w:hint="default" w:ascii="Times New Roman" w:hAnsi="Times New Roman" w:eastAsia="宋体" w:cs="Times New Roman"/>
                <w:color w:val="auto"/>
                <w:kern w:val="2"/>
                <w:sz w:val="24"/>
                <w:szCs w:val="21"/>
                <w:highlight w:val="none"/>
                <w:lang w:val="en-US" w:eastAsia="zh-CN" w:bidi="ar-SA"/>
              </w:rPr>
            </w:pPr>
            <w:r>
              <w:rPr>
                <w:rFonts w:hint="default" w:ascii="Times New Roman" w:hAnsi="Times New Roman" w:eastAsia="宋体" w:cs="Times New Roman"/>
                <w:color w:val="auto"/>
                <w:kern w:val="2"/>
                <w:sz w:val="24"/>
                <w:szCs w:val="21"/>
                <w:highlight w:val="none"/>
                <w:lang w:val="en-US" w:eastAsia="zh-CN" w:bidi="ar-SA"/>
              </w:rPr>
              <w:t>B、重视厂房的使用状况，不设门窗或设隔声玻璃门窗。</w:t>
            </w:r>
          </w:p>
          <w:p w14:paraId="7307BFBC">
            <w:pPr>
              <w:keepNext/>
              <w:keepLines/>
              <w:widowControl w:val="0"/>
              <w:numPr>
                <w:ilvl w:val="0"/>
                <w:numId w:val="0"/>
              </w:numPr>
              <w:spacing w:line="360" w:lineRule="auto"/>
              <w:ind w:firstLine="480" w:firstLineChars="200"/>
              <w:jc w:val="both"/>
              <w:outlineLvl w:val="5"/>
              <w:rPr>
                <w:rFonts w:hint="default" w:ascii="Times New Roman" w:hAnsi="Times New Roman" w:eastAsia="宋体" w:cs="Times New Roman"/>
                <w:color w:val="auto"/>
                <w:kern w:val="2"/>
                <w:sz w:val="24"/>
                <w:szCs w:val="21"/>
                <w:highlight w:val="none"/>
                <w:lang w:val="en-US" w:eastAsia="zh-CN" w:bidi="ar-SA"/>
              </w:rPr>
            </w:pPr>
            <w:r>
              <w:rPr>
                <w:rFonts w:hint="default" w:ascii="Times New Roman" w:hAnsi="Times New Roman" w:eastAsia="宋体" w:cs="Times New Roman"/>
                <w:color w:val="auto"/>
                <w:kern w:val="2"/>
                <w:sz w:val="24"/>
                <w:szCs w:val="21"/>
                <w:highlight w:val="none"/>
                <w:lang w:val="en-US" w:eastAsia="zh-CN" w:bidi="ar-SA"/>
              </w:rPr>
              <w:t>③加强内部管理：建立设备定期维护、保养的管理制度，以防止设备故障形成的非生产噪声，同时确保环保措施发挥最有效的功能；加强职工环保意识教育，提倡文明生产，防止人为噪声。</w:t>
            </w:r>
          </w:p>
          <w:p w14:paraId="102640D0">
            <w:pPr>
              <w:keepNext/>
              <w:keepLines/>
              <w:widowControl w:val="0"/>
              <w:numPr>
                <w:ilvl w:val="0"/>
                <w:numId w:val="0"/>
              </w:numPr>
              <w:spacing w:line="360" w:lineRule="auto"/>
              <w:ind w:firstLine="480" w:firstLineChars="200"/>
              <w:jc w:val="both"/>
              <w:outlineLvl w:val="5"/>
              <w:rPr>
                <w:rFonts w:hint="default" w:ascii="Times New Roman" w:hAnsi="Times New Roman" w:eastAsia="宋体" w:cs="Times New Roman"/>
                <w:color w:val="auto"/>
                <w:kern w:val="2"/>
                <w:sz w:val="24"/>
                <w:szCs w:val="21"/>
                <w:highlight w:val="none"/>
                <w:lang w:val="en-US" w:eastAsia="zh-CN" w:bidi="ar-SA"/>
              </w:rPr>
            </w:pPr>
            <w:r>
              <w:rPr>
                <w:rFonts w:hint="default" w:ascii="Times New Roman" w:hAnsi="Times New Roman" w:eastAsia="宋体" w:cs="Times New Roman"/>
                <w:color w:val="auto"/>
                <w:kern w:val="2"/>
                <w:sz w:val="24"/>
                <w:szCs w:val="21"/>
                <w:highlight w:val="none"/>
                <w:lang w:val="en-US" w:eastAsia="zh-CN" w:bidi="ar-SA"/>
              </w:rPr>
              <w:t>④合理安排生产时间：尽可能地安排在昼间进行生产，若夜间必须生产应控制夜间生产时间，特别夜间应停止高噪声设备，减少机械的噪声影响。</w:t>
            </w:r>
          </w:p>
          <w:p w14:paraId="48D7E62E">
            <w:pPr>
              <w:keepNext/>
              <w:keepLines/>
              <w:widowControl w:val="0"/>
              <w:numPr>
                <w:ilvl w:val="0"/>
                <w:numId w:val="0"/>
              </w:numPr>
              <w:spacing w:line="360" w:lineRule="auto"/>
              <w:ind w:firstLine="480" w:firstLineChars="200"/>
              <w:jc w:val="both"/>
              <w:outlineLvl w:val="5"/>
              <w:rPr>
                <w:rFonts w:hint="default" w:ascii="Times New Roman" w:hAnsi="Times New Roman" w:eastAsia="宋体" w:cs="Times New Roman"/>
                <w:b/>
                <w:bCs/>
                <w:color w:val="auto"/>
                <w:kern w:val="2"/>
                <w:sz w:val="24"/>
                <w:szCs w:val="21"/>
                <w:highlight w:val="none"/>
                <w:lang w:val="en-US" w:eastAsia="zh-CN" w:bidi="ar-SA"/>
              </w:rPr>
            </w:pPr>
            <w:r>
              <w:rPr>
                <w:rFonts w:hint="default" w:ascii="Times New Roman" w:hAnsi="Times New Roman" w:eastAsia="宋体" w:cs="Times New Roman"/>
                <w:color w:val="auto"/>
                <w:kern w:val="2"/>
                <w:sz w:val="24"/>
                <w:szCs w:val="21"/>
                <w:highlight w:val="none"/>
                <w:lang w:val="en-US" w:eastAsia="zh-CN" w:bidi="ar-SA"/>
              </w:rPr>
              <w:t>本项目周边50米范围内不存在声环境保护目标，经采取上述的降噪措施后，预计项目厂界噪声排放可达到《工业企业厂界环境噪声排放标准》（GB12348-2008）3类标准，噪声对声环境影响不大。</w:t>
            </w:r>
          </w:p>
          <w:p w14:paraId="003C60B0">
            <w:pPr>
              <w:keepNext/>
              <w:keepLines/>
              <w:tabs>
                <w:tab w:val="left" w:pos="0"/>
              </w:tabs>
              <w:ind w:firstLine="480" w:firstLineChars="200"/>
              <w:outlineLvl w:val="3"/>
              <w:rPr>
                <w:rFonts w:hint="default" w:ascii="Times New Roman" w:hAnsi="Times New Roman" w:eastAsia="宋体" w:cs="Times New Roman"/>
                <w:color w:val="auto"/>
                <w:highlight w:val="none"/>
              </w:rPr>
            </w:pPr>
            <w:r>
              <w:rPr>
                <w:rFonts w:hint="default" w:ascii="Times New Roman" w:hAnsi="Times New Roman" w:eastAsia="宋体" w:cs="Times New Roman"/>
                <w:b/>
                <w:bCs/>
                <w:color w:val="auto"/>
                <w:highlight w:val="none"/>
              </w:rPr>
              <w:t>4、监测要求</w:t>
            </w:r>
          </w:p>
          <w:p w14:paraId="556AA514">
            <w:pPr>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根据《排污单位自行监测技术指南总则》（HJ819-2017）</w:t>
            </w:r>
            <w:r>
              <w:rPr>
                <w:rFonts w:hint="default" w:ascii="Times New Roman" w:hAnsi="Times New Roman" w:cs="Times New Roman"/>
                <w:color w:val="auto"/>
                <w:highlight w:val="none"/>
                <w:lang w:eastAsia="zh-CN"/>
              </w:rPr>
              <w:t>、《排污单位自行监测技术指南 工业固体废物和危险废物治理》</w:t>
            </w:r>
            <w:r>
              <w:rPr>
                <w:rFonts w:hint="eastAsia" w:cs="Times New Roman"/>
                <w:color w:val="auto"/>
                <w:highlight w:val="none"/>
                <w:lang w:eastAsia="zh-CN"/>
              </w:rPr>
              <w:t>（</w:t>
            </w:r>
            <w:r>
              <w:rPr>
                <w:rFonts w:hint="default" w:ascii="Times New Roman" w:hAnsi="Times New Roman" w:cs="Times New Roman"/>
                <w:color w:val="auto"/>
                <w:highlight w:val="none"/>
                <w:lang w:eastAsia="zh-CN"/>
              </w:rPr>
              <w:t>HJ 120</w:t>
            </w:r>
            <w:r>
              <w:rPr>
                <w:rFonts w:hint="eastAsia" w:cs="Times New Roman"/>
                <w:color w:val="auto"/>
                <w:highlight w:val="none"/>
                <w:lang w:val="en-US" w:eastAsia="zh-CN"/>
              </w:rPr>
              <w:t>50</w:t>
            </w:r>
            <w:r>
              <w:rPr>
                <w:rFonts w:hint="default" w:ascii="Times New Roman" w:hAnsi="Times New Roman" w:cs="Times New Roman"/>
                <w:color w:val="auto"/>
                <w:highlight w:val="none"/>
                <w:lang w:eastAsia="zh-CN"/>
              </w:rPr>
              <w:t>-202</w:t>
            </w:r>
            <w:r>
              <w:rPr>
                <w:rFonts w:hint="eastAsia" w:cs="Times New Roman"/>
                <w:color w:val="auto"/>
                <w:highlight w:val="none"/>
                <w:lang w:val="en-US" w:eastAsia="zh-CN"/>
              </w:rPr>
              <w:t>2</w:t>
            </w:r>
            <w:r>
              <w:rPr>
                <w:rFonts w:hint="eastAsia" w:cs="Times New Roman"/>
                <w:color w:val="auto"/>
                <w:highlight w:val="none"/>
                <w:lang w:eastAsia="zh-CN"/>
              </w:rPr>
              <w:t>）</w:t>
            </w:r>
            <w:r>
              <w:rPr>
                <w:rFonts w:hint="default" w:ascii="Times New Roman" w:hAnsi="Times New Roman" w:eastAsia="宋体" w:cs="Times New Roman"/>
                <w:color w:val="auto"/>
                <w:highlight w:val="none"/>
              </w:rPr>
              <w:t>，监测要求见下表。</w:t>
            </w:r>
          </w:p>
          <w:p w14:paraId="49480811">
            <w:pPr>
              <w:widowControl w:val="0"/>
              <w:autoSpaceDE w:val="0"/>
              <w:autoSpaceDN w:val="0"/>
              <w:adjustRightInd w:val="0"/>
              <w:spacing w:line="240" w:lineRule="auto"/>
              <w:jc w:val="center"/>
              <w:rPr>
                <w:rFonts w:hint="default" w:ascii="Times New Roman" w:hAnsi="Times New Roman" w:eastAsia="宋体" w:cs="Times New Roman"/>
                <w:b/>
                <w:bCs/>
                <w:color w:val="auto"/>
                <w:kern w:val="2"/>
                <w:sz w:val="21"/>
                <w:szCs w:val="21"/>
                <w:highlight w:val="none"/>
                <w:lang w:val="en-US" w:eastAsia="zh-CN" w:bidi="ar-SA"/>
              </w:rPr>
            </w:pPr>
          </w:p>
          <w:p w14:paraId="790DC65A">
            <w:pPr>
              <w:widowControl w:val="0"/>
              <w:autoSpaceDE w:val="0"/>
              <w:autoSpaceDN w:val="0"/>
              <w:adjustRightInd w:val="0"/>
              <w:spacing w:line="240" w:lineRule="auto"/>
              <w:jc w:val="center"/>
              <w:rPr>
                <w:rFonts w:hint="default" w:ascii="Times New Roman" w:hAnsi="Times New Roman" w:eastAsia="宋体" w:cs="Times New Roman"/>
                <w:b/>
                <w:bCs/>
                <w:color w:val="auto"/>
                <w:kern w:val="2"/>
                <w:sz w:val="21"/>
                <w:szCs w:val="21"/>
                <w:highlight w:val="none"/>
                <w:lang w:val="en-US" w:eastAsia="zh-CN" w:bidi="ar-SA"/>
              </w:rPr>
            </w:pPr>
          </w:p>
          <w:p w14:paraId="3FA93BD8">
            <w:pPr>
              <w:widowControl w:val="0"/>
              <w:autoSpaceDE w:val="0"/>
              <w:autoSpaceDN w:val="0"/>
              <w:adjustRightInd w:val="0"/>
              <w:spacing w:line="240" w:lineRule="auto"/>
              <w:jc w:val="center"/>
              <w:rPr>
                <w:rFonts w:hint="default" w:ascii="Times New Roman" w:hAnsi="Times New Roman" w:eastAsia="宋体" w:cs="Times New Roman"/>
                <w:b/>
                <w:bCs/>
                <w:color w:val="auto"/>
                <w:kern w:val="2"/>
                <w:sz w:val="21"/>
                <w:szCs w:val="21"/>
                <w:highlight w:val="none"/>
                <w:lang w:val="en-US" w:eastAsia="zh-CN" w:bidi="ar-SA"/>
              </w:rPr>
            </w:pPr>
          </w:p>
          <w:p w14:paraId="0CFE1AED">
            <w:pPr>
              <w:widowControl w:val="0"/>
              <w:autoSpaceDE w:val="0"/>
              <w:autoSpaceDN w:val="0"/>
              <w:adjustRightInd w:val="0"/>
              <w:spacing w:line="240" w:lineRule="auto"/>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表4-</w:t>
            </w:r>
            <w:r>
              <w:rPr>
                <w:rFonts w:hint="eastAsia" w:cs="Times New Roman"/>
                <w:b/>
                <w:bCs/>
                <w:color w:val="auto"/>
                <w:kern w:val="2"/>
                <w:sz w:val="21"/>
                <w:szCs w:val="21"/>
                <w:highlight w:val="none"/>
                <w:lang w:val="en-US" w:eastAsia="zh-CN" w:bidi="ar-SA"/>
              </w:rPr>
              <w:t>8</w:t>
            </w:r>
            <w:r>
              <w:rPr>
                <w:rFonts w:hint="default" w:ascii="Times New Roman" w:hAnsi="Times New Roman" w:eastAsia="宋体" w:cs="Times New Roman"/>
                <w:b/>
                <w:bCs/>
                <w:color w:val="auto"/>
                <w:kern w:val="2"/>
                <w:sz w:val="21"/>
                <w:szCs w:val="21"/>
                <w:highlight w:val="none"/>
                <w:lang w:val="en-US" w:eastAsia="zh-CN" w:bidi="ar-SA"/>
              </w:rPr>
              <w:t>厂界噪声监测要求</w:t>
            </w:r>
          </w:p>
          <w:tbl>
            <w:tblPr>
              <w:tblStyle w:val="4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5" w:type="dxa"/>
                <w:left w:w="51" w:type="dxa"/>
                <w:bottom w:w="0" w:type="dxa"/>
                <w:right w:w="51" w:type="dxa"/>
              </w:tblCellMar>
            </w:tblPr>
            <w:tblGrid>
              <w:gridCol w:w="671"/>
              <w:gridCol w:w="1418"/>
              <w:gridCol w:w="1183"/>
              <w:gridCol w:w="1289"/>
              <w:gridCol w:w="2185"/>
              <w:gridCol w:w="1961"/>
            </w:tblGrid>
            <w:tr w14:paraId="4121F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51" w:type="dxa"/>
                  <w:bottom w:w="0" w:type="dxa"/>
                  <w:right w:w="51" w:type="dxa"/>
                </w:tblCellMar>
              </w:tblPrEx>
              <w:trPr>
                <w:trHeight w:val="397" w:hRule="atLeast"/>
                <w:jc w:val="center"/>
              </w:trPr>
              <w:tc>
                <w:tcPr>
                  <w:tcW w:w="385" w:type="pct"/>
                  <w:vAlign w:val="center"/>
                </w:tcPr>
                <w:p w14:paraId="5266D5E1">
                  <w:pPr>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类别</w:t>
                  </w:r>
                </w:p>
              </w:tc>
              <w:tc>
                <w:tcPr>
                  <w:tcW w:w="814" w:type="pct"/>
                  <w:vAlign w:val="center"/>
                </w:tcPr>
                <w:p w14:paraId="029D43BD">
                  <w:pPr>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监测点位</w:t>
                  </w:r>
                </w:p>
              </w:tc>
              <w:tc>
                <w:tcPr>
                  <w:tcW w:w="679" w:type="pct"/>
                  <w:vAlign w:val="center"/>
                </w:tcPr>
                <w:p w14:paraId="08251C2D">
                  <w:pPr>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监测指标</w:t>
                  </w:r>
                </w:p>
              </w:tc>
              <w:tc>
                <w:tcPr>
                  <w:tcW w:w="740" w:type="pct"/>
                  <w:vAlign w:val="center"/>
                </w:tcPr>
                <w:p w14:paraId="73051AB1">
                  <w:pPr>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监测频次</w:t>
                  </w:r>
                </w:p>
              </w:tc>
              <w:tc>
                <w:tcPr>
                  <w:tcW w:w="1254" w:type="pct"/>
                  <w:vAlign w:val="center"/>
                </w:tcPr>
                <w:p w14:paraId="2A43951B">
                  <w:pPr>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监测采样和分析方法</w:t>
                  </w:r>
                </w:p>
              </w:tc>
              <w:tc>
                <w:tcPr>
                  <w:tcW w:w="1125" w:type="pct"/>
                  <w:vAlign w:val="center"/>
                </w:tcPr>
                <w:p w14:paraId="0F937EE3">
                  <w:pPr>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排放执行标准</w:t>
                  </w:r>
                </w:p>
              </w:tc>
            </w:tr>
            <w:tr w14:paraId="60DA0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51" w:type="dxa"/>
                  <w:bottom w:w="0" w:type="dxa"/>
                  <w:right w:w="51" w:type="dxa"/>
                </w:tblCellMar>
              </w:tblPrEx>
              <w:trPr>
                <w:trHeight w:val="397" w:hRule="atLeast"/>
                <w:jc w:val="center"/>
              </w:trPr>
              <w:tc>
                <w:tcPr>
                  <w:tcW w:w="385" w:type="pct"/>
                  <w:vAlign w:val="center"/>
                </w:tcPr>
                <w:p w14:paraId="38DAE50E">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噪声</w:t>
                  </w:r>
                </w:p>
              </w:tc>
              <w:tc>
                <w:tcPr>
                  <w:tcW w:w="814" w:type="pct"/>
                  <w:vAlign w:val="center"/>
                </w:tcPr>
                <w:p w14:paraId="7CB3C9E3">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东、南、西、北面厂界外1米处</w:t>
                  </w:r>
                </w:p>
              </w:tc>
              <w:tc>
                <w:tcPr>
                  <w:tcW w:w="679" w:type="pct"/>
                  <w:vAlign w:val="center"/>
                </w:tcPr>
                <w:p w14:paraId="21526C61">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等效连续A声级</w:t>
                  </w:r>
                </w:p>
              </w:tc>
              <w:tc>
                <w:tcPr>
                  <w:tcW w:w="740" w:type="pct"/>
                  <w:vAlign w:val="center"/>
                </w:tcPr>
                <w:p w14:paraId="2D9A5612">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每季度1次，监测昼间</w:t>
                  </w:r>
                </w:p>
              </w:tc>
              <w:tc>
                <w:tcPr>
                  <w:tcW w:w="1254" w:type="pct"/>
                  <w:vAlign w:val="center"/>
                </w:tcPr>
                <w:p w14:paraId="5E5E979F">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《环境监测技术规范》</w:t>
                  </w:r>
                </w:p>
              </w:tc>
              <w:tc>
                <w:tcPr>
                  <w:tcW w:w="1125" w:type="pct"/>
                  <w:vAlign w:val="center"/>
                </w:tcPr>
                <w:p w14:paraId="51E4AA57">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《工业企业厂界环境噪声排放标准》（GB12348-2008）</w:t>
                  </w: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类标准</w:t>
                  </w:r>
                </w:p>
              </w:tc>
            </w:tr>
          </w:tbl>
          <w:p w14:paraId="77030DC7">
            <w:pPr>
              <w:keepNext/>
              <w:keepLines/>
              <w:widowControl w:val="0"/>
              <w:numPr>
                <w:ilvl w:val="2"/>
                <w:numId w:val="0"/>
              </w:numPr>
              <w:spacing w:line="360" w:lineRule="auto"/>
              <w:ind w:firstLine="480" w:firstLineChars="200"/>
              <w:jc w:val="both"/>
              <w:outlineLvl w:val="2"/>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四、固体废物污染源</w:t>
            </w:r>
          </w:p>
          <w:p w14:paraId="07293792">
            <w:pPr>
              <w:keepNext/>
              <w:keepLines/>
              <w:tabs>
                <w:tab w:val="left" w:pos="0"/>
              </w:tabs>
              <w:ind w:left="480" w:leftChars="200"/>
              <w:outlineLvl w:val="3"/>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1、固体废物源强</w:t>
            </w:r>
          </w:p>
          <w:p w14:paraId="12454092">
            <w:pPr>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本项目营运期产生的固体废物主要为生活垃圾、一般工业固废（</w:t>
            </w:r>
            <w:r>
              <w:rPr>
                <w:rFonts w:hint="eastAsia" w:cs="Times New Roman"/>
                <w:color w:val="auto"/>
                <w:highlight w:val="none"/>
                <w:lang w:val="en-US" w:eastAsia="zh-CN"/>
              </w:rPr>
              <w:t>可再生利用固废、不可再生利用固废</w:t>
            </w:r>
            <w:r>
              <w:rPr>
                <w:rFonts w:hint="default" w:ascii="Times New Roman" w:hAnsi="Times New Roman" w:eastAsia="宋体" w:cs="Times New Roman"/>
                <w:color w:val="auto"/>
                <w:highlight w:val="none"/>
              </w:rPr>
              <w:t>）、危险废物（废矿物油、废油桶、含油废抹布及手套</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w:t>
            </w:r>
          </w:p>
          <w:p w14:paraId="1513DD0C">
            <w:pPr>
              <w:ind w:firstLine="480" w:firstLineChars="200"/>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（1）生活垃圾</w:t>
            </w:r>
          </w:p>
          <w:p w14:paraId="3480823E">
            <w:pPr>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本项目劳动定员</w:t>
            </w:r>
            <w:r>
              <w:rPr>
                <w:rFonts w:hint="eastAsia" w:cs="Times New Roman"/>
                <w:color w:val="auto"/>
                <w:highlight w:val="none"/>
                <w:lang w:val="en-US" w:eastAsia="zh-CN"/>
              </w:rPr>
              <w:t>2</w:t>
            </w:r>
            <w:r>
              <w:rPr>
                <w:rFonts w:hint="default" w:ascii="Times New Roman" w:hAnsi="Times New Roman" w:cs="Times New Roman"/>
                <w:color w:val="auto"/>
                <w:highlight w:val="none"/>
              </w:rPr>
              <w:t>人，根据《社会区域类环境影响评价》（中国环境科学出版社），我国目前城市人均办公垃圾为0.5~1.0kg/人·d，本环评按员工每人每天办公生活垃圾产生量0.5kg计算，项目每年工作</w:t>
            </w:r>
            <w:r>
              <w:rPr>
                <w:rFonts w:hint="eastAsia" w:cs="Times New Roman"/>
                <w:color w:val="auto"/>
                <w:highlight w:val="none"/>
                <w:lang w:val="en-US" w:eastAsia="zh-CN"/>
              </w:rPr>
              <w:t>260</w:t>
            </w:r>
            <w:r>
              <w:rPr>
                <w:rFonts w:hint="default" w:ascii="Times New Roman" w:hAnsi="Times New Roman" w:cs="Times New Roman"/>
                <w:color w:val="auto"/>
                <w:highlight w:val="none"/>
              </w:rPr>
              <w:t>天，则生活垃圾产生量约为</w:t>
            </w:r>
            <w:r>
              <w:rPr>
                <w:rFonts w:hint="eastAsia" w:cs="Times New Roman"/>
                <w:color w:val="auto"/>
                <w:highlight w:val="none"/>
                <w:lang w:val="en-US" w:eastAsia="zh-CN"/>
              </w:rPr>
              <w:t>0.26</w:t>
            </w:r>
            <w:r>
              <w:rPr>
                <w:rFonts w:hint="default" w:ascii="Times New Roman" w:hAnsi="Times New Roman" w:cs="Times New Roman"/>
                <w:color w:val="auto"/>
                <w:highlight w:val="none"/>
              </w:rPr>
              <w:t>t/a。生活垃圾主要成分是废纸张、瓜果皮核、饮料包装瓶和塑料包装纸等，统一收集后交由环卫部门定期清运处理</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属于SW64其他垃圾（900-099-S64生活垃圾）</w:t>
            </w:r>
            <w:r>
              <w:rPr>
                <w:rFonts w:hint="default" w:ascii="Times New Roman" w:hAnsi="Times New Roman" w:cs="Times New Roman"/>
                <w:color w:val="auto"/>
                <w:highlight w:val="none"/>
              </w:rPr>
              <w:t>。</w:t>
            </w:r>
          </w:p>
          <w:p w14:paraId="42CCA70C">
            <w:pPr>
              <w:ind w:firstLine="480" w:firstLineChars="200"/>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（2）一般工业固体废物</w:t>
            </w:r>
          </w:p>
          <w:p w14:paraId="62CA9167">
            <w:pPr>
              <w:keepNext/>
              <w:keepLines/>
              <w:widowControl w:val="0"/>
              <w:numPr>
                <w:ilvl w:val="0"/>
                <w:numId w:val="0"/>
              </w:numPr>
              <w:spacing w:line="360" w:lineRule="auto"/>
              <w:ind w:firstLine="480" w:firstLineChars="200"/>
              <w:jc w:val="both"/>
              <w:outlineLvl w:val="5"/>
              <w:rPr>
                <w:rFonts w:hint="default" w:ascii="Times New Roman" w:hAnsi="Times New Roman" w:eastAsia="宋体" w:cs="Times New Roman"/>
                <w:b/>
                <w:bCs/>
                <w:color w:val="auto"/>
                <w:highlight w:val="none"/>
                <w:lang w:val="en-US"/>
              </w:rPr>
            </w:pPr>
            <w:r>
              <w:rPr>
                <w:rFonts w:hint="default" w:ascii="Times New Roman" w:hAnsi="Times New Roman" w:eastAsia="宋体" w:cs="Times New Roman"/>
                <w:b/>
                <w:bCs/>
                <w:color w:val="auto"/>
                <w:kern w:val="2"/>
                <w:sz w:val="24"/>
                <w:szCs w:val="21"/>
                <w:highlight w:val="none"/>
                <w:lang w:val="en-US" w:eastAsia="zh-CN" w:bidi="ar-SA"/>
              </w:rPr>
              <w:t>①</w:t>
            </w:r>
            <w:r>
              <w:rPr>
                <w:rFonts w:hint="eastAsia" w:cs="Times New Roman"/>
                <w:b/>
                <w:bCs/>
                <w:color w:val="auto"/>
                <w:highlight w:val="none"/>
                <w:lang w:val="en-US" w:eastAsia="zh-CN"/>
              </w:rPr>
              <w:t>分拣过程中产生不可再生利用固废</w:t>
            </w:r>
          </w:p>
          <w:p w14:paraId="137D4E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本项目收集的原料经人工分拣后会产生可</w:t>
            </w:r>
            <w:r>
              <w:rPr>
                <w:rFonts w:hint="eastAsia" w:cs="Times New Roman"/>
                <w:b w:val="0"/>
                <w:bCs w:val="0"/>
                <w:color w:val="auto"/>
                <w:sz w:val="24"/>
                <w:szCs w:val="24"/>
                <w:highlight w:val="none"/>
                <w:lang w:val="en-US" w:eastAsia="zh-CN"/>
              </w:rPr>
              <w:t>再生</w:t>
            </w:r>
            <w:r>
              <w:rPr>
                <w:rFonts w:hint="default" w:ascii="Times New Roman" w:hAnsi="Times New Roman" w:eastAsia="宋体" w:cs="Times New Roman"/>
                <w:b w:val="0"/>
                <w:bCs w:val="0"/>
                <w:color w:val="auto"/>
                <w:sz w:val="24"/>
                <w:szCs w:val="24"/>
                <w:highlight w:val="none"/>
                <w:lang w:val="en-US" w:eastAsia="zh-CN"/>
              </w:rPr>
              <w:t>利用类一般固废和不可</w:t>
            </w:r>
            <w:r>
              <w:rPr>
                <w:rFonts w:hint="eastAsia" w:cs="Times New Roman"/>
                <w:b w:val="0"/>
                <w:bCs w:val="0"/>
                <w:color w:val="auto"/>
                <w:sz w:val="24"/>
                <w:szCs w:val="24"/>
                <w:highlight w:val="none"/>
                <w:lang w:val="en-US" w:eastAsia="zh-CN"/>
              </w:rPr>
              <w:t>再生</w:t>
            </w:r>
            <w:r>
              <w:rPr>
                <w:rFonts w:hint="default" w:ascii="Times New Roman" w:hAnsi="Times New Roman" w:eastAsia="宋体" w:cs="Times New Roman"/>
                <w:b w:val="0"/>
                <w:bCs w:val="0"/>
                <w:color w:val="auto"/>
                <w:sz w:val="24"/>
                <w:szCs w:val="24"/>
                <w:highlight w:val="none"/>
                <w:lang w:val="en-US" w:eastAsia="zh-CN"/>
              </w:rPr>
              <w:t>利用类</w:t>
            </w:r>
            <w:r>
              <w:rPr>
                <w:rFonts w:hint="eastAsia" w:cs="Times New Roman"/>
                <w:b w:val="0"/>
                <w:bCs w:val="0"/>
                <w:color w:val="auto"/>
                <w:sz w:val="24"/>
                <w:szCs w:val="24"/>
                <w:highlight w:val="none"/>
                <w:lang w:val="en-US" w:eastAsia="zh-CN"/>
              </w:rPr>
              <w:t>固废，主要为皮革、沙石等杂质。类比同类企业（曜鼎环能科技（淮安）有限公司），收集原料的可利用比例如下表所示，则</w:t>
            </w:r>
            <w:r>
              <w:rPr>
                <w:rFonts w:hint="default" w:ascii="Times New Roman" w:hAnsi="Times New Roman" w:eastAsia="宋体" w:cs="Times New Roman"/>
                <w:b w:val="0"/>
                <w:bCs w:val="0"/>
                <w:color w:val="auto"/>
                <w:sz w:val="24"/>
                <w:szCs w:val="24"/>
                <w:highlight w:val="none"/>
                <w:lang w:val="en-US" w:eastAsia="zh-CN"/>
              </w:rPr>
              <w:t>不可</w:t>
            </w:r>
            <w:r>
              <w:rPr>
                <w:rFonts w:hint="eastAsia" w:cs="Times New Roman"/>
                <w:b w:val="0"/>
                <w:bCs w:val="0"/>
                <w:color w:val="auto"/>
                <w:sz w:val="24"/>
                <w:szCs w:val="24"/>
                <w:highlight w:val="none"/>
                <w:lang w:val="en-US" w:eastAsia="zh-CN"/>
              </w:rPr>
              <w:t>再生</w:t>
            </w:r>
            <w:r>
              <w:rPr>
                <w:rFonts w:hint="default" w:ascii="Times New Roman" w:hAnsi="Times New Roman" w:eastAsia="宋体" w:cs="Times New Roman"/>
                <w:b w:val="0"/>
                <w:bCs w:val="0"/>
                <w:color w:val="auto"/>
                <w:sz w:val="24"/>
                <w:szCs w:val="24"/>
                <w:highlight w:val="none"/>
                <w:lang w:val="en-US" w:eastAsia="zh-CN"/>
              </w:rPr>
              <w:t>利用类</w:t>
            </w:r>
            <w:r>
              <w:rPr>
                <w:rFonts w:hint="eastAsia" w:cs="Times New Roman"/>
                <w:b w:val="0"/>
                <w:bCs w:val="0"/>
                <w:color w:val="auto"/>
                <w:sz w:val="24"/>
                <w:szCs w:val="24"/>
                <w:highlight w:val="none"/>
                <w:lang w:val="en-US" w:eastAsia="zh-CN"/>
              </w:rPr>
              <w:t>固废产生量为3285 t/a。</w:t>
            </w:r>
            <w:r>
              <w:rPr>
                <w:rFonts w:hint="default" w:ascii="Times New Roman" w:hAnsi="Times New Roman" w:eastAsia="宋体" w:cs="Times New Roman"/>
                <w:b w:val="0"/>
                <w:bCs w:val="0"/>
                <w:color w:val="auto"/>
                <w:sz w:val="24"/>
                <w:szCs w:val="24"/>
                <w:highlight w:val="none"/>
                <w:lang w:val="en-US" w:eastAsia="zh-CN"/>
              </w:rPr>
              <w:t>不可</w:t>
            </w:r>
            <w:r>
              <w:rPr>
                <w:rFonts w:hint="eastAsia" w:cs="Times New Roman"/>
                <w:b w:val="0"/>
                <w:bCs w:val="0"/>
                <w:color w:val="auto"/>
                <w:sz w:val="24"/>
                <w:szCs w:val="24"/>
                <w:highlight w:val="none"/>
                <w:lang w:val="en-US" w:eastAsia="zh-CN"/>
              </w:rPr>
              <w:t>再生</w:t>
            </w:r>
            <w:r>
              <w:rPr>
                <w:rFonts w:hint="default" w:ascii="Times New Roman" w:hAnsi="Times New Roman" w:eastAsia="宋体" w:cs="Times New Roman"/>
                <w:b w:val="0"/>
                <w:bCs w:val="0"/>
                <w:color w:val="auto"/>
                <w:sz w:val="24"/>
                <w:szCs w:val="24"/>
                <w:highlight w:val="none"/>
                <w:lang w:val="en-US" w:eastAsia="zh-CN"/>
              </w:rPr>
              <w:t>利用类</w:t>
            </w:r>
            <w:r>
              <w:rPr>
                <w:rFonts w:hint="eastAsia" w:cs="Times New Roman"/>
                <w:b w:val="0"/>
                <w:bCs w:val="0"/>
                <w:color w:val="auto"/>
                <w:sz w:val="24"/>
                <w:szCs w:val="24"/>
                <w:highlight w:val="none"/>
                <w:lang w:val="en-US" w:eastAsia="zh-CN"/>
              </w:rPr>
              <w:t>固废属于SW59（900-099-S59）</w:t>
            </w:r>
          </w:p>
          <w:p w14:paraId="238B51C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cs="Times New Roman"/>
                <w:b w:val="0"/>
                <w:bCs w:val="0"/>
                <w:color w:val="auto"/>
                <w:sz w:val="24"/>
                <w:szCs w:val="24"/>
                <w:highlight w:val="none"/>
                <w:lang w:val="en-US" w:eastAsia="zh-CN"/>
              </w:rPr>
            </w:pPr>
            <w:r>
              <w:rPr>
                <w:rFonts w:hint="default" w:ascii="Times New Roman" w:hAnsi="Times New Roman" w:eastAsia="宋体" w:cs="Times New Roman"/>
                <w:b/>
                <w:bCs/>
                <w:color w:val="auto"/>
                <w:kern w:val="2"/>
                <w:sz w:val="21"/>
                <w:szCs w:val="21"/>
                <w:highlight w:val="none"/>
                <w:lang w:val="en-US" w:eastAsia="zh-CN" w:bidi="ar-SA"/>
              </w:rPr>
              <w:t>表4-</w:t>
            </w:r>
            <w:r>
              <w:rPr>
                <w:rFonts w:hint="eastAsia" w:cs="Times New Roman"/>
                <w:b/>
                <w:bCs/>
                <w:color w:val="auto"/>
                <w:kern w:val="2"/>
                <w:sz w:val="21"/>
                <w:szCs w:val="21"/>
                <w:highlight w:val="none"/>
                <w:lang w:val="en-US" w:eastAsia="zh-CN" w:bidi="ar-SA"/>
              </w:rPr>
              <w:t>9</w:t>
            </w:r>
            <w:r>
              <w:rPr>
                <w:rFonts w:hint="eastAsia" w:ascii="Times New Roman" w:hAnsi="Times New Roman" w:cs="Times New Roman"/>
                <w:b/>
                <w:bCs/>
                <w:color w:val="auto"/>
                <w:kern w:val="2"/>
                <w:sz w:val="21"/>
                <w:szCs w:val="21"/>
                <w:highlight w:val="none"/>
                <w:lang w:val="en-US" w:eastAsia="zh-CN" w:bidi="ar-SA"/>
              </w:rPr>
              <w:t>原料</w:t>
            </w:r>
            <w:r>
              <w:rPr>
                <w:rFonts w:hint="eastAsia" w:cs="Times New Roman"/>
                <w:b/>
                <w:bCs/>
                <w:color w:val="auto"/>
                <w:kern w:val="2"/>
                <w:sz w:val="21"/>
                <w:szCs w:val="21"/>
                <w:highlight w:val="none"/>
                <w:lang w:val="en-US" w:eastAsia="zh-CN" w:bidi="ar-SA"/>
              </w:rPr>
              <w:t>回收</w:t>
            </w:r>
            <w:r>
              <w:rPr>
                <w:rFonts w:hint="eastAsia" w:ascii="Times New Roman" w:hAnsi="Times New Roman" w:cs="Times New Roman"/>
                <w:b/>
                <w:bCs/>
                <w:color w:val="auto"/>
                <w:kern w:val="2"/>
                <w:sz w:val="21"/>
                <w:szCs w:val="21"/>
                <w:highlight w:val="none"/>
                <w:lang w:val="en-US" w:eastAsia="zh-CN" w:bidi="ar-SA"/>
              </w:rPr>
              <w:t>比例</w:t>
            </w:r>
          </w:p>
          <w:tbl>
            <w:tblPr>
              <w:tblStyle w:val="4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1331"/>
              <w:gridCol w:w="1924"/>
              <w:gridCol w:w="1176"/>
              <w:gridCol w:w="1282"/>
              <w:gridCol w:w="2349"/>
            </w:tblGrid>
            <w:tr w14:paraId="39348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 w:type="pct"/>
                  <w:vAlign w:val="center"/>
                </w:tcPr>
                <w:p w14:paraId="64F1E6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序号</w:t>
                  </w:r>
                </w:p>
              </w:tc>
              <w:tc>
                <w:tcPr>
                  <w:tcW w:w="764" w:type="pct"/>
                  <w:vAlign w:val="center"/>
                </w:tcPr>
                <w:p w14:paraId="62991D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废物代码</w:t>
                  </w:r>
                </w:p>
              </w:tc>
              <w:tc>
                <w:tcPr>
                  <w:tcW w:w="1104" w:type="pct"/>
                  <w:vAlign w:val="center"/>
                </w:tcPr>
                <w:p w14:paraId="6B8E59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废物名称</w:t>
                  </w:r>
                </w:p>
              </w:tc>
              <w:tc>
                <w:tcPr>
                  <w:tcW w:w="675" w:type="pct"/>
                  <w:vAlign w:val="center"/>
                </w:tcPr>
                <w:p w14:paraId="156636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接收量 t/a</w:t>
                  </w:r>
                </w:p>
              </w:tc>
              <w:tc>
                <w:tcPr>
                  <w:tcW w:w="736" w:type="pct"/>
                  <w:vAlign w:val="center"/>
                </w:tcPr>
                <w:p w14:paraId="0F8CD3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可回收比例</w:t>
                  </w:r>
                </w:p>
              </w:tc>
              <w:tc>
                <w:tcPr>
                  <w:tcW w:w="1349" w:type="pct"/>
                  <w:vAlign w:val="center"/>
                </w:tcPr>
                <w:p w14:paraId="2A6172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不可回收利用类一般固废 t/a</w:t>
                  </w:r>
                </w:p>
              </w:tc>
            </w:tr>
            <w:tr w14:paraId="5FC2C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 w:type="pct"/>
                  <w:vAlign w:val="center"/>
                </w:tcPr>
                <w:p w14:paraId="58E73D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1</w:t>
                  </w:r>
                </w:p>
              </w:tc>
              <w:tc>
                <w:tcPr>
                  <w:tcW w:w="764" w:type="pct"/>
                  <w:vAlign w:val="center"/>
                </w:tcPr>
                <w:p w14:paraId="0FAFBF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900-001-S17</w:t>
                  </w:r>
                </w:p>
              </w:tc>
              <w:tc>
                <w:tcPr>
                  <w:tcW w:w="1104" w:type="pct"/>
                  <w:vAlign w:val="center"/>
                </w:tcPr>
                <w:p w14:paraId="3E833B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eastAsia="宋体"/>
                      <w:color w:val="auto"/>
                      <w:kern w:val="21"/>
                      <w:sz w:val="21"/>
                      <w:szCs w:val="21"/>
                      <w:lang w:val="en-US" w:eastAsia="zh-CN"/>
                    </w:rPr>
                    <w:t>废钢铁</w:t>
                  </w:r>
                </w:p>
              </w:tc>
              <w:tc>
                <w:tcPr>
                  <w:tcW w:w="675" w:type="pct"/>
                  <w:vAlign w:val="center"/>
                </w:tcPr>
                <w:p w14:paraId="6E734C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eastAsia="宋体"/>
                      <w:color w:val="auto"/>
                      <w:kern w:val="0"/>
                      <w:sz w:val="21"/>
                      <w:szCs w:val="21"/>
                      <w:lang w:val="en-US" w:eastAsia="zh-CN"/>
                    </w:rPr>
                    <w:t>5000</w:t>
                  </w:r>
                </w:p>
              </w:tc>
              <w:tc>
                <w:tcPr>
                  <w:tcW w:w="736" w:type="pct"/>
                  <w:vAlign w:val="center"/>
                </w:tcPr>
                <w:p w14:paraId="791DA6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color w:val="auto"/>
                      <w:kern w:val="0"/>
                      <w:sz w:val="21"/>
                      <w:szCs w:val="21"/>
                      <w:lang w:val="en-US" w:eastAsia="zh-CN"/>
                    </w:rPr>
                    <w:t>98%</w:t>
                  </w:r>
                </w:p>
              </w:tc>
              <w:tc>
                <w:tcPr>
                  <w:tcW w:w="1349" w:type="pct"/>
                  <w:vAlign w:val="center"/>
                </w:tcPr>
                <w:p w14:paraId="3F4EDC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color w:val="auto"/>
                      <w:kern w:val="0"/>
                      <w:sz w:val="21"/>
                      <w:szCs w:val="21"/>
                      <w:lang w:val="en-US" w:eastAsia="zh-CN"/>
                    </w:rPr>
                    <w:t>100</w:t>
                  </w:r>
                </w:p>
              </w:tc>
            </w:tr>
            <w:tr w14:paraId="49F0A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 w:type="pct"/>
                  <w:vAlign w:val="center"/>
                </w:tcPr>
                <w:p w14:paraId="25C64F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2</w:t>
                  </w:r>
                </w:p>
              </w:tc>
              <w:tc>
                <w:tcPr>
                  <w:tcW w:w="764" w:type="pct"/>
                  <w:vAlign w:val="center"/>
                </w:tcPr>
                <w:p w14:paraId="04956F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color w:val="auto"/>
                      <w:sz w:val="21"/>
                      <w:szCs w:val="21"/>
                      <w:vertAlign w:val="baseline"/>
                      <w:lang w:val="en-US" w:eastAsia="zh-CN"/>
                    </w:rPr>
                    <w:t>900-002-S17</w:t>
                  </w:r>
                </w:p>
              </w:tc>
              <w:tc>
                <w:tcPr>
                  <w:tcW w:w="1104" w:type="pct"/>
                  <w:vAlign w:val="center"/>
                </w:tcPr>
                <w:p w14:paraId="7B5867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eastAsia="宋体"/>
                      <w:color w:val="auto"/>
                      <w:sz w:val="21"/>
                      <w:szCs w:val="21"/>
                      <w:lang w:val="en-US" w:eastAsia="zh-CN"/>
                    </w:rPr>
                    <w:t>废有色金属</w:t>
                  </w:r>
                </w:p>
              </w:tc>
              <w:tc>
                <w:tcPr>
                  <w:tcW w:w="675" w:type="pct"/>
                  <w:vAlign w:val="center"/>
                </w:tcPr>
                <w:p w14:paraId="35AA56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eastAsia="宋体"/>
                      <w:color w:val="auto"/>
                      <w:kern w:val="0"/>
                      <w:sz w:val="21"/>
                      <w:szCs w:val="21"/>
                      <w:lang w:val="en-US" w:eastAsia="zh-CN"/>
                    </w:rPr>
                    <w:t>2000</w:t>
                  </w:r>
                </w:p>
              </w:tc>
              <w:tc>
                <w:tcPr>
                  <w:tcW w:w="736" w:type="pct"/>
                  <w:vAlign w:val="center"/>
                </w:tcPr>
                <w:p w14:paraId="310420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color w:val="auto"/>
                      <w:kern w:val="0"/>
                      <w:sz w:val="21"/>
                      <w:szCs w:val="21"/>
                      <w:lang w:val="en-US" w:eastAsia="zh-CN"/>
                    </w:rPr>
                    <w:t>99%</w:t>
                  </w:r>
                </w:p>
              </w:tc>
              <w:tc>
                <w:tcPr>
                  <w:tcW w:w="1349" w:type="pct"/>
                  <w:vAlign w:val="center"/>
                </w:tcPr>
                <w:p w14:paraId="664508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color w:val="auto"/>
                      <w:kern w:val="0"/>
                      <w:sz w:val="21"/>
                      <w:szCs w:val="21"/>
                      <w:lang w:val="en-US" w:eastAsia="zh-CN"/>
                    </w:rPr>
                    <w:t>20</w:t>
                  </w:r>
                </w:p>
              </w:tc>
            </w:tr>
            <w:tr w14:paraId="4AD0A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 w:type="pct"/>
                  <w:vAlign w:val="center"/>
                </w:tcPr>
                <w:p w14:paraId="440EFA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3</w:t>
                  </w:r>
                </w:p>
              </w:tc>
              <w:tc>
                <w:tcPr>
                  <w:tcW w:w="764" w:type="pct"/>
                  <w:vAlign w:val="center"/>
                </w:tcPr>
                <w:p w14:paraId="45D87F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color w:val="auto"/>
                      <w:sz w:val="21"/>
                      <w:szCs w:val="21"/>
                      <w:vertAlign w:val="baseline"/>
                      <w:lang w:val="en-US" w:eastAsia="zh-CN"/>
                    </w:rPr>
                    <w:t>900-003-S17</w:t>
                  </w:r>
                </w:p>
              </w:tc>
              <w:tc>
                <w:tcPr>
                  <w:tcW w:w="1104" w:type="pct"/>
                  <w:vAlign w:val="center"/>
                </w:tcPr>
                <w:p w14:paraId="6CFA0F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eastAsia="宋体"/>
                      <w:color w:val="auto"/>
                      <w:sz w:val="21"/>
                      <w:szCs w:val="21"/>
                      <w:lang w:val="en-US" w:eastAsia="zh-CN"/>
                    </w:rPr>
                    <w:t>废塑料</w:t>
                  </w:r>
                </w:p>
              </w:tc>
              <w:tc>
                <w:tcPr>
                  <w:tcW w:w="675" w:type="pct"/>
                  <w:vAlign w:val="center"/>
                </w:tcPr>
                <w:p w14:paraId="49151B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eastAsia="宋体"/>
                      <w:color w:val="auto"/>
                      <w:kern w:val="0"/>
                      <w:sz w:val="21"/>
                      <w:szCs w:val="21"/>
                      <w:lang w:val="en-US" w:eastAsia="zh-CN"/>
                    </w:rPr>
                    <w:t>3000</w:t>
                  </w:r>
                </w:p>
              </w:tc>
              <w:tc>
                <w:tcPr>
                  <w:tcW w:w="736" w:type="pct"/>
                  <w:vAlign w:val="center"/>
                </w:tcPr>
                <w:p w14:paraId="6F43AC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color w:val="auto"/>
                      <w:kern w:val="0"/>
                      <w:sz w:val="21"/>
                      <w:szCs w:val="21"/>
                      <w:lang w:val="en-US" w:eastAsia="zh-CN"/>
                    </w:rPr>
                    <w:t>99%</w:t>
                  </w:r>
                </w:p>
              </w:tc>
              <w:tc>
                <w:tcPr>
                  <w:tcW w:w="1349" w:type="pct"/>
                  <w:vAlign w:val="center"/>
                </w:tcPr>
                <w:p w14:paraId="11E056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color w:val="auto"/>
                      <w:kern w:val="0"/>
                      <w:sz w:val="21"/>
                      <w:szCs w:val="21"/>
                      <w:lang w:val="en-US" w:eastAsia="zh-CN"/>
                    </w:rPr>
                    <w:t>30</w:t>
                  </w:r>
                </w:p>
              </w:tc>
            </w:tr>
            <w:tr w14:paraId="367CF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 w:type="pct"/>
                  <w:vAlign w:val="center"/>
                </w:tcPr>
                <w:p w14:paraId="2D5D52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4</w:t>
                  </w:r>
                </w:p>
              </w:tc>
              <w:tc>
                <w:tcPr>
                  <w:tcW w:w="764" w:type="pct"/>
                  <w:vAlign w:val="center"/>
                </w:tcPr>
                <w:p w14:paraId="268B44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color w:val="auto"/>
                      <w:sz w:val="21"/>
                      <w:szCs w:val="21"/>
                      <w:vertAlign w:val="baseline"/>
                      <w:lang w:val="en-US" w:eastAsia="zh-CN"/>
                    </w:rPr>
                    <w:t>900-004-S17</w:t>
                  </w:r>
                </w:p>
              </w:tc>
              <w:tc>
                <w:tcPr>
                  <w:tcW w:w="1104" w:type="pct"/>
                  <w:vAlign w:val="center"/>
                </w:tcPr>
                <w:p w14:paraId="7F0EA5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eastAsia="宋体"/>
                      <w:color w:val="auto"/>
                      <w:sz w:val="21"/>
                      <w:szCs w:val="21"/>
                      <w:lang w:val="en-US" w:eastAsia="zh-CN"/>
                    </w:rPr>
                    <w:t>废玻璃</w:t>
                  </w:r>
                </w:p>
              </w:tc>
              <w:tc>
                <w:tcPr>
                  <w:tcW w:w="675" w:type="pct"/>
                  <w:vAlign w:val="center"/>
                </w:tcPr>
                <w:p w14:paraId="22B090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eastAsia="宋体"/>
                      <w:color w:val="auto"/>
                      <w:kern w:val="0"/>
                      <w:sz w:val="21"/>
                      <w:szCs w:val="21"/>
                      <w:lang w:val="en-US" w:eastAsia="zh-CN"/>
                    </w:rPr>
                    <w:t>4000</w:t>
                  </w:r>
                </w:p>
              </w:tc>
              <w:tc>
                <w:tcPr>
                  <w:tcW w:w="736" w:type="pct"/>
                  <w:vAlign w:val="center"/>
                </w:tcPr>
                <w:p w14:paraId="172751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color w:val="auto"/>
                      <w:kern w:val="0"/>
                      <w:sz w:val="21"/>
                      <w:szCs w:val="21"/>
                      <w:lang w:val="en-US" w:eastAsia="zh-CN"/>
                    </w:rPr>
                    <w:t>99%</w:t>
                  </w:r>
                </w:p>
              </w:tc>
              <w:tc>
                <w:tcPr>
                  <w:tcW w:w="1349" w:type="pct"/>
                  <w:vAlign w:val="center"/>
                </w:tcPr>
                <w:p w14:paraId="1C9933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color w:val="auto"/>
                      <w:kern w:val="0"/>
                      <w:sz w:val="21"/>
                      <w:szCs w:val="21"/>
                      <w:lang w:val="en-US" w:eastAsia="zh-CN"/>
                    </w:rPr>
                    <w:t>40</w:t>
                  </w:r>
                </w:p>
              </w:tc>
            </w:tr>
            <w:tr w14:paraId="652FC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 w:type="pct"/>
                  <w:vAlign w:val="center"/>
                </w:tcPr>
                <w:p w14:paraId="4566D1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5</w:t>
                  </w:r>
                </w:p>
              </w:tc>
              <w:tc>
                <w:tcPr>
                  <w:tcW w:w="764" w:type="pct"/>
                  <w:vAlign w:val="center"/>
                </w:tcPr>
                <w:p w14:paraId="37C830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color w:val="auto"/>
                      <w:sz w:val="21"/>
                      <w:szCs w:val="21"/>
                      <w:vertAlign w:val="baseline"/>
                      <w:lang w:val="en-US" w:eastAsia="zh-CN"/>
                    </w:rPr>
                    <w:t>900-005-S17</w:t>
                  </w:r>
                </w:p>
              </w:tc>
              <w:tc>
                <w:tcPr>
                  <w:tcW w:w="1104" w:type="pct"/>
                  <w:vAlign w:val="center"/>
                </w:tcPr>
                <w:p w14:paraId="7D6ED8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color w:val="auto"/>
                      <w:sz w:val="21"/>
                      <w:szCs w:val="21"/>
                      <w:lang w:val="en-US" w:eastAsia="zh-CN"/>
                    </w:rPr>
                    <w:t>废纸</w:t>
                  </w:r>
                </w:p>
              </w:tc>
              <w:tc>
                <w:tcPr>
                  <w:tcW w:w="675" w:type="pct"/>
                  <w:vAlign w:val="center"/>
                </w:tcPr>
                <w:p w14:paraId="10C180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eastAsia="宋体"/>
                      <w:color w:val="auto"/>
                      <w:kern w:val="0"/>
                      <w:sz w:val="21"/>
                      <w:szCs w:val="21"/>
                      <w:lang w:val="en-US" w:eastAsia="zh-CN"/>
                    </w:rPr>
                    <w:t>3000</w:t>
                  </w:r>
                </w:p>
              </w:tc>
              <w:tc>
                <w:tcPr>
                  <w:tcW w:w="736" w:type="pct"/>
                  <w:vAlign w:val="center"/>
                </w:tcPr>
                <w:p w14:paraId="2379B6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color w:val="auto"/>
                      <w:kern w:val="0"/>
                      <w:sz w:val="21"/>
                      <w:szCs w:val="21"/>
                      <w:lang w:val="en-US" w:eastAsia="zh-CN"/>
                    </w:rPr>
                    <w:t>99%</w:t>
                  </w:r>
                </w:p>
              </w:tc>
              <w:tc>
                <w:tcPr>
                  <w:tcW w:w="1349" w:type="pct"/>
                  <w:vAlign w:val="center"/>
                </w:tcPr>
                <w:p w14:paraId="755465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color w:val="auto"/>
                      <w:kern w:val="0"/>
                      <w:sz w:val="21"/>
                      <w:szCs w:val="21"/>
                      <w:lang w:val="en-US" w:eastAsia="zh-CN"/>
                    </w:rPr>
                    <w:t>30</w:t>
                  </w:r>
                </w:p>
              </w:tc>
            </w:tr>
            <w:tr w14:paraId="7D87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 w:type="pct"/>
                  <w:vAlign w:val="center"/>
                </w:tcPr>
                <w:p w14:paraId="4B8928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6</w:t>
                  </w:r>
                </w:p>
              </w:tc>
              <w:tc>
                <w:tcPr>
                  <w:tcW w:w="764" w:type="pct"/>
                  <w:vAlign w:val="center"/>
                </w:tcPr>
                <w:p w14:paraId="46C516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color w:val="auto"/>
                      <w:sz w:val="21"/>
                      <w:szCs w:val="21"/>
                      <w:vertAlign w:val="baseline"/>
                      <w:lang w:val="en-US" w:eastAsia="zh-CN"/>
                    </w:rPr>
                    <w:t>900-006-S17</w:t>
                  </w:r>
                </w:p>
              </w:tc>
              <w:tc>
                <w:tcPr>
                  <w:tcW w:w="1104" w:type="pct"/>
                  <w:vAlign w:val="center"/>
                </w:tcPr>
                <w:p w14:paraId="43198D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color w:val="auto"/>
                      <w:sz w:val="21"/>
                      <w:szCs w:val="21"/>
                      <w:lang w:val="en-US" w:eastAsia="zh-CN"/>
                    </w:rPr>
                    <w:t>废橡胶</w:t>
                  </w:r>
                </w:p>
              </w:tc>
              <w:tc>
                <w:tcPr>
                  <w:tcW w:w="675" w:type="pct"/>
                  <w:vAlign w:val="center"/>
                </w:tcPr>
                <w:p w14:paraId="545344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eastAsia="宋体"/>
                      <w:color w:val="auto"/>
                      <w:kern w:val="0"/>
                      <w:sz w:val="21"/>
                      <w:szCs w:val="21"/>
                      <w:lang w:val="en-US" w:eastAsia="zh-CN"/>
                    </w:rPr>
                    <w:t>3000</w:t>
                  </w:r>
                </w:p>
              </w:tc>
              <w:tc>
                <w:tcPr>
                  <w:tcW w:w="736" w:type="pct"/>
                  <w:vAlign w:val="center"/>
                </w:tcPr>
                <w:p w14:paraId="1599E4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color w:val="auto"/>
                      <w:kern w:val="0"/>
                      <w:sz w:val="21"/>
                      <w:szCs w:val="21"/>
                      <w:lang w:val="en-US" w:eastAsia="zh-CN"/>
                    </w:rPr>
                    <w:t>96%</w:t>
                  </w:r>
                </w:p>
              </w:tc>
              <w:tc>
                <w:tcPr>
                  <w:tcW w:w="1349" w:type="pct"/>
                  <w:vAlign w:val="center"/>
                </w:tcPr>
                <w:p w14:paraId="361202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color w:val="auto"/>
                      <w:kern w:val="0"/>
                      <w:sz w:val="21"/>
                      <w:szCs w:val="21"/>
                      <w:lang w:val="en-US" w:eastAsia="zh-CN"/>
                    </w:rPr>
                    <w:t>120</w:t>
                  </w:r>
                </w:p>
              </w:tc>
            </w:tr>
            <w:tr w14:paraId="71524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 w:type="pct"/>
                  <w:vAlign w:val="center"/>
                </w:tcPr>
                <w:p w14:paraId="0E6F1F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7</w:t>
                  </w:r>
                </w:p>
              </w:tc>
              <w:tc>
                <w:tcPr>
                  <w:tcW w:w="764" w:type="pct"/>
                  <w:vAlign w:val="center"/>
                </w:tcPr>
                <w:p w14:paraId="26BF78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color w:val="auto"/>
                      <w:sz w:val="21"/>
                      <w:szCs w:val="21"/>
                      <w:vertAlign w:val="baseline"/>
                      <w:lang w:val="en-US" w:eastAsia="zh-CN"/>
                    </w:rPr>
                    <w:t>900-007-S17</w:t>
                  </w:r>
                </w:p>
              </w:tc>
              <w:tc>
                <w:tcPr>
                  <w:tcW w:w="1104" w:type="pct"/>
                  <w:vAlign w:val="center"/>
                </w:tcPr>
                <w:p w14:paraId="63F4E5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color w:val="auto"/>
                      <w:sz w:val="21"/>
                      <w:szCs w:val="21"/>
                      <w:lang w:val="en-US" w:eastAsia="zh-CN"/>
                    </w:rPr>
                    <w:t>废纺织品</w:t>
                  </w:r>
                </w:p>
              </w:tc>
              <w:tc>
                <w:tcPr>
                  <w:tcW w:w="675" w:type="pct"/>
                  <w:vAlign w:val="center"/>
                </w:tcPr>
                <w:p w14:paraId="3FD670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eastAsia="宋体"/>
                      <w:color w:val="auto"/>
                      <w:kern w:val="0"/>
                      <w:sz w:val="21"/>
                      <w:szCs w:val="21"/>
                      <w:lang w:val="en-US" w:eastAsia="zh-CN"/>
                    </w:rPr>
                    <w:t>2000</w:t>
                  </w:r>
                </w:p>
              </w:tc>
              <w:tc>
                <w:tcPr>
                  <w:tcW w:w="736" w:type="pct"/>
                  <w:vAlign w:val="center"/>
                </w:tcPr>
                <w:p w14:paraId="2D75E7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color w:val="auto"/>
                      <w:kern w:val="0"/>
                      <w:sz w:val="21"/>
                      <w:szCs w:val="21"/>
                      <w:lang w:val="en-US" w:eastAsia="zh-CN"/>
                    </w:rPr>
                    <w:t>95%</w:t>
                  </w:r>
                </w:p>
              </w:tc>
              <w:tc>
                <w:tcPr>
                  <w:tcW w:w="1349" w:type="pct"/>
                  <w:vAlign w:val="center"/>
                </w:tcPr>
                <w:p w14:paraId="7FAA93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color w:val="auto"/>
                      <w:kern w:val="0"/>
                      <w:sz w:val="21"/>
                      <w:szCs w:val="21"/>
                      <w:lang w:val="en-US" w:eastAsia="zh-CN"/>
                    </w:rPr>
                    <w:t>100</w:t>
                  </w:r>
                </w:p>
              </w:tc>
            </w:tr>
            <w:tr w14:paraId="2FCA4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 w:type="pct"/>
                  <w:vAlign w:val="center"/>
                </w:tcPr>
                <w:p w14:paraId="3B909C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8</w:t>
                  </w:r>
                </w:p>
              </w:tc>
              <w:tc>
                <w:tcPr>
                  <w:tcW w:w="764" w:type="pct"/>
                  <w:vAlign w:val="center"/>
                </w:tcPr>
                <w:p w14:paraId="7E4AC8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color w:val="auto"/>
                      <w:sz w:val="21"/>
                      <w:szCs w:val="21"/>
                      <w:vertAlign w:val="baseline"/>
                      <w:lang w:val="en-US" w:eastAsia="zh-CN"/>
                    </w:rPr>
                    <w:t>900-009-S17</w:t>
                  </w:r>
                </w:p>
              </w:tc>
              <w:tc>
                <w:tcPr>
                  <w:tcW w:w="1104" w:type="pct"/>
                  <w:vAlign w:val="center"/>
                </w:tcPr>
                <w:p w14:paraId="4840A4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 w:val="21"/>
                      <w:szCs w:val="21"/>
                      <w:lang w:val="en-US" w:eastAsia="zh-CN"/>
                    </w:rPr>
                  </w:pPr>
                  <w:r>
                    <w:rPr>
                      <w:rFonts w:hint="eastAsia"/>
                      <w:color w:val="auto"/>
                      <w:sz w:val="21"/>
                      <w:szCs w:val="21"/>
                      <w:lang w:val="en-US" w:eastAsia="zh-CN"/>
                    </w:rPr>
                    <w:t>废木材</w:t>
                  </w:r>
                </w:p>
              </w:tc>
              <w:tc>
                <w:tcPr>
                  <w:tcW w:w="675" w:type="pct"/>
                  <w:vAlign w:val="center"/>
                </w:tcPr>
                <w:p w14:paraId="4B977D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eastAsia="宋体"/>
                      <w:color w:val="auto"/>
                      <w:kern w:val="0"/>
                      <w:sz w:val="21"/>
                      <w:szCs w:val="21"/>
                      <w:lang w:val="en-US" w:eastAsia="zh-CN"/>
                    </w:rPr>
                    <w:t>1000</w:t>
                  </w:r>
                </w:p>
              </w:tc>
              <w:tc>
                <w:tcPr>
                  <w:tcW w:w="736" w:type="pct"/>
                  <w:vAlign w:val="center"/>
                </w:tcPr>
                <w:p w14:paraId="6EC3A3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color w:val="auto"/>
                      <w:kern w:val="0"/>
                      <w:sz w:val="21"/>
                      <w:szCs w:val="21"/>
                      <w:lang w:val="en-US" w:eastAsia="zh-CN"/>
                    </w:rPr>
                    <w:t>98%</w:t>
                  </w:r>
                </w:p>
              </w:tc>
              <w:tc>
                <w:tcPr>
                  <w:tcW w:w="1349" w:type="pct"/>
                  <w:vAlign w:val="center"/>
                </w:tcPr>
                <w:p w14:paraId="73B0E3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color w:val="auto"/>
                      <w:kern w:val="0"/>
                      <w:sz w:val="21"/>
                      <w:szCs w:val="21"/>
                      <w:lang w:val="en-US" w:eastAsia="zh-CN"/>
                    </w:rPr>
                    <w:t>20</w:t>
                  </w:r>
                </w:p>
              </w:tc>
            </w:tr>
            <w:tr w14:paraId="178EE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 w:type="pct"/>
                  <w:vAlign w:val="center"/>
                </w:tcPr>
                <w:p w14:paraId="77ACDF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9</w:t>
                  </w:r>
                </w:p>
              </w:tc>
              <w:tc>
                <w:tcPr>
                  <w:tcW w:w="764" w:type="pct"/>
                  <w:vAlign w:val="center"/>
                </w:tcPr>
                <w:p w14:paraId="592FD1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lang w:val="en-US"/>
                    </w:rPr>
                  </w:pPr>
                  <w:r>
                    <w:rPr>
                      <w:rFonts w:hint="eastAsia"/>
                      <w:color w:val="auto"/>
                      <w:sz w:val="21"/>
                      <w:szCs w:val="21"/>
                      <w:vertAlign w:val="baseline"/>
                      <w:lang w:val="en-US" w:eastAsia="zh-CN"/>
                    </w:rPr>
                    <w:t>900-099-S59</w:t>
                  </w:r>
                </w:p>
              </w:tc>
              <w:tc>
                <w:tcPr>
                  <w:tcW w:w="1104" w:type="pct"/>
                  <w:vAlign w:val="center"/>
                </w:tcPr>
                <w:p w14:paraId="081B25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 w:val="21"/>
                      <w:szCs w:val="21"/>
                      <w:lang w:val="en-US" w:eastAsia="zh-CN"/>
                    </w:rPr>
                  </w:pPr>
                  <w:r>
                    <w:rPr>
                      <w:rFonts w:hint="eastAsia"/>
                      <w:color w:val="auto"/>
                      <w:sz w:val="21"/>
                      <w:szCs w:val="21"/>
                      <w:lang w:val="en-US" w:eastAsia="zh-CN"/>
                    </w:rPr>
                    <w:t>其他固体废物</w:t>
                  </w:r>
                </w:p>
              </w:tc>
              <w:tc>
                <w:tcPr>
                  <w:tcW w:w="675" w:type="pct"/>
                  <w:vAlign w:val="center"/>
                </w:tcPr>
                <w:p w14:paraId="316754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rPr>
                  </w:pPr>
                  <w:r>
                    <w:rPr>
                      <w:rFonts w:hint="eastAsia" w:eastAsia="宋体"/>
                      <w:color w:val="auto"/>
                      <w:kern w:val="0"/>
                      <w:sz w:val="21"/>
                      <w:szCs w:val="21"/>
                      <w:lang w:val="en-US" w:eastAsia="zh-CN"/>
                    </w:rPr>
                    <w:t>5</w:t>
                  </w:r>
                  <w:r>
                    <w:rPr>
                      <w:rFonts w:hint="eastAsia"/>
                      <w:color w:val="auto"/>
                      <w:kern w:val="0"/>
                      <w:sz w:val="21"/>
                      <w:szCs w:val="21"/>
                      <w:lang w:val="en-US" w:eastAsia="zh-CN"/>
                    </w:rPr>
                    <w:t>70</w:t>
                  </w:r>
                  <w:r>
                    <w:rPr>
                      <w:rFonts w:hint="eastAsia" w:eastAsia="宋体"/>
                      <w:color w:val="auto"/>
                      <w:kern w:val="0"/>
                      <w:sz w:val="21"/>
                      <w:szCs w:val="21"/>
                      <w:lang w:val="en-US" w:eastAsia="zh-CN"/>
                    </w:rPr>
                    <w:t>00</w:t>
                  </w:r>
                </w:p>
              </w:tc>
              <w:tc>
                <w:tcPr>
                  <w:tcW w:w="736" w:type="pct"/>
                  <w:vAlign w:val="center"/>
                </w:tcPr>
                <w:p w14:paraId="74FFAD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color w:val="auto"/>
                      <w:kern w:val="0"/>
                      <w:sz w:val="21"/>
                      <w:szCs w:val="21"/>
                      <w:lang w:val="en-US" w:eastAsia="zh-CN"/>
                    </w:rPr>
                    <w:t>95%</w:t>
                  </w:r>
                </w:p>
              </w:tc>
              <w:tc>
                <w:tcPr>
                  <w:tcW w:w="1349" w:type="pct"/>
                  <w:vAlign w:val="center"/>
                </w:tcPr>
                <w:p w14:paraId="58AA58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color w:val="auto"/>
                      <w:kern w:val="0"/>
                      <w:sz w:val="21"/>
                      <w:szCs w:val="21"/>
                      <w:lang w:val="en-US" w:eastAsia="zh-CN"/>
                    </w:rPr>
                    <w:t>2850</w:t>
                  </w:r>
                </w:p>
              </w:tc>
            </w:tr>
            <w:tr w14:paraId="71298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8" w:type="pct"/>
                  <w:gridSpan w:val="3"/>
                  <w:vAlign w:val="center"/>
                </w:tcPr>
                <w:p w14:paraId="1264B9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lang w:val="en-US" w:eastAsia="zh-CN"/>
                    </w:rPr>
                  </w:pPr>
                  <w:r>
                    <w:rPr>
                      <w:rFonts w:hint="eastAsia"/>
                      <w:color w:val="auto"/>
                      <w:sz w:val="21"/>
                      <w:szCs w:val="21"/>
                      <w:lang w:val="en-US" w:eastAsia="zh-CN"/>
                    </w:rPr>
                    <w:t>合计</w:t>
                  </w:r>
                </w:p>
              </w:tc>
              <w:tc>
                <w:tcPr>
                  <w:tcW w:w="675" w:type="pct"/>
                  <w:vAlign w:val="center"/>
                </w:tcPr>
                <w:p w14:paraId="10DDD5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kern w:val="0"/>
                      <w:sz w:val="21"/>
                      <w:szCs w:val="21"/>
                      <w:lang w:val="en-US" w:eastAsia="zh-CN"/>
                    </w:rPr>
                  </w:pPr>
                  <w:r>
                    <w:rPr>
                      <w:rFonts w:hint="eastAsia"/>
                      <w:color w:val="auto"/>
                      <w:kern w:val="0"/>
                      <w:sz w:val="21"/>
                      <w:szCs w:val="21"/>
                      <w:lang w:val="en-US" w:eastAsia="zh-CN"/>
                    </w:rPr>
                    <w:t>80000</w:t>
                  </w:r>
                </w:p>
              </w:tc>
              <w:tc>
                <w:tcPr>
                  <w:tcW w:w="736" w:type="pct"/>
                  <w:vAlign w:val="center"/>
                </w:tcPr>
                <w:p w14:paraId="415FC9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kern w:val="0"/>
                      <w:sz w:val="21"/>
                      <w:szCs w:val="21"/>
                      <w:lang w:val="en-US" w:eastAsia="zh-CN"/>
                    </w:rPr>
                  </w:pPr>
                  <w:r>
                    <w:rPr>
                      <w:rFonts w:hint="eastAsia"/>
                      <w:color w:val="auto"/>
                      <w:kern w:val="0"/>
                      <w:sz w:val="21"/>
                      <w:szCs w:val="21"/>
                      <w:lang w:val="en-US" w:eastAsia="zh-CN"/>
                    </w:rPr>
                    <w:t>/</w:t>
                  </w:r>
                </w:p>
              </w:tc>
              <w:tc>
                <w:tcPr>
                  <w:tcW w:w="1349" w:type="pct"/>
                  <w:vAlign w:val="center"/>
                </w:tcPr>
                <w:p w14:paraId="19E970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kern w:val="0"/>
                      <w:sz w:val="21"/>
                      <w:szCs w:val="21"/>
                      <w:lang w:val="en-US" w:eastAsia="zh-CN"/>
                    </w:rPr>
                  </w:pPr>
                  <w:r>
                    <w:rPr>
                      <w:rFonts w:hint="eastAsia"/>
                      <w:color w:val="auto"/>
                      <w:kern w:val="0"/>
                      <w:sz w:val="21"/>
                      <w:szCs w:val="21"/>
                      <w:lang w:val="en-US" w:eastAsia="zh-CN"/>
                    </w:rPr>
                    <w:t>3310</w:t>
                  </w:r>
                </w:p>
              </w:tc>
            </w:tr>
          </w:tbl>
          <w:p w14:paraId="7F6ED196">
            <w:pPr>
              <w:keepNext/>
              <w:keepLines/>
              <w:numPr>
                <w:ilvl w:val="4"/>
                <w:numId w:val="0"/>
              </w:numPr>
              <w:tabs>
                <w:tab w:val="left" w:pos="0"/>
              </w:tabs>
              <w:ind w:firstLine="480" w:firstLineChars="200"/>
              <w:outlineLvl w:val="4"/>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（3）危险废物</w:t>
            </w:r>
          </w:p>
          <w:p w14:paraId="6D61A339">
            <w:pPr>
              <w:widowControl w:val="0"/>
              <w:wordWrap w:val="0"/>
              <w:spacing w:line="360" w:lineRule="auto"/>
              <w:ind w:firstLine="480" w:firstLineChars="200"/>
              <w:jc w:val="both"/>
              <w:rPr>
                <w:rFonts w:hint="default" w:ascii="Times New Roman" w:hAnsi="Times New Roman" w:eastAsia="宋体" w:cs="Times New Roman"/>
                <w:color w:val="auto"/>
                <w:kern w:val="2"/>
                <w:sz w:val="24"/>
                <w:szCs w:val="21"/>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危险废物类别根据《国家危险废物名录》（202</w:t>
            </w:r>
            <w:r>
              <w:rPr>
                <w:rFonts w:hint="default" w:ascii="Times New Roman" w:hAnsi="Times New Roman" w:cs="Times New Roman"/>
                <w:color w:val="auto"/>
                <w:kern w:val="2"/>
                <w:sz w:val="24"/>
                <w:szCs w:val="24"/>
                <w:highlight w:val="none"/>
                <w:lang w:val="en-US" w:eastAsia="zh-CN" w:bidi="ar-SA"/>
              </w:rPr>
              <w:t>5</w:t>
            </w:r>
            <w:r>
              <w:rPr>
                <w:rFonts w:hint="default" w:ascii="Times New Roman" w:hAnsi="Times New Roman" w:eastAsia="宋体" w:cs="Times New Roman"/>
                <w:color w:val="auto"/>
                <w:kern w:val="2"/>
                <w:sz w:val="24"/>
                <w:szCs w:val="24"/>
                <w:highlight w:val="none"/>
                <w:lang w:val="en-US" w:eastAsia="zh-CN" w:bidi="ar-SA"/>
              </w:rPr>
              <w:t>年版）进行辨识，分类收集后委托危险废物资质单位处理。</w:t>
            </w:r>
          </w:p>
          <w:p w14:paraId="0CC7D504">
            <w:pPr>
              <w:keepNext/>
              <w:keepLines/>
              <w:widowControl w:val="0"/>
              <w:numPr>
                <w:ilvl w:val="5"/>
                <w:numId w:val="0"/>
              </w:numPr>
              <w:spacing w:line="360" w:lineRule="auto"/>
              <w:ind w:firstLine="480" w:firstLineChars="200"/>
              <w:jc w:val="both"/>
              <w:outlineLvl w:val="5"/>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cs="Times New Roman"/>
                <w:b/>
                <w:bCs/>
                <w:color w:val="auto"/>
                <w:kern w:val="2"/>
                <w:sz w:val="24"/>
                <w:szCs w:val="24"/>
                <w:highlight w:val="none"/>
                <w:lang w:val="en-US" w:eastAsia="zh-CN" w:bidi="ar-SA"/>
              </w:rPr>
              <w:t>①</w:t>
            </w:r>
            <w:r>
              <w:rPr>
                <w:rFonts w:hint="default" w:ascii="Times New Roman" w:hAnsi="Times New Roman" w:eastAsia="宋体" w:cs="Times New Roman"/>
                <w:b/>
                <w:bCs/>
                <w:color w:val="auto"/>
                <w:kern w:val="2"/>
                <w:sz w:val="24"/>
                <w:szCs w:val="24"/>
                <w:highlight w:val="none"/>
                <w:lang w:val="en-US" w:eastAsia="zh-CN" w:bidi="ar-SA"/>
              </w:rPr>
              <w:t>废</w:t>
            </w:r>
            <w:r>
              <w:rPr>
                <w:rFonts w:hint="default" w:ascii="Times New Roman" w:hAnsi="Times New Roman" w:cs="Times New Roman"/>
                <w:b/>
                <w:bCs/>
                <w:color w:val="auto"/>
                <w:kern w:val="2"/>
                <w:sz w:val="24"/>
                <w:szCs w:val="24"/>
                <w:highlight w:val="none"/>
                <w:lang w:val="en-US" w:eastAsia="zh-CN" w:bidi="ar-SA"/>
              </w:rPr>
              <w:t>矿物油及油桶</w:t>
            </w:r>
          </w:p>
          <w:p w14:paraId="2BEB02A3">
            <w:pPr>
              <w:ind w:firstLine="480" w:firstLineChars="200"/>
              <w:rPr>
                <w:rFonts w:hint="default" w:ascii="Times New Roman" w:hAnsi="Times New Roman" w:eastAsia="宋体" w:cs="Times New Roman"/>
                <w:color w:val="auto"/>
                <w:highlight w:val="none"/>
                <w:u w:val="none"/>
                <w:lang w:val="en-US" w:eastAsia="zh-CN"/>
              </w:rPr>
            </w:pPr>
            <w:r>
              <w:rPr>
                <w:rFonts w:hint="default" w:ascii="Times New Roman" w:hAnsi="Times New Roman" w:eastAsia="宋体" w:cs="Times New Roman"/>
                <w:color w:val="auto"/>
                <w:highlight w:val="none"/>
                <w:u w:val="none"/>
              </w:rPr>
              <w:t>保养设备设施会用到</w:t>
            </w:r>
            <w:r>
              <w:rPr>
                <w:rFonts w:hint="default" w:ascii="Times New Roman" w:hAnsi="Times New Roman" w:cs="Times New Roman"/>
                <w:color w:val="auto"/>
                <w:highlight w:val="none"/>
                <w:u w:val="none"/>
                <w:lang w:val="en-US" w:eastAsia="zh-CN"/>
              </w:rPr>
              <w:t>机</w:t>
            </w:r>
            <w:r>
              <w:rPr>
                <w:rFonts w:hint="default" w:ascii="Times New Roman" w:hAnsi="Times New Roman" w:eastAsia="宋体" w:cs="Times New Roman"/>
                <w:color w:val="auto"/>
                <w:highlight w:val="none"/>
                <w:u w:val="none"/>
                <w:lang w:val="en-US" w:eastAsia="zh-CN"/>
              </w:rPr>
              <w:t>油</w:t>
            </w:r>
            <w:r>
              <w:rPr>
                <w:rFonts w:hint="default" w:ascii="Times New Roman" w:hAnsi="Times New Roman" w:eastAsia="宋体" w:cs="Times New Roman"/>
                <w:color w:val="auto"/>
                <w:highlight w:val="none"/>
                <w:u w:val="none"/>
              </w:rPr>
              <w:t>，</w:t>
            </w:r>
            <w:r>
              <w:rPr>
                <w:rFonts w:hint="eastAsia" w:cs="Times New Roman"/>
                <w:color w:val="auto"/>
                <w:highlight w:val="none"/>
                <w:u w:val="none"/>
                <w:lang w:val="en-US" w:eastAsia="zh-CN"/>
              </w:rPr>
              <w:t>液压机会用到液压油。机油</w:t>
            </w:r>
            <w:r>
              <w:rPr>
                <w:rFonts w:hint="default" w:ascii="Times New Roman" w:hAnsi="Times New Roman" w:eastAsia="宋体" w:cs="Times New Roman"/>
                <w:color w:val="auto"/>
                <w:highlight w:val="none"/>
                <w:u w:val="none"/>
                <w:lang w:val="en-US" w:eastAsia="zh-CN"/>
              </w:rPr>
              <w:t>规格为</w:t>
            </w:r>
            <w:r>
              <w:rPr>
                <w:rFonts w:hint="default" w:ascii="Times New Roman" w:hAnsi="Times New Roman" w:cs="Times New Roman"/>
                <w:color w:val="auto"/>
                <w:highlight w:val="none"/>
                <w:u w:val="none"/>
                <w:lang w:val="en-US" w:eastAsia="zh-CN"/>
              </w:rPr>
              <w:t>25</w:t>
            </w:r>
            <w:r>
              <w:rPr>
                <w:rFonts w:hint="default" w:ascii="Times New Roman" w:hAnsi="Times New Roman" w:eastAsia="宋体" w:cs="Times New Roman"/>
                <w:color w:val="auto"/>
                <w:highlight w:val="none"/>
                <w:u w:val="none"/>
              </w:rPr>
              <w:t>kg/桶，</w:t>
            </w:r>
            <w:r>
              <w:rPr>
                <w:rFonts w:hint="eastAsia" w:cs="Times New Roman"/>
                <w:color w:val="auto"/>
                <w:highlight w:val="none"/>
                <w:u w:val="none"/>
                <w:lang w:val="en-US" w:eastAsia="zh-CN"/>
              </w:rPr>
              <w:t>液压油规格为</w:t>
            </w:r>
            <w:r>
              <w:rPr>
                <w:rFonts w:hint="eastAsia" w:ascii="Times New Roman" w:hAnsi="Times New Roman" w:cs="Times New Roman"/>
                <w:color w:val="auto"/>
                <w:highlight w:val="none"/>
                <w:u w:val="none"/>
                <w:lang w:val="en-US" w:eastAsia="zh-CN"/>
              </w:rPr>
              <w:t>20</w:t>
            </w:r>
            <w:r>
              <w:rPr>
                <w:rFonts w:hint="eastAsia" w:cs="Times New Roman"/>
                <w:color w:val="auto"/>
                <w:highlight w:val="none"/>
                <w:u w:val="none"/>
                <w:lang w:val="en-US" w:eastAsia="zh-CN"/>
              </w:rPr>
              <w:t>kg</w:t>
            </w:r>
            <w:r>
              <w:rPr>
                <w:rFonts w:hint="default" w:ascii="Times New Roman" w:hAnsi="Times New Roman" w:eastAsia="宋体" w:cs="Times New Roman"/>
                <w:color w:val="auto"/>
                <w:highlight w:val="none"/>
                <w:u w:val="none"/>
              </w:rPr>
              <w:t>/桶</w:t>
            </w:r>
            <w:r>
              <w:rPr>
                <w:rFonts w:hint="eastAsia" w:cs="Times New Roman"/>
                <w:color w:val="auto"/>
                <w:highlight w:val="none"/>
                <w:u w:val="none"/>
                <w:lang w:val="en-US" w:eastAsia="zh-CN"/>
              </w:rPr>
              <w:t>。废液压油产生量为0.1t，</w:t>
            </w:r>
            <w:r>
              <w:rPr>
                <w:rFonts w:hint="default" w:ascii="Times New Roman" w:hAnsi="Times New Roman" w:cs="Times New Roman"/>
                <w:color w:val="auto"/>
                <w:highlight w:val="none"/>
                <w:u w:val="none"/>
                <w:lang w:val="en-US" w:eastAsia="zh-CN"/>
              </w:rPr>
              <w:t>废</w:t>
            </w:r>
            <w:r>
              <w:rPr>
                <w:rFonts w:hint="eastAsia" w:cs="Times New Roman"/>
                <w:color w:val="auto"/>
                <w:highlight w:val="none"/>
                <w:u w:val="none"/>
                <w:lang w:val="en-US" w:eastAsia="zh-CN"/>
              </w:rPr>
              <w:t>机油</w:t>
            </w:r>
            <w:r>
              <w:rPr>
                <w:rFonts w:hint="default" w:ascii="Times New Roman" w:hAnsi="Times New Roman" w:cs="Times New Roman"/>
                <w:color w:val="auto"/>
                <w:highlight w:val="none"/>
                <w:u w:val="none"/>
                <w:lang w:val="en-US" w:eastAsia="zh-CN"/>
              </w:rPr>
              <w:t>产生量为0.</w:t>
            </w:r>
            <w:r>
              <w:rPr>
                <w:rFonts w:hint="eastAsia" w:cs="Times New Roman"/>
                <w:color w:val="auto"/>
                <w:highlight w:val="none"/>
                <w:u w:val="none"/>
                <w:lang w:val="en-US" w:eastAsia="zh-CN"/>
              </w:rPr>
              <w:t>05</w:t>
            </w:r>
            <w:r>
              <w:rPr>
                <w:rFonts w:hint="default" w:ascii="Times New Roman" w:hAnsi="Times New Roman" w:cs="Times New Roman"/>
                <w:color w:val="auto"/>
                <w:highlight w:val="none"/>
                <w:u w:val="none"/>
                <w:lang w:val="en-US" w:eastAsia="zh-CN"/>
              </w:rPr>
              <w:t>t</w:t>
            </w:r>
            <w:r>
              <w:rPr>
                <w:rFonts w:hint="eastAsia" w:cs="Times New Roman"/>
                <w:color w:val="auto"/>
                <w:highlight w:val="none"/>
                <w:u w:val="none"/>
                <w:lang w:val="en-US" w:eastAsia="zh-CN"/>
              </w:rPr>
              <w:t>。</w:t>
            </w:r>
            <w:r>
              <w:rPr>
                <w:rFonts w:hint="default" w:ascii="Times New Roman" w:hAnsi="Times New Roman" w:eastAsia="宋体" w:cs="Times New Roman"/>
                <w:color w:val="auto"/>
                <w:highlight w:val="none"/>
                <w:u w:val="none"/>
              </w:rPr>
              <w:t>空桶按</w:t>
            </w:r>
            <w:r>
              <w:rPr>
                <w:rFonts w:hint="default" w:ascii="Times New Roman" w:hAnsi="Times New Roman" w:cs="Times New Roman"/>
                <w:color w:val="auto"/>
                <w:highlight w:val="none"/>
                <w:u w:val="none"/>
                <w:lang w:val="en-US" w:eastAsia="zh-CN"/>
              </w:rPr>
              <w:t>1</w:t>
            </w:r>
            <w:r>
              <w:rPr>
                <w:rFonts w:hint="default" w:ascii="Times New Roman" w:hAnsi="Times New Roman" w:eastAsia="宋体" w:cs="Times New Roman"/>
                <w:color w:val="auto"/>
                <w:highlight w:val="none"/>
                <w:u w:val="none"/>
              </w:rPr>
              <w:t>kg/桶计算</w:t>
            </w:r>
            <w:r>
              <w:rPr>
                <w:rFonts w:hint="default" w:ascii="Times New Roman" w:hAnsi="Times New Roman" w:cs="Times New Roman"/>
                <w:color w:val="auto"/>
                <w:highlight w:val="none"/>
                <w:u w:val="none"/>
                <w:lang w:eastAsia="zh-CN"/>
              </w:rPr>
              <w:t>，</w:t>
            </w:r>
            <w:r>
              <w:rPr>
                <w:rFonts w:hint="default" w:ascii="Times New Roman" w:hAnsi="Times New Roman" w:eastAsia="宋体" w:cs="Times New Roman"/>
                <w:color w:val="auto"/>
                <w:highlight w:val="none"/>
                <w:u w:val="none"/>
                <w:lang w:val="en-US" w:eastAsia="zh-CN"/>
              </w:rPr>
              <w:t>综上，</w:t>
            </w:r>
            <w:r>
              <w:rPr>
                <w:rFonts w:hint="default" w:ascii="Times New Roman" w:hAnsi="Times New Roman" w:eastAsia="宋体" w:cs="Times New Roman"/>
                <w:color w:val="auto"/>
                <w:highlight w:val="none"/>
                <w:u w:val="none"/>
              </w:rPr>
              <w:t>本项目产生废</w:t>
            </w:r>
            <w:r>
              <w:rPr>
                <w:rFonts w:hint="eastAsia" w:cs="Times New Roman"/>
                <w:color w:val="auto"/>
                <w:highlight w:val="none"/>
                <w:u w:val="none"/>
                <w:lang w:val="en-US" w:eastAsia="zh-CN"/>
              </w:rPr>
              <w:t>矿物</w:t>
            </w:r>
            <w:r>
              <w:rPr>
                <w:rFonts w:hint="default" w:ascii="Times New Roman" w:hAnsi="Times New Roman" w:eastAsia="宋体" w:cs="Times New Roman"/>
                <w:color w:val="auto"/>
                <w:highlight w:val="none"/>
                <w:u w:val="none"/>
              </w:rPr>
              <w:t>油</w:t>
            </w:r>
            <w:r>
              <w:rPr>
                <w:rFonts w:hint="default" w:ascii="Times New Roman" w:hAnsi="Times New Roman" w:eastAsia="宋体" w:cs="Times New Roman"/>
                <w:color w:val="auto"/>
                <w:highlight w:val="none"/>
                <w:u w:val="none"/>
                <w:lang w:eastAsia="zh-CN"/>
              </w:rPr>
              <w:t>及</w:t>
            </w:r>
            <w:r>
              <w:rPr>
                <w:rFonts w:hint="default" w:ascii="Times New Roman" w:hAnsi="Times New Roman" w:eastAsia="宋体" w:cs="Times New Roman"/>
                <w:color w:val="auto"/>
                <w:highlight w:val="none"/>
                <w:u w:val="none"/>
              </w:rPr>
              <w:t>桶约</w:t>
            </w:r>
            <w:r>
              <w:rPr>
                <w:rFonts w:hint="eastAsia" w:cs="Times New Roman"/>
                <w:color w:val="auto"/>
                <w:highlight w:val="none"/>
                <w:u w:val="none"/>
                <w:lang w:val="en-US" w:eastAsia="zh-CN"/>
              </w:rPr>
              <w:t>0.1+</w:t>
            </w:r>
            <w:r>
              <w:rPr>
                <w:rFonts w:hint="default" w:ascii="Times New Roman" w:hAnsi="Times New Roman" w:cs="Times New Roman"/>
                <w:color w:val="auto"/>
                <w:highlight w:val="none"/>
                <w:u w:val="none"/>
                <w:lang w:val="en-US" w:eastAsia="zh-CN"/>
              </w:rPr>
              <w:t>0.</w:t>
            </w:r>
            <w:r>
              <w:rPr>
                <w:rFonts w:hint="eastAsia" w:cs="Times New Roman"/>
                <w:color w:val="auto"/>
                <w:highlight w:val="none"/>
                <w:u w:val="none"/>
                <w:lang w:val="en-US" w:eastAsia="zh-CN"/>
              </w:rPr>
              <w:t>05</w:t>
            </w:r>
            <w:r>
              <w:rPr>
                <w:rFonts w:hint="default" w:ascii="Times New Roman" w:hAnsi="Times New Roman" w:cs="Times New Roman"/>
                <w:color w:val="auto"/>
                <w:highlight w:val="none"/>
                <w:u w:val="none"/>
                <w:lang w:val="en-US" w:eastAsia="zh-CN"/>
              </w:rPr>
              <w:t>t</w:t>
            </w:r>
            <w:r>
              <w:rPr>
                <w:rFonts w:hint="default" w:ascii="Times New Roman" w:hAnsi="Times New Roman" w:eastAsia="宋体" w:cs="Times New Roman"/>
                <w:color w:val="auto"/>
                <w:highlight w:val="none"/>
                <w:u w:val="none"/>
                <w:lang w:val="en-US" w:eastAsia="zh-CN"/>
              </w:rPr>
              <w:t>+</w:t>
            </w:r>
            <w:r>
              <w:rPr>
                <w:rFonts w:hint="default" w:ascii="Times New Roman" w:hAnsi="Times New Roman" w:cs="Times New Roman"/>
                <w:color w:val="auto"/>
                <w:highlight w:val="none"/>
                <w:u w:val="none"/>
                <w:lang w:val="en-US" w:eastAsia="zh-CN"/>
              </w:rPr>
              <w:t>（0.</w:t>
            </w:r>
            <w:r>
              <w:rPr>
                <w:rFonts w:hint="eastAsia" w:cs="Times New Roman"/>
                <w:color w:val="auto"/>
                <w:highlight w:val="none"/>
                <w:u w:val="none"/>
                <w:lang w:val="en-US" w:eastAsia="zh-CN"/>
              </w:rPr>
              <w:t>05</w:t>
            </w:r>
            <w:r>
              <w:rPr>
                <w:rFonts w:hint="default" w:ascii="Times New Roman" w:hAnsi="Times New Roman" w:cs="Times New Roman"/>
                <w:color w:val="auto"/>
                <w:highlight w:val="none"/>
                <w:u w:val="none"/>
                <w:lang w:val="en-US" w:eastAsia="zh-CN"/>
              </w:rPr>
              <w:t>/0.025</w:t>
            </w:r>
            <w:r>
              <w:rPr>
                <w:rFonts w:hint="eastAsia" w:cs="Times New Roman"/>
                <w:color w:val="auto"/>
                <w:highlight w:val="none"/>
                <w:u w:val="none"/>
                <w:lang w:val="en-US" w:eastAsia="zh-CN"/>
              </w:rPr>
              <w:t>+0.1/0.02</w:t>
            </w:r>
            <w:r>
              <w:rPr>
                <w:rFonts w:hint="default" w:ascii="Times New Roman" w:hAnsi="Times New Roman" w:cs="Times New Roman"/>
                <w:color w:val="auto"/>
                <w:highlight w:val="none"/>
                <w:u w:val="none"/>
                <w:lang w:val="en-US" w:eastAsia="zh-CN"/>
              </w:rPr>
              <w:t>）</w:t>
            </w:r>
            <w:r>
              <w:rPr>
                <w:rFonts w:hint="default" w:ascii="Times New Roman" w:hAnsi="Times New Roman" w:eastAsia="宋体" w:cs="Times New Roman"/>
                <w:color w:val="auto"/>
                <w:highlight w:val="none"/>
                <w:u w:val="none"/>
                <w:lang w:val="en-US" w:eastAsia="zh-CN"/>
              </w:rPr>
              <w:t>×1kg=</w:t>
            </w:r>
            <w:r>
              <w:rPr>
                <w:rFonts w:hint="default" w:ascii="Times New Roman" w:hAnsi="Times New Roman" w:cs="Times New Roman"/>
                <w:color w:val="auto"/>
                <w:highlight w:val="none"/>
                <w:u w:val="none"/>
                <w:lang w:val="en-US" w:eastAsia="zh-CN"/>
              </w:rPr>
              <w:t>0.</w:t>
            </w:r>
            <w:r>
              <w:rPr>
                <w:rFonts w:hint="eastAsia" w:cs="Times New Roman"/>
                <w:color w:val="auto"/>
                <w:highlight w:val="none"/>
                <w:u w:val="none"/>
                <w:lang w:val="en-US" w:eastAsia="zh-CN"/>
              </w:rPr>
              <w:t>157</w:t>
            </w:r>
            <w:r>
              <w:rPr>
                <w:rFonts w:hint="default" w:ascii="Times New Roman" w:hAnsi="Times New Roman" w:eastAsia="宋体" w:cs="Times New Roman"/>
                <w:color w:val="auto"/>
                <w:highlight w:val="none"/>
                <w:u w:val="none"/>
              </w:rPr>
              <w:t>t/a</w:t>
            </w:r>
          </w:p>
          <w:p w14:paraId="07E22479">
            <w:pPr>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根据《国家危险废物名录》（202</w:t>
            </w:r>
            <w:r>
              <w:rPr>
                <w:rFonts w:hint="default" w:ascii="Times New Roman" w:hAnsi="Times New Roman" w:cs="Times New Roman"/>
                <w:color w:val="auto"/>
                <w:highlight w:val="none"/>
                <w:lang w:val="en-US" w:eastAsia="zh-CN"/>
              </w:rPr>
              <w:t>5</w:t>
            </w:r>
            <w:r>
              <w:rPr>
                <w:rFonts w:hint="default" w:ascii="Times New Roman" w:hAnsi="Times New Roman" w:eastAsia="宋体" w:cs="Times New Roman"/>
                <w:color w:val="auto"/>
                <w:highlight w:val="none"/>
              </w:rPr>
              <w:t>年版），废油桶</w:t>
            </w:r>
            <w:r>
              <w:rPr>
                <w:rFonts w:hint="default" w:ascii="Times New Roman" w:hAnsi="Times New Roman" w:eastAsia="宋体" w:cs="Times New Roman"/>
                <w:color w:val="auto"/>
                <w:highlight w:val="none"/>
                <w:lang w:val="en-US" w:eastAsia="zh-CN"/>
              </w:rPr>
              <w:t>按“</w:t>
            </w:r>
            <w:r>
              <w:rPr>
                <w:rFonts w:hint="default" w:ascii="Times New Roman" w:hAnsi="Times New Roman" w:eastAsia="宋体" w:cs="Times New Roman"/>
                <w:color w:val="auto"/>
                <w:highlight w:val="none"/>
              </w:rPr>
              <w:t>HW</w:t>
            </w:r>
            <w:r>
              <w:rPr>
                <w:rFonts w:hint="default" w:ascii="Times New Roman" w:hAnsi="Times New Roman" w:eastAsia="宋体" w:cs="Times New Roman"/>
                <w:color w:val="auto"/>
                <w:highlight w:val="none"/>
                <w:lang w:val="en-US" w:eastAsia="zh-CN"/>
              </w:rPr>
              <w:t>08废矿物油与含矿物油废物”分类</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其</w:t>
            </w:r>
            <w:r>
              <w:rPr>
                <w:rFonts w:hint="default" w:ascii="Times New Roman" w:hAnsi="Times New Roman" w:eastAsia="宋体" w:cs="Times New Roman"/>
                <w:color w:val="auto"/>
                <w:highlight w:val="none"/>
              </w:rPr>
              <w:t>代码</w:t>
            </w:r>
            <w:r>
              <w:rPr>
                <w:rFonts w:hint="default" w:ascii="Times New Roman" w:hAnsi="Times New Roman" w:eastAsia="宋体" w:cs="Times New Roman"/>
                <w:color w:val="auto"/>
                <w:highlight w:val="none"/>
                <w:lang w:val="en-US" w:eastAsia="zh-CN"/>
              </w:rPr>
              <w:t>为</w:t>
            </w:r>
            <w:r>
              <w:rPr>
                <w:rFonts w:hint="default" w:ascii="Times New Roman" w:hAnsi="Times New Roman" w:eastAsia="宋体" w:cs="Times New Roman"/>
                <w:color w:val="auto"/>
                <w:highlight w:val="none"/>
              </w:rPr>
              <w:t>900-249-08</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属于</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其他生产、销售、使用过程中产生的废矿物油及沾染矿物油的废弃包装物”，经统一收集后交由有危险废物处理资质的单位处理。</w:t>
            </w:r>
          </w:p>
          <w:p w14:paraId="11A78CF6">
            <w:pPr>
              <w:ind w:firstLine="480" w:firstLineChars="200"/>
              <w:rPr>
                <w:rFonts w:hint="default" w:ascii="Times New Roman" w:hAnsi="Times New Roman" w:eastAsia="宋体" w:cs="Times New Roman"/>
                <w:b/>
                <w:bCs/>
                <w:color w:val="auto"/>
                <w:szCs w:val="24"/>
                <w:highlight w:val="none"/>
                <w:lang w:val="en-US" w:eastAsia="zh-CN"/>
              </w:rPr>
            </w:pPr>
            <w:r>
              <w:rPr>
                <w:rFonts w:hint="default" w:ascii="Times New Roman" w:hAnsi="Times New Roman" w:cs="Times New Roman"/>
                <w:b/>
                <w:bCs/>
                <w:color w:val="auto"/>
                <w:szCs w:val="24"/>
                <w:highlight w:val="none"/>
                <w:lang w:val="en-US" w:eastAsia="zh-CN"/>
              </w:rPr>
              <w:t>②</w:t>
            </w:r>
            <w:r>
              <w:rPr>
                <w:rFonts w:hint="default" w:ascii="Times New Roman" w:hAnsi="Times New Roman" w:eastAsia="宋体" w:cs="Times New Roman"/>
                <w:b/>
                <w:bCs/>
                <w:color w:val="auto"/>
                <w:szCs w:val="24"/>
                <w:highlight w:val="none"/>
                <w:lang w:val="en-US" w:eastAsia="zh-CN"/>
              </w:rPr>
              <w:t>废含油抹布及手套</w:t>
            </w:r>
          </w:p>
          <w:p w14:paraId="6BDD4697">
            <w:pPr>
              <w:keepNext/>
              <w:keepLines/>
              <w:widowControl w:val="0"/>
              <w:numPr>
                <w:ilvl w:val="5"/>
                <w:numId w:val="0"/>
              </w:numPr>
              <w:spacing w:line="360" w:lineRule="auto"/>
              <w:ind w:firstLine="480" w:firstLineChars="200"/>
              <w:jc w:val="both"/>
              <w:outlineLvl w:val="5"/>
              <w:rPr>
                <w:rFonts w:hint="default" w:ascii="Times New Roman" w:hAnsi="Times New Roman" w:eastAsia="宋体" w:cs="Times New Roman"/>
                <w:color w:val="auto"/>
                <w:kern w:val="0"/>
                <w:sz w:val="24"/>
                <w:szCs w:val="21"/>
                <w:highlight w:val="none"/>
                <w:lang w:val="en-US" w:eastAsia="zh-CN"/>
              </w:rPr>
            </w:pPr>
            <w:r>
              <w:rPr>
                <w:rFonts w:hint="default" w:ascii="Times New Roman" w:hAnsi="Times New Roman" w:eastAsia="宋体" w:cs="Times New Roman"/>
                <w:color w:val="auto"/>
                <w:kern w:val="0"/>
                <w:sz w:val="24"/>
                <w:szCs w:val="21"/>
                <w:highlight w:val="none"/>
                <w:lang w:val="en-US" w:eastAsia="zh-CN"/>
              </w:rPr>
              <w:t>设备维修和维护以及生产过程中会产生的沾染废</w:t>
            </w:r>
            <w:r>
              <w:rPr>
                <w:rFonts w:hint="eastAsia" w:cs="Times New Roman"/>
                <w:color w:val="auto"/>
                <w:kern w:val="0"/>
                <w:sz w:val="24"/>
                <w:szCs w:val="21"/>
                <w:highlight w:val="none"/>
                <w:lang w:val="en-US" w:eastAsia="zh-CN"/>
              </w:rPr>
              <w:t>矿物</w:t>
            </w:r>
            <w:r>
              <w:rPr>
                <w:rFonts w:hint="default" w:ascii="Times New Roman" w:hAnsi="Times New Roman" w:eastAsia="宋体" w:cs="Times New Roman"/>
                <w:color w:val="auto"/>
                <w:kern w:val="0"/>
                <w:sz w:val="24"/>
                <w:szCs w:val="21"/>
                <w:highlight w:val="none"/>
                <w:lang w:val="en-US" w:eastAsia="zh-CN"/>
              </w:rPr>
              <w:t>油的布料及手套，产生量约0.01t/a。</w:t>
            </w:r>
          </w:p>
          <w:p w14:paraId="1A640721">
            <w:pPr>
              <w:adjustRightInd w:val="0"/>
              <w:snapToGrid w:val="0"/>
              <w:spacing w:line="360" w:lineRule="auto"/>
              <w:ind w:firstLine="480" w:firstLineChars="200"/>
              <w:rPr>
                <w:rFonts w:hint="default" w:ascii="Times New Roman" w:hAnsi="Times New Roman" w:eastAsia="宋体" w:cs="Times New Roman"/>
                <w:color w:val="auto"/>
                <w:kern w:val="2"/>
                <w:sz w:val="24"/>
                <w:szCs w:val="21"/>
                <w:highlight w:val="none"/>
                <w:lang w:val="en-US" w:eastAsia="zh-CN" w:bidi="ar-SA"/>
              </w:rPr>
            </w:pPr>
            <w:r>
              <w:rPr>
                <w:rFonts w:hint="default" w:ascii="Times New Roman" w:hAnsi="Times New Roman" w:eastAsia="宋体" w:cs="Times New Roman"/>
                <w:color w:val="auto"/>
                <w:kern w:val="2"/>
                <w:sz w:val="24"/>
                <w:szCs w:val="21"/>
                <w:highlight w:val="none"/>
                <w:lang w:val="en-US" w:eastAsia="zh-CN" w:bidi="ar-SA"/>
              </w:rPr>
              <w:t>根据《国家危险废物名录》（202</w:t>
            </w:r>
            <w:r>
              <w:rPr>
                <w:rFonts w:hint="default" w:ascii="Times New Roman" w:hAnsi="Times New Roman" w:cs="Times New Roman"/>
                <w:color w:val="auto"/>
                <w:kern w:val="2"/>
                <w:sz w:val="24"/>
                <w:szCs w:val="21"/>
                <w:highlight w:val="none"/>
                <w:lang w:val="en-US" w:eastAsia="zh-CN" w:bidi="ar-SA"/>
              </w:rPr>
              <w:t>5</w:t>
            </w:r>
            <w:r>
              <w:rPr>
                <w:rFonts w:hint="default" w:ascii="Times New Roman" w:hAnsi="Times New Roman" w:eastAsia="宋体" w:cs="Times New Roman"/>
                <w:color w:val="auto"/>
                <w:kern w:val="2"/>
                <w:sz w:val="24"/>
                <w:szCs w:val="21"/>
                <w:highlight w:val="none"/>
                <w:lang w:val="en-US" w:eastAsia="zh-CN" w:bidi="ar-SA"/>
              </w:rPr>
              <w:t>年版），废含油抹布及手套按“HW49其他废物”分类，其代码为</w:t>
            </w:r>
            <w:r>
              <w:rPr>
                <w:rFonts w:hint="default" w:ascii="Times New Roman" w:hAnsi="Times New Roman" w:eastAsia="宋体" w:cs="Times New Roman"/>
                <w:color w:val="auto"/>
                <w:kern w:val="0"/>
                <w:sz w:val="24"/>
                <w:szCs w:val="21"/>
                <w:highlight w:val="none"/>
                <w:lang w:val="en-US" w:eastAsia="zh-CN"/>
              </w:rPr>
              <w:t>900-041-49</w:t>
            </w:r>
            <w:r>
              <w:rPr>
                <w:rFonts w:hint="default" w:ascii="Times New Roman" w:hAnsi="Times New Roman" w:eastAsia="宋体" w:cs="Times New Roman"/>
                <w:color w:val="auto"/>
                <w:kern w:val="2"/>
                <w:sz w:val="24"/>
                <w:szCs w:val="21"/>
                <w:highlight w:val="none"/>
                <w:lang w:val="en-US" w:eastAsia="zh-CN" w:bidi="ar-SA"/>
              </w:rPr>
              <w:t>，属于“其他生产、销售、使用过程中产生的废矿物油及沾染矿物油的废弃包装物”，经统一收集后交由有危险废物处理资质的单位处理。</w:t>
            </w:r>
          </w:p>
          <w:p w14:paraId="26C7E24F">
            <w:pPr>
              <w:widowControl w:val="0"/>
              <w:spacing w:line="360" w:lineRule="auto"/>
              <w:jc w:val="center"/>
              <w:rPr>
                <w:rFonts w:hint="default" w:ascii="Times New Roman" w:hAnsi="Times New Roman" w:eastAsia="宋体" w:cs="Times New Roman"/>
                <w:b/>
                <w:bCs/>
                <w:color w:val="auto"/>
                <w:kern w:val="2"/>
                <w:sz w:val="21"/>
                <w:szCs w:val="21"/>
                <w:highlight w:val="none"/>
                <w:lang w:val="en-US" w:eastAsia="zh-CN" w:bidi="ar-SA"/>
              </w:rPr>
            </w:pPr>
            <w:bookmarkStart w:id="112" w:name="_Ref10519"/>
            <w:r>
              <w:rPr>
                <w:rFonts w:hint="default" w:ascii="Times New Roman" w:hAnsi="Times New Roman" w:eastAsia="宋体" w:cs="Times New Roman"/>
                <w:b/>
                <w:bCs/>
                <w:color w:val="auto"/>
                <w:kern w:val="2"/>
                <w:sz w:val="21"/>
                <w:szCs w:val="21"/>
                <w:highlight w:val="none"/>
                <w:lang w:val="en-US" w:eastAsia="zh-CN" w:bidi="ar-SA"/>
              </w:rPr>
              <w:t>表</w:t>
            </w:r>
            <w:r>
              <w:rPr>
                <w:rFonts w:hint="default" w:ascii="Times New Roman" w:hAnsi="Times New Roman" w:eastAsia="宋体" w:cs="Times New Roman"/>
                <w:b/>
                <w:bCs/>
                <w:color w:val="auto"/>
                <w:kern w:val="2"/>
                <w:sz w:val="21"/>
                <w:szCs w:val="21"/>
                <w:highlight w:val="none"/>
                <w:lang w:val="en-US" w:eastAsia="zh-CN" w:bidi="ar-SA"/>
              </w:rPr>
              <w:fldChar w:fldCharType="begin"/>
            </w:r>
            <w:r>
              <w:rPr>
                <w:rFonts w:hint="default" w:ascii="Times New Roman" w:hAnsi="Times New Roman" w:eastAsia="宋体" w:cs="Times New Roman"/>
                <w:b/>
                <w:bCs/>
                <w:color w:val="auto"/>
                <w:kern w:val="2"/>
                <w:sz w:val="21"/>
                <w:szCs w:val="21"/>
                <w:highlight w:val="none"/>
                <w:lang w:val="en-US" w:eastAsia="zh-CN" w:bidi="ar-SA"/>
              </w:rPr>
              <w:instrText xml:space="preserve"> STYLEREF 1 \s </w:instrText>
            </w:r>
            <w:r>
              <w:rPr>
                <w:rFonts w:hint="default" w:ascii="Times New Roman" w:hAnsi="Times New Roman" w:eastAsia="宋体" w:cs="Times New Roman"/>
                <w:b/>
                <w:bCs/>
                <w:color w:val="auto"/>
                <w:kern w:val="2"/>
                <w:sz w:val="21"/>
                <w:szCs w:val="21"/>
                <w:highlight w:val="none"/>
                <w:lang w:val="en-US" w:eastAsia="zh-CN" w:bidi="ar-SA"/>
              </w:rPr>
              <w:fldChar w:fldCharType="separate"/>
            </w:r>
            <w:r>
              <w:rPr>
                <w:rFonts w:hint="default" w:ascii="Times New Roman" w:hAnsi="Times New Roman" w:eastAsia="宋体" w:cs="Times New Roman"/>
                <w:b/>
                <w:bCs/>
                <w:color w:val="auto"/>
                <w:kern w:val="2"/>
                <w:sz w:val="21"/>
                <w:szCs w:val="21"/>
                <w:highlight w:val="none"/>
                <w:lang w:val="en-US" w:eastAsia="zh-CN" w:bidi="ar-SA"/>
              </w:rPr>
              <w:t>4</w:t>
            </w:r>
            <w:r>
              <w:rPr>
                <w:rFonts w:hint="default" w:ascii="Times New Roman" w:hAnsi="Times New Roman" w:eastAsia="宋体" w:cs="Times New Roman"/>
                <w:b/>
                <w:bCs/>
                <w:color w:val="auto"/>
                <w:kern w:val="2"/>
                <w:sz w:val="21"/>
                <w:szCs w:val="21"/>
                <w:highlight w:val="none"/>
                <w:lang w:val="en-US" w:eastAsia="zh-CN" w:bidi="ar-SA"/>
              </w:rPr>
              <w:fldChar w:fldCharType="end"/>
            </w:r>
            <w:r>
              <w:rPr>
                <w:rFonts w:hint="default" w:ascii="Times New Roman" w:hAnsi="Times New Roman" w:eastAsia="宋体" w:cs="Times New Roman"/>
                <w:b/>
                <w:bCs/>
                <w:color w:val="auto"/>
                <w:kern w:val="2"/>
                <w:sz w:val="21"/>
                <w:szCs w:val="21"/>
                <w:highlight w:val="none"/>
                <w:lang w:val="en-US" w:eastAsia="zh-CN" w:bidi="ar-SA"/>
              </w:rPr>
              <w:t>-</w:t>
            </w:r>
            <w:bookmarkEnd w:id="112"/>
            <w:r>
              <w:rPr>
                <w:rFonts w:hint="eastAsia" w:cs="Times New Roman"/>
                <w:b/>
                <w:bCs/>
                <w:color w:val="auto"/>
                <w:kern w:val="2"/>
                <w:sz w:val="21"/>
                <w:szCs w:val="21"/>
                <w:highlight w:val="none"/>
                <w:lang w:val="en-US" w:eastAsia="zh-CN" w:bidi="ar-SA"/>
              </w:rPr>
              <w:t>10</w:t>
            </w:r>
            <w:r>
              <w:rPr>
                <w:rFonts w:hint="default" w:ascii="Times New Roman" w:hAnsi="Times New Roman" w:eastAsia="宋体" w:cs="Times New Roman"/>
                <w:b/>
                <w:bCs/>
                <w:color w:val="auto"/>
                <w:kern w:val="2"/>
                <w:sz w:val="21"/>
                <w:szCs w:val="21"/>
                <w:highlight w:val="none"/>
                <w:lang w:val="en-US" w:eastAsia="zh-CN" w:bidi="ar-SA"/>
              </w:rPr>
              <w:t>固体废物污染源源强核算结果及相关参数一览表</w:t>
            </w:r>
          </w:p>
          <w:tbl>
            <w:tblPr>
              <w:tblStyle w:val="4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7"/>
              <w:gridCol w:w="1050"/>
              <w:gridCol w:w="1343"/>
              <w:gridCol w:w="1050"/>
              <w:gridCol w:w="1052"/>
              <w:gridCol w:w="1050"/>
              <w:gridCol w:w="1055"/>
              <w:gridCol w:w="1058"/>
            </w:tblGrid>
            <w:tr w14:paraId="59AE6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01" w:type="pct"/>
                  <w:vMerge w:val="restart"/>
                  <w:vAlign w:val="center"/>
                </w:tcPr>
                <w:p w14:paraId="157437FC">
                  <w:pPr>
                    <w:pStyle w:val="2"/>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固体废物名称</w:t>
                  </w:r>
                </w:p>
              </w:tc>
              <w:tc>
                <w:tcPr>
                  <w:tcW w:w="603" w:type="pct"/>
                  <w:vMerge w:val="restart"/>
                  <w:vAlign w:val="center"/>
                </w:tcPr>
                <w:p w14:paraId="780E74C9">
                  <w:pPr>
                    <w:pStyle w:val="2"/>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固废属性</w:t>
                  </w:r>
                </w:p>
              </w:tc>
              <w:tc>
                <w:tcPr>
                  <w:tcW w:w="771" w:type="pct"/>
                  <w:vMerge w:val="restart"/>
                  <w:vAlign w:val="center"/>
                </w:tcPr>
                <w:p w14:paraId="29F7E7E3">
                  <w:pPr>
                    <w:pStyle w:val="2"/>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代码</w:t>
                  </w:r>
                </w:p>
              </w:tc>
              <w:tc>
                <w:tcPr>
                  <w:tcW w:w="1207" w:type="pct"/>
                  <w:gridSpan w:val="2"/>
                  <w:vAlign w:val="center"/>
                </w:tcPr>
                <w:p w14:paraId="33FB9811">
                  <w:pPr>
                    <w:pStyle w:val="2"/>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产生情况</w:t>
                  </w:r>
                </w:p>
              </w:tc>
              <w:tc>
                <w:tcPr>
                  <w:tcW w:w="1209" w:type="pct"/>
                  <w:gridSpan w:val="2"/>
                  <w:vAlign w:val="center"/>
                </w:tcPr>
                <w:p w14:paraId="14EC465F">
                  <w:pPr>
                    <w:pStyle w:val="2"/>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处理措施</w:t>
                  </w:r>
                </w:p>
              </w:tc>
              <w:tc>
                <w:tcPr>
                  <w:tcW w:w="607" w:type="pct"/>
                  <w:vMerge w:val="restart"/>
                  <w:vAlign w:val="center"/>
                </w:tcPr>
                <w:p w14:paraId="662A2274">
                  <w:pPr>
                    <w:pStyle w:val="2"/>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最终去向</w:t>
                  </w:r>
                </w:p>
              </w:tc>
            </w:tr>
            <w:tr w14:paraId="616DC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01" w:type="pct"/>
                  <w:vMerge w:val="continue"/>
                  <w:vAlign w:val="center"/>
                </w:tcPr>
                <w:p w14:paraId="73D1E88C">
                  <w:pPr>
                    <w:pStyle w:val="2"/>
                    <w:spacing w:line="240" w:lineRule="auto"/>
                    <w:jc w:val="center"/>
                    <w:rPr>
                      <w:rFonts w:hint="default" w:ascii="Times New Roman" w:hAnsi="Times New Roman" w:cs="Times New Roman"/>
                      <w:color w:val="auto"/>
                      <w:sz w:val="21"/>
                      <w:szCs w:val="21"/>
                      <w:highlight w:val="none"/>
                    </w:rPr>
                  </w:pPr>
                </w:p>
              </w:tc>
              <w:tc>
                <w:tcPr>
                  <w:tcW w:w="603" w:type="pct"/>
                  <w:vMerge w:val="continue"/>
                  <w:vAlign w:val="center"/>
                </w:tcPr>
                <w:p w14:paraId="66690A08">
                  <w:pPr>
                    <w:pStyle w:val="2"/>
                    <w:spacing w:line="240" w:lineRule="auto"/>
                    <w:jc w:val="center"/>
                    <w:rPr>
                      <w:rFonts w:hint="default" w:ascii="Times New Roman" w:hAnsi="Times New Roman" w:cs="Times New Roman"/>
                      <w:color w:val="auto"/>
                      <w:sz w:val="21"/>
                      <w:szCs w:val="21"/>
                      <w:highlight w:val="none"/>
                    </w:rPr>
                  </w:pPr>
                </w:p>
              </w:tc>
              <w:tc>
                <w:tcPr>
                  <w:tcW w:w="771" w:type="pct"/>
                  <w:vMerge w:val="continue"/>
                  <w:vAlign w:val="center"/>
                </w:tcPr>
                <w:p w14:paraId="06630EC1">
                  <w:pPr>
                    <w:pStyle w:val="2"/>
                    <w:spacing w:line="240" w:lineRule="auto"/>
                    <w:jc w:val="center"/>
                    <w:rPr>
                      <w:rFonts w:hint="default" w:ascii="Times New Roman" w:hAnsi="Times New Roman" w:cs="Times New Roman"/>
                      <w:b/>
                      <w:bCs/>
                      <w:color w:val="auto"/>
                      <w:sz w:val="21"/>
                      <w:szCs w:val="21"/>
                      <w:highlight w:val="none"/>
                    </w:rPr>
                  </w:pPr>
                </w:p>
              </w:tc>
              <w:tc>
                <w:tcPr>
                  <w:tcW w:w="603" w:type="pct"/>
                  <w:vAlign w:val="center"/>
                </w:tcPr>
                <w:p w14:paraId="780D2EB0">
                  <w:pPr>
                    <w:pStyle w:val="2"/>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核算方法</w:t>
                  </w:r>
                </w:p>
              </w:tc>
              <w:tc>
                <w:tcPr>
                  <w:tcW w:w="604" w:type="pct"/>
                  <w:vAlign w:val="center"/>
                </w:tcPr>
                <w:p w14:paraId="47EA66C5">
                  <w:pPr>
                    <w:pStyle w:val="2"/>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产生量t/a</w:t>
                  </w:r>
                </w:p>
              </w:tc>
              <w:tc>
                <w:tcPr>
                  <w:tcW w:w="603" w:type="pct"/>
                  <w:vAlign w:val="center"/>
                </w:tcPr>
                <w:p w14:paraId="2F86F4DF">
                  <w:pPr>
                    <w:pStyle w:val="2"/>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工艺</w:t>
                  </w:r>
                </w:p>
              </w:tc>
              <w:tc>
                <w:tcPr>
                  <w:tcW w:w="605" w:type="pct"/>
                  <w:vAlign w:val="center"/>
                </w:tcPr>
                <w:p w14:paraId="0A80007B">
                  <w:pPr>
                    <w:pStyle w:val="2"/>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处置量t/a</w:t>
                  </w:r>
                </w:p>
              </w:tc>
              <w:tc>
                <w:tcPr>
                  <w:tcW w:w="607" w:type="pct"/>
                  <w:vMerge w:val="continue"/>
                  <w:vAlign w:val="center"/>
                </w:tcPr>
                <w:p w14:paraId="24EC53AC">
                  <w:pPr>
                    <w:pStyle w:val="2"/>
                    <w:spacing w:line="240" w:lineRule="auto"/>
                    <w:jc w:val="center"/>
                    <w:rPr>
                      <w:rFonts w:hint="default" w:ascii="Times New Roman" w:hAnsi="Times New Roman" w:cs="Times New Roman"/>
                      <w:color w:val="auto"/>
                      <w:sz w:val="21"/>
                      <w:szCs w:val="21"/>
                      <w:highlight w:val="none"/>
                    </w:rPr>
                  </w:pPr>
                </w:p>
              </w:tc>
            </w:tr>
            <w:tr w14:paraId="6E50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2" w:hRule="atLeast"/>
                <w:jc w:val="center"/>
              </w:trPr>
              <w:tc>
                <w:tcPr>
                  <w:tcW w:w="601" w:type="pct"/>
                  <w:vAlign w:val="center"/>
                </w:tcPr>
                <w:p w14:paraId="51B8CF4F">
                  <w:pPr>
                    <w:pStyle w:val="2"/>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生活垃圾</w:t>
                  </w:r>
                </w:p>
              </w:tc>
              <w:tc>
                <w:tcPr>
                  <w:tcW w:w="603" w:type="pct"/>
                  <w:vAlign w:val="center"/>
                </w:tcPr>
                <w:p w14:paraId="73BC26BD">
                  <w:pPr>
                    <w:pStyle w:val="2"/>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生活垃圾</w:t>
                  </w:r>
                </w:p>
              </w:tc>
              <w:tc>
                <w:tcPr>
                  <w:tcW w:w="771" w:type="pct"/>
                  <w:vAlign w:val="center"/>
                </w:tcPr>
                <w:p w14:paraId="5313FEBE">
                  <w:pPr>
                    <w:pStyle w:val="2"/>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900-0</w:t>
                  </w:r>
                  <w:r>
                    <w:rPr>
                      <w:rFonts w:hint="eastAsia" w:ascii="Times New Roman" w:cs="Times New Roman"/>
                      <w:color w:val="auto"/>
                      <w:sz w:val="21"/>
                      <w:szCs w:val="21"/>
                      <w:highlight w:val="none"/>
                      <w:lang w:val="en-US" w:eastAsia="zh-CN"/>
                    </w:rPr>
                    <w:t>02</w:t>
                  </w:r>
                  <w:r>
                    <w:rPr>
                      <w:rFonts w:hint="default" w:ascii="Times New Roman" w:hAnsi="Times New Roman" w:cs="Times New Roman"/>
                      <w:color w:val="auto"/>
                      <w:sz w:val="21"/>
                      <w:szCs w:val="21"/>
                      <w:highlight w:val="none"/>
                      <w:lang w:val="en-US" w:eastAsia="zh-CN"/>
                    </w:rPr>
                    <w:t>-S64</w:t>
                  </w:r>
                </w:p>
              </w:tc>
              <w:tc>
                <w:tcPr>
                  <w:tcW w:w="603" w:type="pct"/>
                  <w:vAlign w:val="center"/>
                </w:tcPr>
                <w:p w14:paraId="71E8C9CD">
                  <w:pPr>
                    <w:pStyle w:val="2"/>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产污系数法</w:t>
                  </w:r>
                </w:p>
              </w:tc>
              <w:tc>
                <w:tcPr>
                  <w:tcW w:w="604" w:type="pct"/>
                  <w:vAlign w:val="center"/>
                </w:tcPr>
                <w:p w14:paraId="4C49C44C">
                  <w:pPr>
                    <w:pStyle w:val="2"/>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0.26</w:t>
                  </w:r>
                </w:p>
              </w:tc>
              <w:tc>
                <w:tcPr>
                  <w:tcW w:w="603" w:type="pct"/>
                  <w:vAlign w:val="center"/>
                </w:tcPr>
                <w:p w14:paraId="7BC25279">
                  <w:pPr>
                    <w:pStyle w:val="2"/>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交由环卫部门处理</w:t>
                  </w:r>
                </w:p>
              </w:tc>
              <w:tc>
                <w:tcPr>
                  <w:tcW w:w="605" w:type="pct"/>
                  <w:vAlign w:val="center"/>
                </w:tcPr>
                <w:p w14:paraId="50DD8C15">
                  <w:pPr>
                    <w:pStyle w:val="2"/>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0.26</w:t>
                  </w:r>
                </w:p>
              </w:tc>
              <w:tc>
                <w:tcPr>
                  <w:tcW w:w="607" w:type="pct"/>
                  <w:vAlign w:val="center"/>
                </w:tcPr>
                <w:p w14:paraId="11A43956">
                  <w:pPr>
                    <w:pStyle w:val="2"/>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交由环卫部门处理</w:t>
                  </w:r>
                </w:p>
              </w:tc>
            </w:tr>
            <w:tr w14:paraId="6757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01" w:type="pct"/>
                  <w:vAlign w:val="center"/>
                </w:tcPr>
                <w:p w14:paraId="203E30B5">
                  <w:pPr>
                    <w:pStyle w:val="2"/>
                    <w:spacing w:line="240" w:lineRule="auto"/>
                    <w:jc w:val="center"/>
                    <w:rPr>
                      <w:rFonts w:hint="default" w:ascii="Times New Roman" w:hAnsi="Times New Roman" w:eastAsia="宋体" w:cs="Times New Roman"/>
                      <w:color w:val="auto"/>
                      <w:spacing w:val="-2"/>
                      <w:sz w:val="21"/>
                      <w:szCs w:val="21"/>
                      <w:highlight w:val="none"/>
                      <w:lang w:val="en-US" w:eastAsia="zh-CN"/>
                    </w:rPr>
                  </w:pPr>
                  <w:r>
                    <w:rPr>
                      <w:rFonts w:hint="eastAsia" w:ascii="Times New Roman" w:cs="Times New Roman"/>
                      <w:color w:val="auto"/>
                      <w:spacing w:val="-2"/>
                      <w:sz w:val="21"/>
                      <w:szCs w:val="21"/>
                      <w:highlight w:val="none"/>
                      <w:lang w:val="en-US" w:eastAsia="zh-CN"/>
                    </w:rPr>
                    <w:t>不可再生利用类固废</w:t>
                  </w:r>
                </w:p>
              </w:tc>
              <w:tc>
                <w:tcPr>
                  <w:tcW w:w="603" w:type="pct"/>
                  <w:vMerge w:val="restart"/>
                  <w:vAlign w:val="center"/>
                </w:tcPr>
                <w:p w14:paraId="392694D5">
                  <w:pPr>
                    <w:pStyle w:val="2"/>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一般固废</w:t>
                  </w:r>
                </w:p>
              </w:tc>
              <w:tc>
                <w:tcPr>
                  <w:tcW w:w="771" w:type="pct"/>
                  <w:shd w:val="clear" w:color="auto" w:fill="auto"/>
                  <w:vAlign w:val="center"/>
                </w:tcPr>
                <w:p w14:paraId="71568CEC">
                  <w:pPr>
                    <w:spacing w:line="240" w:lineRule="auto"/>
                    <w:jc w:val="center"/>
                    <w:rPr>
                      <w:rFonts w:hint="default" w:ascii="Times New Roman" w:hAnsi="Times New Roman" w:eastAsia="宋体" w:cs="Times New Roman"/>
                      <w:color w:val="auto"/>
                      <w:kern w:val="0"/>
                      <w:position w:val="-10"/>
                      <w:sz w:val="21"/>
                      <w:szCs w:val="21"/>
                      <w:highlight w:val="none"/>
                      <w:lang w:val="en-US" w:eastAsia="zh-CN" w:bidi="ar-SA"/>
                    </w:rPr>
                  </w:pPr>
                  <w:r>
                    <w:rPr>
                      <w:rFonts w:hint="default" w:ascii="Times New Roman" w:hAnsi="Times New Roman" w:eastAsia="宋体" w:cs="Times New Roman"/>
                      <w:color w:val="auto"/>
                      <w:kern w:val="0"/>
                      <w:position w:val="-10"/>
                      <w:sz w:val="21"/>
                      <w:szCs w:val="21"/>
                      <w:highlight w:val="none"/>
                      <w:lang w:val="en-US" w:eastAsia="zh-CN"/>
                    </w:rPr>
                    <w:t>900-0</w:t>
                  </w:r>
                  <w:r>
                    <w:rPr>
                      <w:rFonts w:hint="eastAsia" w:cs="Times New Roman"/>
                      <w:color w:val="auto"/>
                      <w:kern w:val="0"/>
                      <w:position w:val="-10"/>
                      <w:sz w:val="21"/>
                      <w:szCs w:val="21"/>
                      <w:highlight w:val="none"/>
                      <w:lang w:val="en-US" w:eastAsia="zh-CN"/>
                    </w:rPr>
                    <w:t>99-</w:t>
                  </w:r>
                  <w:r>
                    <w:rPr>
                      <w:rFonts w:hint="default" w:ascii="Times New Roman" w:hAnsi="Times New Roman" w:eastAsia="宋体" w:cs="Times New Roman"/>
                      <w:color w:val="auto"/>
                      <w:kern w:val="0"/>
                      <w:position w:val="-10"/>
                      <w:sz w:val="21"/>
                      <w:szCs w:val="21"/>
                      <w:highlight w:val="none"/>
                      <w:lang w:val="en-US" w:eastAsia="zh-CN"/>
                    </w:rPr>
                    <w:t>S</w:t>
                  </w:r>
                  <w:r>
                    <w:rPr>
                      <w:rFonts w:hint="eastAsia" w:cs="Times New Roman"/>
                      <w:color w:val="auto"/>
                      <w:kern w:val="0"/>
                      <w:position w:val="-10"/>
                      <w:sz w:val="21"/>
                      <w:szCs w:val="21"/>
                      <w:highlight w:val="none"/>
                      <w:lang w:val="en-US" w:eastAsia="zh-CN"/>
                    </w:rPr>
                    <w:t>59</w:t>
                  </w:r>
                </w:p>
              </w:tc>
              <w:tc>
                <w:tcPr>
                  <w:tcW w:w="603" w:type="pct"/>
                  <w:shd w:val="clear" w:color="auto" w:fill="auto"/>
                  <w:vAlign w:val="center"/>
                </w:tcPr>
                <w:p w14:paraId="11FBC1F5">
                  <w:pPr>
                    <w:spacing w:line="240" w:lineRule="auto"/>
                    <w:jc w:val="center"/>
                    <w:rPr>
                      <w:rFonts w:hint="default" w:ascii="Times New Roman" w:hAnsi="Times New Roman" w:eastAsia="宋体" w:cs="Times New Roman"/>
                      <w:color w:val="auto"/>
                      <w:kern w:val="0"/>
                      <w:position w:val="-10"/>
                      <w:sz w:val="21"/>
                      <w:szCs w:val="21"/>
                      <w:highlight w:val="none"/>
                      <w:lang w:val="en-US" w:eastAsia="zh-CN" w:bidi="ar-SA"/>
                    </w:rPr>
                  </w:pPr>
                  <w:r>
                    <w:rPr>
                      <w:rFonts w:hint="default" w:ascii="Times New Roman" w:hAnsi="Times New Roman" w:eastAsia="宋体" w:cs="Times New Roman"/>
                      <w:color w:val="auto"/>
                      <w:kern w:val="0"/>
                      <w:position w:val="-10"/>
                      <w:sz w:val="21"/>
                      <w:szCs w:val="21"/>
                      <w:highlight w:val="none"/>
                    </w:rPr>
                    <w:t>类比法</w:t>
                  </w:r>
                </w:p>
              </w:tc>
              <w:tc>
                <w:tcPr>
                  <w:tcW w:w="604" w:type="pct"/>
                  <w:shd w:val="clear" w:color="auto" w:fill="auto"/>
                  <w:vAlign w:val="center"/>
                </w:tcPr>
                <w:p w14:paraId="23C9336F">
                  <w:pPr>
                    <w:spacing w:line="240" w:lineRule="auto"/>
                    <w:jc w:val="center"/>
                    <w:rPr>
                      <w:rFonts w:hint="default" w:ascii="Times New Roman" w:hAnsi="Times New Roman" w:eastAsia="宋体" w:cs="Times New Roman"/>
                      <w:color w:val="auto"/>
                      <w:kern w:val="0"/>
                      <w:position w:val="-10"/>
                      <w:sz w:val="21"/>
                      <w:szCs w:val="21"/>
                      <w:highlight w:val="none"/>
                      <w:lang w:val="en-US" w:eastAsia="zh-CN" w:bidi="ar-SA"/>
                    </w:rPr>
                  </w:pPr>
                  <w:r>
                    <w:rPr>
                      <w:rFonts w:hint="eastAsia" w:cs="Times New Roman"/>
                      <w:color w:val="auto"/>
                      <w:kern w:val="0"/>
                      <w:position w:val="-10"/>
                      <w:sz w:val="21"/>
                      <w:szCs w:val="21"/>
                      <w:highlight w:val="none"/>
                      <w:lang w:val="en-US" w:eastAsia="zh-CN"/>
                    </w:rPr>
                    <w:t>3285</w:t>
                  </w:r>
                </w:p>
              </w:tc>
              <w:tc>
                <w:tcPr>
                  <w:tcW w:w="603" w:type="pct"/>
                  <w:shd w:val="clear" w:color="auto" w:fill="auto"/>
                  <w:vAlign w:val="center"/>
                </w:tcPr>
                <w:p w14:paraId="5E4C7718">
                  <w:pPr>
                    <w:pStyle w:val="2"/>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cs="Times New Roman"/>
                      <w:color w:val="auto"/>
                      <w:sz w:val="21"/>
                      <w:szCs w:val="21"/>
                      <w:highlight w:val="none"/>
                      <w:lang w:val="en-US" w:eastAsia="zh-CN"/>
                    </w:rPr>
                    <w:t>定期交由</w:t>
                  </w:r>
                  <w:r>
                    <w:rPr>
                      <w:rFonts w:hint="default" w:ascii="Times New Roman" w:hAnsi="Times New Roman" w:cs="Times New Roman"/>
                      <w:color w:val="auto"/>
                      <w:sz w:val="21"/>
                      <w:szCs w:val="21"/>
                      <w:highlight w:val="none"/>
                    </w:rPr>
                    <w:t>相关回收单位处理</w:t>
                  </w:r>
                </w:p>
              </w:tc>
              <w:tc>
                <w:tcPr>
                  <w:tcW w:w="605" w:type="pct"/>
                  <w:shd w:val="clear" w:color="auto" w:fill="auto"/>
                  <w:vAlign w:val="center"/>
                </w:tcPr>
                <w:p w14:paraId="4896C622">
                  <w:pPr>
                    <w:pStyle w:val="2"/>
                    <w:spacing w:line="240" w:lineRule="auto"/>
                    <w:jc w:val="center"/>
                    <w:rPr>
                      <w:rFonts w:hint="default" w:ascii="Times New Roman" w:hAnsi="Times New Roman" w:eastAsia="宋体" w:cs="Times New Roman"/>
                      <w:color w:val="auto"/>
                      <w:spacing w:val="-2"/>
                      <w:kern w:val="2"/>
                      <w:sz w:val="21"/>
                      <w:szCs w:val="21"/>
                      <w:highlight w:val="none"/>
                      <w:lang w:val="en-US" w:eastAsia="zh-CN" w:bidi="ar-SA"/>
                    </w:rPr>
                  </w:pPr>
                  <w:r>
                    <w:rPr>
                      <w:rFonts w:hint="eastAsia" w:ascii="Times New Roman" w:cs="Times New Roman"/>
                      <w:color w:val="auto"/>
                      <w:spacing w:val="-2"/>
                      <w:sz w:val="21"/>
                      <w:szCs w:val="21"/>
                      <w:highlight w:val="none"/>
                      <w:lang w:val="en-US" w:eastAsia="zh-CN"/>
                    </w:rPr>
                    <w:t>3310</w:t>
                  </w:r>
                </w:p>
              </w:tc>
              <w:tc>
                <w:tcPr>
                  <w:tcW w:w="607" w:type="pct"/>
                  <w:shd w:val="clear" w:color="auto" w:fill="auto"/>
                  <w:vAlign w:val="center"/>
                </w:tcPr>
                <w:p w14:paraId="7DC3C538">
                  <w:pPr>
                    <w:pStyle w:val="2"/>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外售相关回收单位处理</w:t>
                  </w:r>
                </w:p>
              </w:tc>
            </w:tr>
            <w:tr w14:paraId="6D1E8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01" w:type="pct"/>
                  <w:vAlign w:val="center"/>
                </w:tcPr>
                <w:p w14:paraId="236766FE">
                  <w:pPr>
                    <w:pStyle w:val="2"/>
                    <w:spacing w:line="240"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废矿物油及油桶</w:t>
                  </w:r>
                </w:p>
              </w:tc>
              <w:tc>
                <w:tcPr>
                  <w:tcW w:w="603" w:type="pct"/>
                  <w:vMerge w:val="restart"/>
                  <w:vAlign w:val="center"/>
                </w:tcPr>
                <w:p w14:paraId="2A445EA6">
                  <w:pPr>
                    <w:pStyle w:val="2"/>
                    <w:spacing w:line="240" w:lineRule="auto"/>
                    <w:jc w:val="center"/>
                    <w:rPr>
                      <w:rFonts w:hint="eastAsia" w:ascii="Times New Roman" w:hAnsi="Times New Roman" w:eastAsia="宋体" w:cs="Times New Roman"/>
                      <w:color w:val="auto"/>
                      <w:spacing w:val="-2"/>
                      <w:sz w:val="21"/>
                      <w:szCs w:val="21"/>
                      <w:highlight w:val="none"/>
                      <w:lang w:val="en-US" w:eastAsia="zh-CN"/>
                    </w:rPr>
                  </w:pPr>
                  <w:r>
                    <w:rPr>
                      <w:rFonts w:hint="eastAsia" w:ascii="Times New Roman" w:cs="Times New Roman"/>
                      <w:color w:val="auto"/>
                      <w:spacing w:val="-2"/>
                      <w:sz w:val="21"/>
                      <w:szCs w:val="21"/>
                      <w:highlight w:val="none"/>
                      <w:lang w:val="en-US" w:eastAsia="zh-CN"/>
                    </w:rPr>
                    <w:t>危险废物</w:t>
                  </w:r>
                </w:p>
              </w:tc>
              <w:tc>
                <w:tcPr>
                  <w:tcW w:w="771" w:type="pct"/>
                  <w:vAlign w:val="center"/>
                </w:tcPr>
                <w:p w14:paraId="2AC29A25">
                  <w:pPr>
                    <w:pStyle w:val="2"/>
                    <w:spacing w:line="240"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900-249-08</w:t>
                  </w:r>
                </w:p>
              </w:tc>
              <w:tc>
                <w:tcPr>
                  <w:tcW w:w="603" w:type="pct"/>
                  <w:vAlign w:val="center"/>
                </w:tcPr>
                <w:p w14:paraId="43122D6B">
                  <w:pPr>
                    <w:pStyle w:val="2"/>
                    <w:spacing w:line="240"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产污系数法</w:t>
                  </w:r>
                </w:p>
              </w:tc>
              <w:tc>
                <w:tcPr>
                  <w:tcW w:w="604" w:type="pct"/>
                  <w:vAlign w:val="center"/>
                </w:tcPr>
                <w:p w14:paraId="4CCC65DE">
                  <w:pPr>
                    <w:pStyle w:val="2"/>
                    <w:spacing w:line="240" w:lineRule="auto"/>
                    <w:jc w:val="center"/>
                    <w:rPr>
                      <w:rFonts w:hint="default" w:ascii="Times New Roman" w:hAnsi="Times New Roman" w:eastAsia="宋体" w:cs="Times New Roman"/>
                      <w:color w:val="auto"/>
                      <w:spacing w:val="-2"/>
                      <w:sz w:val="21"/>
                      <w:szCs w:val="21"/>
                      <w:highlight w:val="none"/>
                      <w:lang w:val="en-US" w:eastAsia="zh-CN"/>
                    </w:rPr>
                  </w:pPr>
                  <w:r>
                    <w:rPr>
                      <w:rFonts w:hint="eastAsia" w:ascii="Times New Roman" w:cs="Times New Roman"/>
                      <w:color w:val="auto"/>
                      <w:spacing w:val="-2"/>
                      <w:sz w:val="21"/>
                      <w:szCs w:val="21"/>
                      <w:highlight w:val="none"/>
                      <w:lang w:val="en-US" w:eastAsia="zh-CN"/>
                    </w:rPr>
                    <w:t>0.157</w:t>
                  </w:r>
                </w:p>
              </w:tc>
              <w:tc>
                <w:tcPr>
                  <w:tcW w:w="603" w:type="pct"/>
                  <w:vMerge w:val="restart"/>
                  <w:vAlign w:val="center"/>
                </w:tcPr>
                <w:p w14:paraId="0362800E">
                  <w:pPr>
                    <w:pStyle w:val="2"/>
                    <w:spacing w:line="240"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定期交由有资质的单位回收处理</w:t>
                  </w:r>
                </w:p>
              </w:tc>
              <w:tc>
                <w:tcPr>
                  <w:tcW w:w="605" w:type="pct"/>
                  <w:vAlign w:val="center"/>
                </w:tcPr>
                <w:p w14:paraId="5CE0945B">
                  <w:pPr>
                    <w:pStyle w:val="2"/>
                    <w:spacing w:line="240" w:lineRule="auto"/>
                    <w:jc w:val="center"/>
                    <w:rPr>
                      <w:rFonts w:hint="default" w:ascii="Times New Roman" w:hAnsi="Times New Roman" w:eastAsia="宋体" w:cs="Times New Roman"/>
                      <w:color w:val="auto"/>
                      <w:spacing w:val="-2"/>
                      <w:sz w:val="21"/>
                      <w:szCs w:val="21"/>
                      <w:highlight w:val="none"/>
                      <w:lang w:val="en-US" w:eastAsia="zh-CN"/>
                    </w:rPr>
                  </w:pPr>
                  <w:r>
                    <w:rPr>
                      <w:rFonts w:hint="eastAsia" w:ascii="Times New Roman" w:cs="Times New Roman"/>
                      <w:color w:val="auto"/>
                      <w:spacing w:val="-2"/>
                      <w:sz w:val="21"/>
                      <w:szCs w:val="21"/>
                      <w:highlight w:val="none"/>
                      <w:lang w:val="en-US" w:eastAsia="zh-CN"/>
                    </w:rPr>
                    <w:t>0.157</w:t>
                  </w:r>
                </w:p>
              </w:tc>
              <w:tc>
                <w:tcPr>
                  <w:tcW w:w="607" w:type="pct"/>
                  <w:vMerge w:val="restart"/>
                  <w:vAlign w:val="center"/>
                </w:tcPr>
                <w:p w14:paraId="0336823F">
                  <w:pPr>
                    <w:pStyle w:val="2"/>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定期交由有资质的单位回收处理</w:t>
                  </w:r>
                </w:p>
              </w:tc>
            </w:tr>
            <w:tr w14:paraId="16DA6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01" w:type="pct"/>
                  <w:vAlign w:val="center"/>
                </w:tcPr>
                <w:p w14:paraId="5D5B5E56">
                  <w:pPr>
                    <w:pStyle w:val="2"/>
                    <w:spacing w:line="240"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lang w:val="en-US" w:eastAsia="zh-CN"/>
                    </w:rPr>
                    <w:t>废含油抹布及手套</w:t>
                  </w:r>
                </w:p>
              </w:tc>
              <w:tc>
                <w:tcPr>
                  <w:tcW w:w="603" w:type="pct"/>
                  <w:vMerge w:val="continue"/>
                  <w:vAlign w:val="center"/>
                </w:tcPr>
                <w:p w14:paraId="2508526C">
                  <w:pPr>
                    <w:pStyle w:val="2"/>
                    <w:spacing w:line="240" w:lineRule="auto"/>
                    <w:jc w:val="center"/>
                    <w:rPr>
                      <w:rFonts w:hint="default" w:ascii="Times New Roman" w:hAnsi="Times New Roman" w:eastAsia="宋体" w:cs="Times New Roman"/>
                      <w:color w:val="auto"/>
                      <w:spacing w:val="-2"/>
                      <w:sz w:val="21"/>
                      <w:szCs w:val="21"/>
                      <w:highlight w:val="none"/>
                    </w:rPr>
                  </w:pPr>
                </w:p>
              </w:tc>
              <w:tc>
                <w:tcPr>
                  <w:tcW w:w="771" w:type="pct"/>
                  <w:vAlign w:val="center"/>
                </w:tcPr>
                <w:p w14:paraId="3DA92DCD">
                  <w:pPr>
                    <w:pStyle w:val="2"/>
                    <w:spacing w:line="240"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900-0</w:t>
                  </w:r>
                  <w:r>
                    <w:rPr>
                      <w:rFonts w:hint="default" w:ascii="Times New Roman" w:hAnsi="Times New Roman" w:eastAsia="宋体" w:cs="Times New Roman"/>
                      <w:color w:val="auto"/>
                      <w:spacing w:val="-2"/>
                      <w:sz w:val="21"/>
                      <w:szCs w:val="21"/>
                      <w:highlight w:val="none"/>
                      <w:lang w:val="en-US" w:eastAsia="zh-CN"/>
                    </w:rPr>
                    <w:t>41</w:t>
                  </w:r>
                  <w:r>
                    <w:rPr>
                      <w:rFonts w:hint="default" w:ascii="Times New Roman" w:hAnsi="Times New Roman" w:eastAsia="宋体" w:cs="Times New Roman"/>
                      <w:color w:val="auto"/>
                      <w:spacing w:val="-2"/>
                      <w:sz w:val="21"/>
                      <w:szCs w:val="21"/>
                      <w:highlight w:val="none"/>
                    </w:rPr>
                    <w:t>-49</w:t>
                  </w:r>
                </w:p>
              </w:tc>
              <w:tc>
                <w:tcPr>
                  <w:tcW w:w="603" w:type="pct"/>
                  <w:vAlign w:val="center"/>
                </w:tcPr>
                <w:p w14:paraId="194EAF25">
                  <w:pPr>
                    <w:pStyle w:val="2"/>
                    <w:spacing w:line="240" w:lineRule="auto"/>
                    <w:jc w:val="center"/>
                    <w:rPr>
                      <w:rFonts w:hint="default" w:ascii="Times New Roman" w:hAnsi="Times New Roman" w:eastAsia="宋体" w:cs="Times New Roman"/>
                      <w:color w:val="auto"/>
                      <w:spacing w:val="-2"/>
                      <w:sz w:val="21"/>
                      <w:szCs w:val="21"/>
                      <w:highlight w:val="none"/>
                      <w:lang w:val="en-US" w:eastAsia="zh-CN"/>
                    </w:rPr>
                  </w:pPr>
                  <w:r>
                    <w:rPr>
                      <w:rFonts w:hint="default" w:ascii="Times New Roman" w:hAnsi="Times New Roman" w:eastAsia="宋体" w:cs="Times New Roman"/>
                      <w:color w:val="auto"/>
                      <w:spacing w:val="-2"/>
                      <w:sz w:val="21"/>
                      <w:szCs w:val="21"/>
                      <w:highlight w:val="none"/>
                      <w:lang w:val="en-US" w:eastAsia="zh-CN"/>
                    </w:rPr>
                    <w:t>类比法</w:t>
                  </w:r>
                </w:p>
              </w:tc>
              <w:tc>
                <w:tcPr>
                  <w:tcW w:w="604" w:type="pct"/>
                  <w:vAlign w:val="center"/>
                </w:tcPr>
                <w:p w14:paraId="7606B1D6">
                  <w:pPr>
                    <w:pStyle w:val="2"/>
                    <w:spacing w:line="240" w:lineRule="auto"/>
                    <w:jc w:val="center"/>
                    <w:rPr>
                      <w:rFonts w:hint="default" w:ascii="Times New Roman" w:hAnsi="Times New Roman" w:eastAsia="宋体" w:cs="Times New Roman"/>
                      <w:color w:val="auto"/>
                      <w:spacing w:val="-2"/>
                      <w:sz w:val="21"/>
                      <w:szCs w:val="21"/>
                      <w:highlight w:val="none"/>
                      <w:lang w:val="en-US" w:eastAsia="zh-CN"/>
                    </w:rPr>
                  </w:pPr>
                  <w:r>
                    <w:rPr>
                      <w:rFonts w:hint="eastAsia" w:ascii="Times New Roman" w:cs="Times New Roman"/>
                      <w:color w:val="auto"/>
                      <w:spacing w:val="-2"/>
                      <w:sz w:val="21"/>
                      <w:szCs w:val="21"/>
                      <w:highlight w:val="none"/>
                      <w:lang w:val="en-US" w:eastAsia="zh-CN"/>
                    </w:rPr>
                    <w:t>0.01</w:t>
                  </w:r>
                </w:p>
              </w:tc>
              <w:tc>
                <w:tcPr>
                  <w:tcW w:w="603" w:type="pct"/>
                  <w:vMerge w:val="continue"/>
                  <w:vAlign w:val="center"/>
                </w:tcPr>
                <w:p w14:paraId="7700AA55">
                  <w:pPr>
                    <w:pStyle w:val="2"/>
                    <w:spacing w:line="240" w:lineRule="auto"/>
                    <w:jc w:val="center"/>
                    <w:rPr>
                      <w:rFonts w:hint="default" w:ascii="Times New Roman" w:hAnsi="Times New Roman" w:eastAsia="宋体" w:cs="Times New Roman"/>
                      <w:color w:val="auto"/>
                      <w:spacing w:val="-2"/>
                      <w:sz w:val="21"/>
                      <w:szCs w:val="21"/>
                      <w:highlight w:val="none"/>
                    </w:rPr>
                  </w:pPr>
                </w:p>
              </w:tc>
              <w:tc>
                <w:tcPr>
                  <w:tcW w:w="605" w:type="pct"/>
                  <w:vAlign w:val="center"/>
                </w:tcPr>
                <w:p w14:paraId="6D3B92C8">
                  <w:pPr>
                    <w:pStyle w:val="2"/>
                    <w:spacing w:line="240" w:lineRule="auto"/>
                    <w:jc w:val="center"/>
                    <w:rPr>
                      <w:rFonts w:hint="default" w:ascii="Times New Roman" w:hAnsi="Times New Roman" w:eastAsia="宋体" w:cs="Times New Roman"/>
                      <w:color w:val="auto"/>
                      <w:spacing w:val="-2"/>
                      <w:sz w:val="21"/>
                      <w:szCs w:val="21"/>
                      <w:highlight w:val="none"/>
                      <w:lang w:val="en-US" w:eastAsia="zh-CN"/>
                    </w:rPr>
                  </w:pPr>
                  <w:r>
                    <w:rPr>
                      <w:rFonts w:hint="default" w:ascii="Times New Roman" w:hAnsi="Times New Roman" w:eastAsia="宋体" w:cs="Times New Roman"/>
                      <w:color w:val="auto"/>
                      <w:spacing w:val="-2"/>
                      <w:sz w:val="21"/>
                      <w:szCs w:val="21"/>
                      <w:highlight w:val="none"/>
                      <w:lang w:val="en-US" w:eastAsia="zh-CN"/>
                    </w:rPr>
                    <w:t>0.01</w:t>
                  </w:r>
                </w:p>
              </w:tc>
              <w:tc>
                <w:tcPr>
                  <w:tcW w:w="607" w:type="pct"/>
                  <w:vMerge w:val="continue"/>
                  <w:vAlign w:val="center"/>
                </w:tcPr>
                <w:p w14:paraId="55E23045">
                  <w:pPr>
                    <w:pStyle w:val="2"/>
                    <w:spacing w:line="240" w:lineRule="auto"/>
                    <w:jc w:val="center"/>
                    <w:rPr>
                      <w:rFonts w:hint="default" w:ascii="Times New Roman" w:hAnsi="Times New Roman" w:cs="Times New Roman"/>
                      <w:color w:val="auto"/>
                      <w:sz w:val="21"/>
                      <w:szCs w:val="21"/>
                      <w:highlight w:val="none"/>
                    </w:rPr>
                  </w:pPr>
                </w:p>
              </w:tc>
            </w:tr>
          </w:tbl>
          <w:p w14:paraId="12DD77EB">
            <w:pPr>
              <w:keepNext/>
              <w:keepLines/>
              <w:tabs>
                <w:tab w:val="left" w:pos="0"/>
              </w:tabs>
              <w:ind w:left="480" w:leftChars="200"/>
              <w:outlineLvl w:val="3"/>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2、固体废物贮存和处置情况</w:t>
            </w:r>
          </w:p>
          <w:p w14:paraId="01282BF3">
            <w:pPr>
              <w:widowControl w:val="0"/>
              <w:wordWrap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bookmarkStart w:id="113" w:name="_Ref10526"/>
            <w:r>
              <w:rPr>
                <w:rFonts w:hint="default" w:ascii="Times New Roman" w:hAnsi="Times New Roman" w:eastAsia="宋体" w:cs="Times New Roman"/>
                <w:color w:val="auto"/>
                <w:kern w:val="2"/>
                <w:sz w:val="24"/>
                <w:szCs w:val="24"/>
                <w:highlight w:val="none"/>
                <w:lang w:val="en-US" w:eastAsia="zh-CN" w:bidi="ar-SA"/>
              </w:rPr>
              <w:t>根据《国家危险废物名录》（202</w:t>
            </w:r>
            <w:r>
              <w:rPr>
                <w:rFonts w:hint="default" w:ascii="Times New Roman" w:hAnsi="Times New Roman" w:cs="Times New Roman"/>
                <w:color w:val="auto"/>
                <w:kern w:val="2"/>
                <w:sz w:val="24"/>
                <w:szCs w:val="24"/>
                <w:highlight w:val="none"/>
                <w:lang w:val="en-US" w:eastAsia="zh-CN" w:bidi="ar-SA"/>
              </w:rPr>
              <w:t>5</w:t>
            </w:r>
            <w:r>
              <w:rPr>
                <w:rFonts w:hint="default" w:ascii="Times New Roman" w:hAnsi="Times New Roman" w:eastAsia="宋体" w:cs="Times New Roman"/>
                <w:color w:val="auto"/>
                <w:kern w:val="2"/>
                <w:sz w:val="24"/>
                <w:szCs w:val="24"/>
                <w:highlight w:val="none"/>
                <w:lang w:val="en-US" w:eastAsia="zh-CN" w:bidi="ar-SA"/>
              </w:rPr>
              <w:t>年版），危险废物从产生、收集、贮运、转运、处置等各个环节都可能因管理不善而进入环境，因此在各个环节中，抛落、渗漏、丢弃等问题都可能存在，为了使各种危险废物能合法合理处置，本次评价拟按照《危险废物贮存污染控制标准》（GB18597-2023）等国家相关法律，提出相应的治理措施，进一步规范收集、贮运、处置等操作过程。</w:t>
            </w:r>
          </w:p>
          <w:p w14:paraId="1C4D8FA1">
            <w:pPr>
              <w:widowControl w:val="0"/>
              <w:spacing w:line="360" w:lineRule="auto"/>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表</w:t>
            </w:r>
            <w:r>
              <w:rPr>
                <w:rFonts w:hint="default" w:ascii="Times New Roman" w:hAnsi="Times New Roman" w:eastAsia="宋体" w:cs="Times New Roman"/>
                <w:b/>
                <w:bCs/>
                <w:color w:val="auto"/>
                <w:kern w:val="2"/>
                <w:sz w:val="21"/>
                <w:szCs w:val="21"/>
                <w:highlight w:val="none"/>
                <w:lang w:val="en-US" w:eastAsia="zh-CN" w:bidi="ar-SA"/>
              </w:rPr>
              <w:fldChar w:fldCharType="begin"/>
            </w:r>
            <w:r>
              <w:rPr>
                <w:rFonts w:hint="default" w:ascii="Times New Roman" w:hAnsi="Times New Roman" w:eastAsia="宋体" w:cs="Times New Roman"/>
                <w:b/>
                <w:bCs/>
                <w:color w:val="auto"/>
                <w:kern w:val="2"/>
                <w:sz w:val="21"/>
                <w:szCs w:val="21"/>
                <w:highlight w:val="none"/>
                <w:lang w:val="en-US" w:eastAsia="zh-CN" w:bidi="ar-SA"/>
              </w:rPr>
              <w:instrText xml:space="preserve"> STYLEREF 1 \s </w:instrText>
            </w:r>
            <w:r>
              <w:rPr>
                <w:rFonts w:hint="default" w:ascii="Times New Roman" w:hAnsi="Times New Roman" w:eastAsia="宋体" w:cs="Times New Roman"/>
                <w:b/>
                <w:bCs/>
                <w:color w:val="auto"/>
                <w:kern w:val="2"/>
                <w:sz w:val="21"/>
                <w:szCs w:val="21"/>
                <w:highlight w:val="none"/>
                <w:lang w:val="en-US" w:eastAsia="zh-CN" w:bidi="ar-SA"/>
              </w:rPr>
              <w:fldChar w:fldCharType="separate"/>
            </w:r>
            <w:r>
              <w:rPr>
                <w:rFonts w:hint="default" w:ascii="Times New Roman" w:hAnsi="Times New Roman" w:eastAsia="宋体" w:cs="Times New Roman"/>
                <w:b/>
                <w:bCs/>
                <w:color w:val="auto"/>
                <w:kern w:val="2"/>
                <w:sz w:val="21"/>
                <w:szCs w:val="21"/>
                <w:highlight w:val="none"/>
                <w:lang w:val="en-US" w:eastAsia="zh-CN" w:bidi="ar-SA"/>
              </w:rPr>
              <w:t>4</w:t>
            </w:r>
            <w:r>
              <w:rPr>
                <w:rFonts w:hint="default" w:ascii="Times New Roman" w:hAnsi="Times New Roman" w:eastAsia="宋体" w:cs="Times New Roman"/>
                <w:b/>
                <w:bCs/>
                <w:color w:val="auto"/>
                <w:kern w:val="2"/>
                <w:sz w:val="21"/>
                <w:szCs w:val="21"/>
                <w:highlight w:val="none"/>
                <w:lang w:val="en-US" w:eastAsia="zh-CN" w:bidi="ar-SA"/>
              </w:rPr>
              <w:fldChar w:fldCharType="end"/>
            </w:r>
            <w:r>
              <w:rPr>
                <w:rFonts w:hint="default" w:ascii="Times New Roman" w:hAnsi="Times New Roman" w:eastAsia="宋体" w:cs="Times New Roman"/>
                <w:b/>
                <w:bCs/>
                <w:color w:val="auto"/>
                <w:kern w:val="2"/>
                <w:sz w:val="21"/>
                <w:szCs w:val="21"/>
                <w:highlight w:val="none"/>
                <w:lang w:val="en-US" w:eastAsia="zh-CN" w:bidi="ar-SA"/>
              </w:rPr>
              <w:t>-</w:t>
            </w:r>
            <w:r>
              <w:rPr>
                <w:rFonts w:hint="eastAsia" w:cs="Times New Roman"/>
                <w:b/>
                <w:bCs/>
                <w:color w:val="auto"/>
                <w:kern w:val="2"/>
                <w:sz w:val="21"/>
                <w:szCs w:val="21"/>
                <w:highlight w:val="none"/>
                <w:lang w:val="en-US" w:eastAsia="zh-CN" w:bidi="ar-SA"/>
              </w:rPr>
              <w:t>11</w:t>
            </w:r>
            <w:r>
              <w:rPr>
                <w:rFonts w:hint="default" w:ascii="Times New Roman" w:hAnsi="Times New Roman" w:eastAsia="宋体" w:cs="Times New Roman"/>
                <w:b/>
                <w:bCs/>
                <w:color w:val="auto"/>
                <w:kern w:val="2"/>
                <w:sz w:val="21"/>
                <w:szCs w:val="21"/>
                <w:highlight w:val="none"/>
                <w:lang w:val="en-US" w:eastAsia="zh-CN" w:bidi="ar-SA"/>
              </w:rPr>
              <w:t>危险废物汇总表</w:t>
            </w:r>
          </w:p>
          <w:tbl>
            <w:tblPr>
              <w:tblStyle w:val="4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783"/>
              <w:gridCol w:w="787"/>
              <w:gridCol w:w="787"/>
              <w:gridCol w:w="787"/>
              <w:gridCol w:w="787"/>
              <w:gridCol w:w="787"/>
              <w:gridCol w:w="789"/>
              <w:gridCol w:w="789"/>
              <w:gridCol w:w="789"/>
              <w:gridCol w:w="837"/>
            </w:tblGrid>
            <w:tr w14:paraId="62149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450" w:type="pct"/>
                  <w:vAlign w:val="center"/>
                </w:tcPr>
                <w:p w14:paraId="3B3E25C4">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危险废物名称</w:t>
                  </w:r>
                </w:p>
              </w:tc>
              <w:tc>
                <w:tcPr>
                  <w:tcW w:w="450" w:type="pct"/>
                  <w:vAlign w:val="center"/>
                </w:tcPr>
                <w:p w14:paraId="162931CC">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危险废物类别</w:t>
                  </w:r>
                </w:p>
              </w:tc>
              <w:tc>
                <w:tcPr>
                  <w:tcW w:w="452" w:type="pct"/>
                  <w:vAlign w:val="center"/>
                </w:tcPr>
                <w:p w14:paraId="4021255E">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危险废物代码</w:t>
                  </w:r>
                </w:p>
              </w:tc>
              <w:tc>
                <w:tcPr>
                  <w:tcW w:w="452" w:type="pct"/>
                  <w:vAlign w:val="center"/>
                </w:tcPr>
                <w:p w14:paraId="65A03081">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产生量</w:t>
                  </w:r>
                </w:p>
                <w:p w14:paraId="71DBAC04">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t/a</w:t>
                  </w:r>
                </w:p>
              </w:tc>
              <w:tc>
                <w:tcPr>
                  <w:tcW w:w="452" w:type="pct"/>
                  <w:vAlign w:val="center"/>
                </w:tcPr>
                <w:p w14:paraId="0C48ABE1">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产生工序及装置</w:t>
                  </w:r>
                </w:p>
              </w:tc>
              <w:tc>
                <w:tcPr>
                  <w:tcW w:w="452" w:type="pct"/>
                  <w:vAlign w:val="center"/>
                </w:tcPr>
                <w:p w14:paraId="76F1F0EE">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形态</w:t>
                  </w:r>
                </w:p>
              </w:tc>
              <w:tc>
                <w:tcPr>
                  <w:tcW w:w="452" w:type="pct"/>
                  <w:vAlign w:val="center"/>
                </w:tcPr>
                <w:p w14:paraId="562588D3">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主要成分</w:t>
                  </w:r>
                </w:p>
              </w:tc>
              <w:tc>
                <w:tcPr>
                  <w:tcW w:w="453" w:type="pct"/>
                  <w:vAlign w:val="center"/>
                </w:tcPr>
                <w:p w14:paraId="3DD3F6B6">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有害成分</w:t>
                  </w:r>
                </w:p>
              </w:tc>
              <w:tc>
                <w:tcPr>
                  <w:tcW w:w="453" w:type="pct"/>
                  <w:vAlign w:val="center"/>
                </w:tcPr>
                <w:p w14:paraId="6799960B">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产废周期</w:t>
                  </w:r>
                </w:p>
              </w:tc>
              <w:tc>
                <w:tcPr>
                  <w:tcW w:w="453" w:type="pct"/>
                  <w:vAlign w:val="center"/>
                </w:tcPr>
                <w:p w14:paraId="781CA455">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危险特性</w:t>
                  </w:r>
                </w:p>
              </w:tc>
              <w:tc>
                <w:tcPr>
                  <w:tcW w:w="479" w:type="pct"/>
                  <w:vAlign w:val="center"/>
                </w:tcPr>
                <w:p w14:paraId="239C695C">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污染防治措施</w:t>
                  </w:r>
                </w:p>
              </w:tc>
            </w:tr>
            <w:tr w14:paraId="2E69A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450" w:type="pct"/>
                  <w:vAlign w:val="center"/>
                </w:tcPr>
                <w:p w14:paraId="6F879B48">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color w:val="auto"/>
                      <w:highlight w:val="none"/>
                    </w:rPr>
                  </w:pPr>
                  <w:r>
                    <w:rPr>
                      <w:rFonts w:hint="default" w:ascii="Times New Roman" w:hAnsi="Times New Roman" w:eastAsia="宋体" w:cs="Times New Roman"/>
                      <w:b w:val="0"/>
                      <w:bCs w:val="0"/>
                      <w:color w:val="auto"/>
                      <w:szCs w:val="24"/>
                      <w:highlight w:val="none"/>
                      <w:lang w:val="en-US" w:eastAsia="zh-CN"/>
                    </w:rPr>
                    <w:t>废含油抹布及手套</w:t>
                  </w:r>
                </w:p>
              </w:tc>
              <w:tc>
                <w:tcPr>
                  <w:tcW w:w="450" w:type="pct"/>
                  <w:vAlign w:val="center"/>
                </w:tcPr>
                <w:p w14:paraId="559794E6">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HW49</w:t>
                  </w:r>
                </w:p>
              </w:tc>
              <w:tc>
                <w:tcPr>
                  <w:tcW w:w="452" w:type="pct"/>
                  <w:vAlign w:val="center"/>
                </w:tcPr>
                <w:p w14:paraId="6B009D12">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900-0</w:t>
                  </w:r>
                  <w:r>
                    <w:rPr>
                      <w:rFonts w:hint="default" w:ascii="Times New Roman" w:hAnsi="Times New Roman" w:cs="Times New Roman"/>
                      <w:color w:val="auto"/>
                      <w:highlight w:val="none"/>
                      <w:lang w:val="en-US" w:eastAsia="zh-CN"/>
                    </w:rPr>
                    <w:t>41</w:t>
                  </w:r>
                  <w:r>
                    <w:rPr>
                      <w:rFonts w:hint="default" w:ascii="Times New Roman" w:hAnsi="Times New Roman" w:cs="Times New Roman"/>
                      <w:color w:val="auto"/>
                      <w:highlight w:val="none"/>
                    </w:rPr>
                    <w:t>-49</w:t>
                  </w:r>
                </w:p>
              </w:tc>
              <w:tc>
                <w:tcPr>
                  <w:tcW w:w="452" w:type="pct"/>
                  <w:vAlign w:val="center"/>
                </w:tcPr>
                <w:p w14:paraId="0B7679B9">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0.01</w:t>
                  </w:r>
                </w:p>
              </w:tc>
              <w:tc>
                <w:tcPr>
                  <w:tcW w:w="452" w:type="pct"/>
                  <w:vAlign w:val="center"/>
                </w:tcPr>
                <w:p w14:paraId="45FF37DC">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设备维保</w:t>
                  </w:r>
                </w:p>
              </w:tc>
              <w:tc>
                <w:tcPr>
                  <w:tcW w:w="452" w:type="pct"/>
                  <w:vAlign w:val="center"/>
                </w:tcPr>
                <w:p w14:paraId="1914C31B">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固体、液体</w:t>
                  </w:r>
                </w:p>
              </w:tc>
              <w:tc>
                <w:tcPr>
                  <w:tcW w:w="452" w:type="pct"/>
                  <w:vAlign w:val="center"/>
                </w:tcPr>
                <w:p w14:paraId="37A5C2BE">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矿物油</w:t>
                  </w:r>
                </w:p>
              </w:tc>
              <w:tc>
                <w:tcPr>
                  <w:tcW w:w="453" w:type="pct"/>
                  <w:vAlign w:val="center"/>
                </w:tcPr>
                <w:p w14:paraId="6B87A8C9">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矿物油</w:t>
                  </w:r>
                </w:p>
              </w:tc>
              <w:tc>
                <w:tcPr>
                  <w:tcW w:w="453" w:type="pct"/>
                  <w:vAlign w:val="center"/>
                </w:tcPr>
                <w:p w14:paraId="3DB328AD">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每天</w:t>
                  </w:r>
                </w:p>
              </w:tc>
              <w:tc>
                <w:tcPr>
                  <w:tcW w:w="453" w:type="pct"/>
                  <w:vAlign w:val="center"/>
                </w:tcPr>
                <w:p w14:paraId="401375B7">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T</w:t>
                  </w:r>
                </w:p>
              </w:tc>
              <w:tc>
                <w:tcPr>
                  <w:tcW w:w="479" w:type="pct"/>
                  <w:vMerge w:val="restart"/>
                  <w:vAlign w:val="center"/>
                </w:tcPr>
                <w:p w14:paraId="2A3AF66A">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定期交由危险废物资质单位处理</w:t>
                  </w:r>
                </w:p>
              </w:tc>
            </w:tr>
            <w:tr w14:paraId="33E18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450" w:type="pct"/>
                  <w:vAlign w:val="center"/>
                </w:tcPr>
                <w:p w14:paraId="07F5963D">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废矿物油及油桶</w:t>
                  </w:r>
                </w:p>
              </w:tc>
              <w:tc>
                <w:tcPr>
                  <w:tcW w:w="450" w:type="pct"/>
                  <w:vAlign w:val="center"/>
                </w:tcPr>
                <w:p w14:paraId="6302D2A5">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HW08</w:t>
                  </w:r>
                </w:p>
              </w:tc>
              <w:tc>
                <w:tcPr>
                  <w:tcW w:w="452" w:type="pct"/>
                  <w:vAlign w:val="center"/>
                </w:tcPr>
                <w:p w14:paraId="5F3E5D52">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900-249-08</w:t>
                  </w:r>
                </w:p>
              </w:tc>
              <w:tc>
                <w:tcPr>
                  <w:tcW w:w="452" w:type="pct"/>
                  <w:vAlign w:val="center"/>
                </w:tcPr>
                <w:p w14:paraId="08BA5B6B">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0.</w:t>
                  </w:r>
                  <w:r>
                    <w:rPr>
                      <w:rFonts w:hint="eastAsia" w:cs="Times New Roman"/>
                      <w:color w:val="auto"/>
                      <w:highlight w:val="none"/>
                      <w:lang w:val="en-US" w:eastAsia="zh-CN"/>
                    </w:rPr>
                    <w:t>157</w:t>
                  </w:r>
                </w:p>
              </w:tc>
              <w:tc>
                <w:tcPr>
                  <w:tcW w:w="452" w:type="pct"/>
                  <w:vAlign w:val="center"/>
                </w:tcPr>
                <w:p w14:paraId="3598834D">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设备维保</w:t>
                  </w:r>
                </w:p>
              </w:tc>
              <w:tc>
                <w:tcPr>
                  <w:tcW w:w="452" w:type="pct"/>
                  <w:vAlign w:val="center"/>
                </w:tcPr>
                <w:p w14:paraId="64FDC681">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固体、液体</w:t>
                  </w:r>
                </w:p>
              </w:tc>
              <w:tc>
                <w:tcPr>
                  <w:tcW w:w="452" w:type="pct"/>
                  <w:vAlign w:val="center"/>
                </w:tcPr>
                <w:p w14:paraId="5A918314">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矿物油</w:t>
                  </w:r>
                </w:p>
              </w:tc>
              <w:tc>
                <w:tcPr>
                  <w:tcW w:w="453" w:type="pct"/>
                  <w:vAlign w:val="center"/>
                </w:tcPr>
                <w:p w14:paraId="7595210E">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矿物油</w:t>
                  </w:r>
                </w:p>
              </w:tc>
              <w:tc>
                <w:tcPr>
                  <w:tcW w:w="453" w:type="pct"/>
                  <w:vAlign w:val="center"/>
                </w:tcPr>
                <w:p w14:paraId="20104644">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3个月</w:t>
                  </w:r>
                </w:p>
              </w:tc>
              <w:tc>
                <w:tcPr>
                  <w:tcW w:w="453" w:type="pct"/>
                  <w:vAlign w:val="center"/>
                </w:tcPr>
                <w:p w14:paraId="2F5D3396">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T</w:t>
                  </w:r>
                </w:p>
              </w:tc>
              <w:tc>
                <w:tcPr>
                  <w:tcW w:w="479" w:type="pct"/>
                  <w:vMerge w:val="continue"/>
                  <w:vAlign w:val="center"/>
                </w:tcPr>
                <w:p w14:paraId="49787DFD">
                  <w:pPr>
                    <w:pStyle w:val="61"/>
                    <w:keepNext w:val="0"/>
                    <w:keepLines w:val="0"/>
                    <w:pageBreakBefore w:val="0"/>
                    <w:widowControl w:val="0"/>
                    <w:kinsoku/>
                    <w:wordWrap w:val="0"/>
                    <w:overflowPunct/>
                    <w:topLinePunct w:val="0"/>
                    <w:autoSpaceDE w:val="0"/>
                    <w:autoSpaceDN w:val="0"/>
                    <w:bidi w:val="0"/>
                    <w:adjustRightInd/>
                    <w:snapToGrid/>
                    <w:spacing w:line="240" w:lineRule="auto"/>
                    <w:jc w:val="center"/>
                    <w:textAlignment w:val="center"/>
                    <w:rPr>
                      <w:rFonts w:hint="default" w:ascii="Times New Roman" w:hAnsi="Times New Roman" w:cs="Times New Roman"/>
                      <w:color w:val="auto"/>
                      <w:highlight w:val="none"/>
                    </w:rPr>
                  </w:pPr>
                </w:p>
              </w:tc>
            </w:tr>
            <w:tr w14:paraId="3C94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000" w:type="pct"/>
                  <w:gridSpan w:val="11"/>
                  <w:vAlign w:val="center"/>
                </w:tcPr>
                <w:p w14:paraId="1E1A4D95">
                  <w:pPr>
                    <w:pStyle w:val="61"/>
                    <w:keepNext w:val="0"/>
                    <w:keepLines w:val="0"/>
                    <w:pageBreakBefore w:val="0"/>
                    <w:widowControl w:val="0"/>
                    <w:kinsoku/>
                    <w:wordWrap w:val="0"/>
                    <w:overflowPunct/>
                    <w:topLinePunct w:val="0"/>
                    <w:autoSpaceDE w:val="0"/>
                    <w:autoSpaceDN w:val="0"/>
                    <w:bidi w:val="0"/>
                    <w:adjustRightInd/>
                    <w:snapToGrid/>
                    <w:spacing w:line="240" w:lineRule="auto"/>
                    <w:jc w:val="left"/>
                    <w:textAlignment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注：T表示毒性</w:t>
                  </w:r>
                </w:p>
              </w:tc>
            </w:tr>
          </w:tbl>
          <w:p w14:paraId="6E166AAF">
            <w:pPr>
              <w:keepNext/>
              <w:keepLines/>
              <w:numPr>
                <w:ilvl w:val="4"/>
                <w:numId w:val="0"/>
              </w:numPr>
              <w:spacing w:line="360" w:lineRule="auto"/>
              <w:ind w:firstLine="480" w:firstLineChars="200"/>
              <w:outlineLvl w:val="4"/>
              <w:rPr>
                <w:rFonts w:hint="default" w:ascii="Times New Roman" w:hAnsi="Times New Roman" w:eastAsia="宋体" w:cs="Times New Roman"/>
                <w:b/>
                <w:bCs/>
                <w:color w:val="auto"/>
                <w:sz w:val="24"/>
                <w:szCs w:val="24"/>
                <w:highlight w:val="none"/>
                <w:lang w:val="en-US" w:eastAsia="zh-CN" w:bidi="ar-SA"/>
              </w:rPr>
            </w:pPr>
            <w:r>
              <w:rPr>
                <w:rFonts w:hint="default" w:ascii="Times New Roman" w:hAnsi="Times New Roman" w:eastAsia="宋体" w:cs="Times New Roman"/>
                <w:b/>
                <w:bCs/>
                <w:color w:val="auto"/>
                <w:sz w:val="24"/>
                <w:szCs w:val="24"/>
                <w:highlight w:val="none"/>
                <w:lang w:val="en-US" w:eastAsia="zh-CN" w:bidi="ar-SA"/>
              </w:rPr>
              <w:t>（1）产生和收集</w:t>
            </w:r>
          </w:p>
          <w:p w14:paraId="3AC58EE7">
            <w:pPr>
              <w:widowControl w:val="0"/>
              <w:wordWrap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本项目危险废物单次产生量很少，部分危险废物有</w:t>
            </w:r>
            <w:r>
              <w:rPr>
                <w:rFonts w:hint="default" w:ascii="Times New Roman" w:hAnsi="Times New Roman" w:cs="Times New Roman"/>
                <w:color w:val="auto"/>
                <w:kern w:val="2"/>
                <w:sz w:val="24"/>
                <w:szCs w:val="24"/>
                <w:highlight w:val="none"/>
                <w:lang w:val="en-US" w:eastAsia="zh-CN" w:bidi="ar-SA"/>
              </w:rPr>
              <w:t>易燃</w:t>
            </w:r>
            <w:r>
              <w:rPr>
                <w:rFonts w:hint="default" w:ascii="Times New Roman" w:hAnsi="Times New Roman" w:eastAsia="宋体" w:cs="Times New Roman"/>
                <w:color w:val="auto"/>
                <w:kern w:val="2"/>
                <w:sz w:val="24"/>
                <w:szCs w:val="24"/>
                <w:highlight w:val="none"/>
                <w:lang w:val="en-US" w:eastAsia="zh-CN" w:bidi="ar-SA"/>
              </w:rPr>
              <w:t>性和毒性，其性质相对比较稳定，如果露天堆放，沾染、吸附的有机废气可能会因为日晒雨淋而逐步释放出来，进入大气、地表水体、土壤等环境要素，造成污染影响。</w:t>
            </w:r>
          </w:p>
          <w:p w14:paraId="06C0265F">
            <w:pPr>
              <w:widowControl w:val="0"/>
              <w:wordWrap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这些危险废物如果收集不当，随意丢弃，其中的有害成分容易因为跑冒滴漏或者混入其他生活垃圾而进入外部环境，造成污染影响。对此，各类危险废物在产生源头需要立即采用密闭性好、耐腐蚀、相容的塑料容器分类封装，避免遗漏和撒漏；然后移入厂区内部独立专用的贮存设施存放。本项目从产生源头到贮存设施的收集过程基本上都在本项目内部进行，不涉及外部运输和厂区外部环境，因此产生和收集阶段不会对外部环境造成影响。</w:t>
            </w:r>
          </w:p>
          <w:p w14:paraId="155D35B8">
            <w:pPr>
              <w:keepNext/>
              <w:keepLines/>
              <w:numPr>
                <w:ilvl w:val="4"/>
                <w:numId w:val="0"/>
              </w:numPr>
              <w:spacing w:line="360" w:lineRule="auto"/>
              <w:ind w:firstLine="480" w:firstLineChars="200"/>
              <w:outlineLvl w:val="4"/>
              <w:rPr>
                <w:rFonts w:hint="default" w:ascii="Times New Roman" w:hAnsi="Times New Roman" w:eastAsia="宋体" w:cs="Times New Roman"/>
                <w:b/>
                <w:bCs/>
                <w:color w:val="auto"/>
                <w:sz w:val="24"/>
                <w:szCs w:val="24"/>
                <w:highlight w:val="none"/>
                <w:lang w:val="en-US" w:eastAsia="zh-CN" w:bidi="ar-SA"/>
              </w:rPr>
            </w:pPr>
            <w:r>
              <w:rPr>
                <w:rFonts w:hint="default" w:ascii="Times New Roman" w:hAnsi="Times New Roman" w:eastAsia="宋体" w:cs="Times New Roman"/>
                <w:b/>
                <w:bCs/>
                <w:color w:val="auto"/>
                <w:sz w:val="24"/>
                <w:szCs w:val="24"/>
                <w:highlight w:val="none"/>
                <w:lang w:val="en-US" w:eastAsia="zh-CN" w:bidi="ar-SA"/>
              </w:rPr>
              <w:t>（2）</w:t>
            </w:r>
            <w:r>
              <w:rPr>
                <w:rFonts w:hint="eastAsia" w:cs="Times New Roman"/>
                <w:b/>
                <w:bCs/>
                <w:color w:val="auto"/>
                <w:sz w:val="24"/>
                <w:szCs w:val="24"/>
                <w:highlight w:val="none"/>
                <w:lang w:val="en-US" w:eastAsia="zh-CN" w:bidi="ar-SA"/>
              </w:rPr>
              <w:t>危废暂存间</w:t>
            </w:r>
          </w:p>
          <w:p w14:paraId="278B0737">
            <w:pPr>
              <w:widowControl w:val="0"/>
              <w:wordWrap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项目设置一个固定的</w:t>
            </w:r>
            <w:r>
              <w:rPr>
                <w:rFonts w:hint="default" w:ascii="Times New Roman" w:hAnsi="Times New Roman" w:cs="Times New Roman"/>
                <w:color w:val="auto"/>
                <w:highlight w:val="none"/>
              </w:rPr>
              <w:t>危废</w:t>
            </w:r>
            <w:r>
              <w:rPr>
                <w:rFonts w:hint="eastAsia" w:cs="Times New Roman"/>
                <w:color w:val="auto"/>
                <w:highlight w:val="none"/>
                <w:lang w:val="en-US" w:eastAsia="zh-CN"/>
              </w:rPr>
              <w:t>暂存</w:t>
            </w:r>
            <w:r>
              <w:rPr>
                <w:rFonts w:hint="default" w:ascii="Times New Roman" w:hAnsi="Times New Roman" w:cs="Times New Roman"/>
                <w:color w:val="auto"/>
                <w:highlight w:val="none"/>
              </w:rPr>
              <w:t>间</w:t>
            </w:r>
            <w:r>
              <w:rPr>
                <w:rFonts w:hint="default" w:ascii="Times New Roman" w:hAnsi="Times New Roman" w:eastAsia="宋体" w:cs="Times New Roman"/>
                <w:color w:val="auto"/>
                <w:kern w:val="2"/>
                <w:sz w:val="24"/>
                <w:szCs w:val="24"/>
                <w:highlight w:val="none"/>
                <w:lang w:val="en-US" w:eastAsia="zh-CN" w:bidi="ar-SA"/>
              </w:rPr>
              <w:t>，危险废物贮存过程满足《危险废物贮存污染控制标准》（GB18597-2023）的要求，建设单位应根据废物特性设置符合《危险废物贮存污染控制标准》</w:t>
            </w:r>
            <w:r>
              <w:rPr>
                <w:rFonts w:hint="default" w:ascii="Times New Roman" w:hAnsi="Times New Roman"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GB18597-2023</w:t>
            </w:r>
            <w:r>
              <w:rPr>
                <w:rFonts w:hint="default" w:ascii="Times New Roman" w:hAnsi="Times New Roman"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要求的危险废物暂存场所，且在暂存场所上空设有防雨淋设施，地面采取防渗措施，危险废物收集后分别临时贮存于</w:t>
            </w:r>
            <w:r>
              <w:rPr>
                <w:rFonts w:hint="default" w:ascii="Times New Roman" w:hAnsi="Times New Roman" w:cs="Times New Roman"/>
                <w:color w:val="auto"/>
                <w:highlight w:val="none"/>
              </w:rPr>
              <w:t>危废</w:t>
            </w:r>
            <w:r>
              <w:rPr>
                <w:rFonts w:hint="eastAsia" w:cs="Times New Roman"/>
                <w:color w:val="auto"/>
                <w:highlight w:val="none"/>
                <w:lang w:val="en-US" w:eastAsia="zh-CN"/>
              </w:rPr>
              <w:t>暂存</w:t>
            </w:r>
            <w:r>
              <w:rPr>
                <w:rFonts w:hint="default" w:ascii="Times New Roman" w:hAnsi="Times New Roman" w:cs="Times New Roman"/>
                <w:color w:val="auto"/>
                <w:highlight w:val="none"/>
              </w:rPr>
              <w:t>间</w:t>
            </w:r>
            <w:r>
              <w:rPr>
                <w:rFonts w:hint="default" w:ascii="Times New Roman" w:hAnsi="Times New Roman" w:eastAsia="宋体" w:cs="Times New Roman"/>
                <w:color w:val="auto"/>
                <w:kern w:val="2"/>
                <w:sz w:val="24"/>
                <w:szCs w:val="24"/>
                <w:highlight w:val="none"/>
                <w:lang w:val="en-US" w:eastAsia="zh-CN" w:bidi="ar-SA"/>
              </w:rPr>
              <w:t>；根据生产需要合理设置贮存量，尽量减少厂内的物料贮存量：严禁将危险废物混入生活垃圾；堆放危险废物的地方要有明显的标志。贮存设施应根据危险废物的形态、物理化学性质、包装形式和污染物迁移途径，采取必要的防风、防晒、防雨、防漏、防渗、防腐以及其他环境污染防治措施，不应露天堆放危险废物。贮存设施应根据危险废物的类别、数量、形态、物理化学性质和污染防治等要求设置必要的贮存分区，避免不相容的危险废物接触、混合。危险废物贮存过程产生的液态废物和固态废物应分类收集，按其环境管理要求妥善处理。贮存库内不同贮存分区之间应采取隔离措施。隔离措施可根据危险废物特性采用过道、隔板或隔墙等方式。在贮存库内或通过贮存分区方式贮存液态危险废物的，应具有液体泄漏堵截设施，堵截设施最小容积不应低于对应贮存区域最大液态废物容器容积或液态废物总储量1/10（二者取较大者）；用于贮存可能产生渗滤液的危险废物的贮存库或贮存分区应设计渗滤液收集设施，收集设施容积应满足渗滤液的收集要求。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w:t>
            </w:r>
            <w:r>
              <w:rPr>
                <w:rFonts w:hint="default" w:ascii="Times New Roman" w:hAnsi="Times New Roman" w:eastAsia="宋体" w:cs="Times New Roman"/>
                <w:color w:val="auto"/>
                <w:kern w:val="2"/>
                <w:sz w:val="24"/>
                <w:szCs w:val="24"/>
                <w:highlight w:val="none"/>
                <w:vertAlign w:val="superscript"/>
                <w:lang w:val="en-US" w:eastAsia="zh-CN" w:bidi="ar-SA"/>
              </w:rPr>
              <w:t>-7</w:t>
            </w:r>
            <w:r>
              <w:rPr>
                <w:rFonts w:hint="default" w:ascii="Times New Roman" w:hAnsi="Times New Roman" w:eastAsia="宋体" w:cs="Times New Roman"/>
                <w:color w:val="auto"/>
                <w:kern w:val="2"/>
                <w:sz w:val="24"/>
                <w:szCs w:val="24"/>
                <w:highlight w:val="none"/>
                <w:lang w:val="en-US" w:eastAsia="zh-CN" w:bidi="ar-SA"/>
              </w:rPr>
              <w:t>cm/s），或至少2mm厚高密度聚乙烯膜等人工防渗材料（渗透系数不大于10</w:t>
            </w:r>
            <w:r>
              <w:rPr>
                <w:rFonts w:hint="default" w:ascii="Times New Roman" w:hAnsi="Times New Roman" w:eastAsia="宋体" w:cs="Times New Roman"/>
                <w:color w:val="auto"/>
                <w:kern w:val="2"/>
                <w:sz w:val="24"/>
                <w:szCs w:val="24"/>
                <w:highlight w:val="none"/>
                <w:vertAlign w:val="superscript"/>
                <w:lang w:val="en-US" w:eastAsia="zh-CN" w:bidi="ar-SA"/>
              </w:rPr>
              <w:t>-10</w:t>
            </w:r>
            <w:r>
              <w:rPr>
                <w:rFonts w:hint="default" w:ascii="Times New Roman" w:hAnsi="Times New Roman" w:eastAsia="宋体" w:cs="Times New Roman"/>
                <w:color w:val="auto"/>
                <w:kern w:val="2"/>
                <w:sz w:val="24"/>
                <w:szCs w:val="24"/>
                <w:highlight w:val="none"/>
                <w:lang w:val="en-US" w:eastAsia="zh-CN" w:bidi="ar-SA"/>
              </w:rPr>
              <w:t>cm/s），或其他防渗性能等效的材料。</w:t>
            </w:r>
          </w:p>
          <w:p w14:paraId="7F3D5803">
            <w:pPr>
              <w:widowControl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项目</w:t>
            </w:r>
            <w:r>
              <w:rPr>
                <w:rFonts w:hint="default" w:ascii="Times New Roman" w:hAnsi="Times New Roman" w:cs="Times New Roman"/>
                <w:color w:val="auto"/>
                <w:highlight w:val="none"/>
              </w:rPr>
              <w:t>危废</w:t>
            </w:r>
            <w:r>
              <w:rPr>
                <w:rFonts w:hint="eastAsia" w:cs="Times New Roman"/>
                <w:color w:val="auto"/>
                <w:highlight w:val="none"/>
                <w:lang w:val="en-US" w:eastAsia="zh-CN"/>
              </w:rPr>
              <w:t>暂存</w:t>
            </w:r>
            <w:r>
              <w:rPr>
                <w:rFonts w:hint="default" w:ascii="Times New Roman" w:hAnsi="Times New Roman" w:cs="Times New Roman"/>
                <w:color w:val="auto"/>
                <w:highlight w:val="none"/>
              </w:rPr>
              <w:t>间</w:t>
            </w:r>
            <w:r>
              <w:rPr>
                <w:rFonts w:hint="default" w:ascii="Times New Roman" w:hAnsi="Times New Roman" w:eastAsia="宋体" w:cs="Times New Roman"/>
                <w:color w:val="auto"/>
                <w:kern w:val="2"/>
                <w:sz w:val="24"/>
                <w:szCs w:val="24"/>
                <w:highlight w:val="none"/>
                <w:lang w:val="en-US" w:eastAsia="zh-CN" w:bidi="ar-SA"/>
              </w:rPr>
              <w:t>基本情况见下表。</w:t>
            </w:r>
          </w:p>
          <w:p w14:paraId="276820C4">
            <w:pPr>
              <w:widowControl w:val="0"/>
              <w:spacing w:line="240" w:lineRule="auto"/>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表</w:t>
            </w:r>
            <w:r>
              <w:rPr>
                <w:rFonts w:hint="default" w:ascii="Times New Roman" w:hAnsi="Times New Roman" w:eastAsia="宋体" w:cs="Times New Roman"/>
                <w:b/>
                <w:bCs/>
                <w:color w:val="auto"/>
                <w:kern w:val="2"/>
                <w:sz w:val="21"/>
                <w:szCs w:val="21"/>
                <w:highlight w:val="none"/>
                <w:lang w:val="en-US" w:eastAsia="zh-CN" w:bidi="ar-SA"/>
              </w:rPr>
              <w:fldChar w:fldCharType="begin"/>
            </w:r>
            <w:r>
              <w:rPr>
                <w:rFonts w:hint="default" w:ascii="Times New Roman" w:hAnsi="Times New Roman" w:eastAsia="宋体" w:cs="Times New Roman"/>
                <w:b/>
                <w:bCs/>
                <w:color w:val="auto"/>
                <w:kern w:val="2"/>
                <w:sz w:val="21"/>
                <w:szCs w:val="21"/>
                <w:highlight w:val="none"/>
                <w:lang w:val="en-US" w:eastAsia="zh-CN" w:bidi="ar-SA"/>
              </w:rPr>
              <w:instrText xml:space="preserve"> STYLEREF 1 \s </w:instrText>
            </w:r>
            <w:r>
              <w:rPr>
                <w:rFonts w:hint="default" w:ascii="Times New Roman" w:hAnsi="Times New Roman" w:eastAsia="宋体" w:cs="Times New Roman"/>
                <w:b/>
                <w:bCs/>
                <w:color w:val="auto"/>
                <w:kern w:val="2"/>
                <w:sz w:val="21"/>
                <w:szCs w:val="21"/>
                <w:highlight w:val="none"/>
                <w:lang w:val="en-US" w:eastAsia="zh-CN" w:bidi="ar-SA"/>
              </w:rPr>
              <w:fldChar w:fldCharType="separate"/>
            </w:r>
            <w:r>
              <w:rPr>
                <w:rFonts w:hint="default" w:ascii="Times New Roman" w:hAnsi="Times New Roman" w:eastAsia="宋体" w:cs="Times New Roman"/>
                <w:b/>
                <w:bCs/>
                <w:color w:val="auto"/>
                <w:kern w:val="2"/>
                <w:sz w:val="21"/>
                <w:szCs w:val="21"/>
                <w:highlight w:val="none"/>
                <w:lang w:val="en-US" w:eastAsia="zh-CN" w:bidi="ar-SA"/>
              </w:rPr>
              <w:t>4</w:t>
            </w:r>
            <w:r>
              <w:rPr>
                <w:rFonts w:hint="default" w:ascii="Times New Roman" w:hAnsi="Times New Roman" w:eastAsia="宋体" w:cs="Times New Roman"/>
                <w:b/>
                <w:bCs/>
                <w:color w:val="auto"/>
                <w:kern w:val="2"/>
                <w:sz w:val="21"/>
                <w:szCs w:val="21"/>
                <w:highlight w:val="none"/>
                <w:lang w:val="en-US" w:eastAsia="zh-CN" w:bidi="ar-SA"/>
              </w:rPr>
              <w:fldChar w:fldCharType="end"/>
            </w:r>
            <w:r>
              <w:rPr>
                <w:rFonts w:hint="default" w:ascii="Times New Roman" w:hAnsi="Times New Roman" w:eastAsia="宋体" w:cs="Times New Roman"/>
                <w:b/>
                <w:bCs/>
                <w:color w:val="auto"/>
                <w:kern w:val="2"/>
                <w:sz w:val="21"/>
                <w:szCs w:val="21"/>
                <w:highlight w:val="none"/>
                <w:lang w:val="en-US" w:eastAsia="zh-CN" w:bidi="ar-SA"/>
              </w:rPr>
              <w:t>-</w:t>
            </w:r>
            <w:r>
              <w:rPr>
                <w:rFonts w:hint="eastAsia" w:cs="Times New Roman"/>
                <w:b/>
                <w:bCs/>
                <w:color w:val="auto"/>
                <w:kern w:val="2"/>
                <w:sz w:val="21"/>
                <w:szCs w:val="21"/>
                <w:highlight w:val="none"/>
                <w:lang w:val="en-US" w:eastAsia="zh-CN" w:bidi="ar-SA"/>
              </w:rPr>
              <w:t>12</w:t>
            </w:r>
            <w:r>
              <w:rPr>
                <w:rFonts w:hint="default" w:ascii="Times New Roman" w:hAnsi="Times New Roman" w:eastAsia="宋体" w:cs="Times New Roman"/>
                <w:b/>
                <w:bCs/>
                <w:color w:val="auto"/>
                <w:kern w:val="2"/>
                <w:sz w:val="21"/>
                <w:szCs w:val="21"/>
                <w:highlight w:val="none"/>
                <w:lang w:val="en-US" w:eastAsia="zh-CN" w:bidi="ar-SA"/>
              </w:rPr>
              <w:t>危废</w:t>
            </w:r>
            <w:r>
              <w:rPr>
                <w:rFonts w:hint="eastAsia" w:ascii="Times New Roman" w:hAnsi="Times New Roman" w:eastAsia="宋体" w:cs="Times New Roman"/>
                <w:b/>
                <w:bCs/>
                <w:color w:val="auto"/>
                <w:kern w:val="2"/>
                <w:sz w:val="21"/>
                <w:szCs w:val="21"/>
                <w:highlight w:val="none"/>
                <w:lang w:val="en-US" w:eastAsia="zh-CN" w:bidi="ar-SA"/>
              </w:rPr>
              <w:t>暂存</w:t>
            </w:r>
            <w:r>
              <w:rPr>
                <w:rFonts w:hint="default" w:ascii="Times New Roman" w:hAnsi="Times New Roman" w:eastAsia="宋体" w:cs="Times New Roman"/>
                <w:b/>
                <w:bCs/>
                <w:color w:val="auto"/>
                <w:kern w:val="2"/>
                <w:sz w:val="21"/>
                <w:szCs w:val="21"/>
                <w:highlight w:val="none"/>
                <w:lang w:val="en-US" w:eastAsia="zh-CN" w:bidi="ar-SA"/>
              </w:rPr>
              <w:t>间基本情况表</w:t>
            </w:r>
          </w:p>
          <w:tbl>
            <w:tblPr>
              <w:tblStyle w:val="4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3"/>
              <w:gridCol w:w="1369"/>
              <w:gridCol w:w="826"/>
              <w:gridCol w:w="1267"/>
              <w:gridCol w:w="739"/>
              <w:gridCol w:w="671"/>
              <w:gridCol w:w="1096"/>
              <w:gridCol w:w="697"/>
              <w:gridCol w:w="807"/>
            </w:tblGrid>
            <w:tr w14:paraId="2769D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8" w:type="pct"/>
                  <w:vMerge w:val="restart"/>
                  <w:vAlign w:val="center"/>
                </w:tcPr>
                <w:p w14:paraId="021E4CFE">
                  <w:pPr>
                    <w:keepNext w:val="0"/>
                    <w:keepLines w:val="0"/>
                    <w:pageBreakBefore w:val="0"/>
                    <w:widowControl w:val="0"/>
                    <w:kinsoku/>
                    <w:wordWrap w:val="0"/>
                    <w:overflowPunct/>
                    <w:topLinePunct w:val="0"/>
                    <w:autoSpaceDE w:val="0"/>
                    <w:autoSpaceDN w:val="0"/>
                    <w:bidi w:val="0"/>
                    <w:adjustRightInd/>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贮存场所（设施）名称</w:t>
                  </w:r>
                </w:p>
              </w:tc>
              <w:tc>
                <w:tcPr>
                  <w:tcW w:w="1987" w:type="pct"/>
                  <w:gridSpan w:val="3"/>
                  <w:vAlign w:val="center"/>
                </w:tcPr>
                <w:p w14:paraId="09BACB10">
                  <w:pPr>
                    <w:keepNext w:val="0"/>
                    <w:keepLines w:val="0"/>
                    <w:pageBreakBefore w:val="0"/>
                    <w:widowControl w:val="0"/>
                    <w:kinsoku/>
                    <w:wordWrap w:val="0"/>
                    <w:overflowPunct/>
                    <w:topLinePunct w:val="0"/>
                    <w:autoSpaceDE w:val="0"/>
                    <w:autoSpaceDN w:val="0"/>
                    <w:bidi w:val="0"/>
                    <w:adjustRightInd/>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危险废物</w:t>
                  </w:r>
                </w:p>
              </w:tc>
              <w:tc>
                <w:tcPr>
                  <w:tcW w:w="424" w:type="pct"/>
                  <w:vMerge w:val="restart"/>
                  <w:vAlign w:val="center"/>
                </w:tcPr>
                <w:p w14:paraId="1B4D0380">
                  <w:pPr>
                    <w:keepNext w:val="0"/>
                    <w:keepLines w:val="0"/>
                    <w:pageBreakBefore w:val="0"/>
                    <w:widowControl w:val="0"/>
                    <w:kinsoku/>
                    <w:wordWrap w:val="0"/>
                    <w:overflowPunct/>
                    <w:topLinePunct w:val="0"/>
                    <w:autoSpaceDE w:val="0"/>
                    <w:autoSpaceDN w:val="0"/>
                    <w:bidi w:val="0"/>
                    <w:adjustRightInd/>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位置</w:t>
                  </w:r>
                </w:p>
              </w:tc>
              <w:tc>
                <w:tcPr>
                  <w:tcW w:w="385" w:type="pct"/>
                  <w:vMerge w:val="restart"/>
                  <w:vAlign w:val="center"/>
                </w:tcPr>
                <w:p w14:paraId="597427AF">
                  <w:pPr>
                    <w:keepNext w:val="0"/>
                    <w:keepLines w:val="0"/>
                    <w:pageBreakBefore w:val="0"/>
                    <w:widowControl w:val="0"/>
                    <w:kinsoku/>
                    <w:wordWrap w:val="0"/>
                    <w:overflowPunct/>
                    <w:topLinePunct w:val="0"/>
                    <w:autoSpaceDE w:val="0"/>
                    <w:autoSpaceDN w:val="0"/>
                    <w:bidi w:val="0"/>
                    <w:adjustRightInd/>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占地面积</w:t>
                  </w:r>
                </w:p>
              </w:tc>
              <w:tc>
                <w:tcPr>
                  <w:tcW w:w="629" w:type="pct"/>
                  <w:vMerge w:val="restart"/>
                  <w:vAlign w:val="center"/>
                </w:tcPr>
                <w:p w14:paraId="29F93D31">
                  <w:pPr>
                    <w:keepNext w:val="0"/>
                    <w:keepLines w:val="0"/>
                    <w:pageBreakBefore w:val="0"/>
                    <w:widowControl w:val="0"/>
                    <w:kinsoku/>
                    <w:wordWrap w:val="0"/>
                    <w:overflowPunct/>
                    <w:topLinePunct w:val="0"/>
                    <w:autoSpaceDE w:val="0"/>
                    <w:autoSpaceDN w:val="0"/>
                    <w:bidi w:val="0"/>
                    <w:adjustRightInd/>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贮存方式</w:t>
                  </w:r>
                </w:p>
              </w:tc>
              <w:tc>
                <w:tcPr>
                  <w:tcW w:w="400" w:type="pct"/>
                  <w:vMerge w:val="restart"/>
                  <w:vAlign w:val="center"/>
                </w:tcPr>
                <w:p w14:paraId="47D35106">
                  <w:pPr>
                    <w:keepNext w:val="0"/>
                    <w:keepLines w:val="0"/>
                    <w:pageBreakBefore w:val="0"/>
                    <w:widowControl w:val="0"/>
                    <w:kinsoku/>
                    <w:wordWrap w:val="0"/>
                    <w:overflowPunct/>
                    <w:topLinePunct w:val="0"/>
                    <w:autoSpaceDE w:val="0"/>
                    <w:autoSpaceDN w:val="0"/>
                    <w:bidi w:val="0"/>
                    <w:adjustRightInd/>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贮存能力</w:t>
                  </w:r>
                </w:p>
              </w:tc>
              <w:tc>
                <w:tcPr>
                  <w:tcW w:w="463" w:type="pct"/>
                  <w:vMerge w:val="restart"/>
                  <w:vAlign w:val="center"/>
                </w:tcPr>
                <w:p w14:paraId="173E30F3">
                  <w:pPr>
                    <w:keepNext w:val="0"/>
                    <w:keepLines w:val="0"/>
                    <w:pageBreakBefore w:val="0"/>
                    <w:widowControl w:val="0"/>
                    <w:kinsoku/>
                    <w:wordWrap w:val="0"/>
                    <w:overflowPunct/>
                    <w:topLinePunct w:val="0"/>
                    <w:autoSpaceDE w:val="0"/>
                    <w:autoSpaceDN w:val="0"/>
                    <w:bidi w:val="0"/>
                    <w:adjustRightInd/>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贮存周期</w:t>
                  </w:r>
                </w:p>
              </w:tc>
            </w:tr>
            <w:tr w14:paraId="2B0D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8" w:type="pct"/>
                  <w:vMerge w:val="continue"/>
                  <w:vAlign w:val="center"/>
                </w:tcPr>
                <w:p w14:paraId="594B2B3B">
                  <w:pPr>
                    <w:keepNext w:val="0"/>
                    <w:keepLines w:val="0"/>
                    <w:pageBreakBefore w:val="0"/>
                    <w:widowControl w:val="0"/>
                    <w:kinsoku/>
                    <w:wordWrap w:val="0"/>
                    <w:overflowPunct/>
                    <w:topLinePunct w:val="0"/>
                    <w:autoSpaceDE w:val="0"/>
                    <w:autoSpaceDN w:val="0"/>
                    <w:bidi w:val="0"/>
                    <w:adjustRightInd/>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786" w:type="pct"/>
                  <w:vAlign w:val="center"/>
                </w:tcPr>
                <w:p w14:paraId="6A2619DC">
                  <w:pPr>
                    <w:keepNext w:val="0"/>
                    <w:keepLines w:val="0"/>
                    <w:pageBreakBefore w:val="0"/>
                    <w:widowControl w:val="0"/>
                    <w:kinsoku/>
                    <w:wordWrap w:val="0"/>
                    <w:overflowPunct/>
                    <w:topLinePunct w:val="0"/>
                    <w:autoSpaceDE w:val="0"/>
                    <w:autoSpaceDN w:val="0"/>
                    <w:bidi w:val="0"/>
                    <w:adjustRightInd/>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名称</w:t>
                  </w:r>
                </w:p>
              </w:tc>
              <w:tc>
                <w:tcPr>
                  <w:tcW w:w="474" w:type="pct"/>
                  <w:vAlign w:val="center"/>
                </w:tcPr>
                <w:p w14:paraId="599DD627">
                  <w:pPr>
                    <w:keepNext w:val="0"/>
                    <w:keepLines w:val="0"/>
                    <w:pageBreakBefore w:val="0"/>
                    <w:widowControl w:val="0"/>
                    <w:kinsoku/>
                    <w:wordWrap w:val="0"/>
                    <w:overflowPunct/>
                    <w:topLinePunct w:val="0"/>
                    <w:autoSpaceDE w:val="0"/>
                    <w:autoSpaceDN w:val="0"/>
                    <w:bidi w:val="0"/>
                    <w:adjustRightInd/>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类别</w:t>
                  </w:r>
                </w:p>
              </w:tc>
              <w:tc>
                <w:tcPr>
                  <w:tcW w:w="726" w:type="pct"/>
                  <w:vAlign w:val="center"/>
                </w:tcPr>
                <w:p w14:paraId="50B4A2B0">
                  <w:pPr>
                    <w:keepNext w:val="0"/>
                    <w:keepLines w:val="0"/>
                    <w:pageBreakBefore w:val="0"/>
                    <w:widowControl w:val="0"/>
                    <w:kinsoku/>
                    <w:wordWrap w:val="0"/>
                    <w:overflowPunct/>
                    <w:topLinePunct w:val="0"/>
                    <w:autoSpaceDE w:val="0"/>
                    <w:autoSpaceDN w:val="0"/>
                    <w:bidi w:val="0"/>
                    <w:adjustRightInd/>
                    <w:spacing w:line="240" w:lineRule="auto"/>
                    <w:jc w:val="center"/>
                    <w:textAlignment w:val="center"/>
                    <w:rPr>
                      <w:rFonts w:hint="default" w:ascii="Times New Roman" w:hAnsi="Times New Roman" w:eastAsia="宋体" w:cs="Times New Roman"/>
                      <w:b/>
                      <w:bCs/>
                      <w:color w:val="auto"/>
                      <w:position w:val="-10"/>
                      <w:sz w:val="21"/>
                      <w:szCs w:val="21"/>
                      <w:highlight w:val="none"/>
                      <w:lang w:val="en-US" w:eastAsia="zh-CN" w:bidi="ar-SA"/>
                    </w:rPr>
                  </w:pPr>
                  <w:r>
                    <w:rPr>
                      <w:rFonts w:hint="default" w:ascii="Times New Roman" w:hAnsi="Times New Roman" w:eastAsia="宋体" w:cs="Times New Roman"/>
                      <w:b/>
                      <w:bCs/>
                      <w:color w:val="auto"/>
                      <w:position w:val="-10"/>
                      <w:sz w:val="21"/>
                      <w:szCs w:val="21"/>
                      <w:highlight w:val="none"/>
                      <w:lang w:val="en-US" w:eastAsia="zh-CN" w:bidi="ar-SA"/>
                    </w:rPr>
                    <w:t>代码</w:t>
                  </w:r>
                </w:p>
              </w:tc>
              <w:tc>
                <w:tcPr>
                  <w:tcW w:w="424" w:type="pct"/>
                  <w:vMerge w:val="continue"/>
                  <w:vAlign w:val="center"/>
                </w:tcPr>
                <w:p w14:paraId="75A7B236">
                  <w:pPr>
                    <w:keepNext w:val="0"/>
                    <w:keepLines w:val="0"/>
                    <w:pageBreakBefore w:val="0"/>
                    <w:widowControl w:val="0"/>
                    <w:kinsoku/>
                    <w:wordWrap w:val="0"/>
                    <w:overflowPunct/>
                    <w:topLinePunct w:val="0"/>
                    <w:autoSpaceDE w:val="0"/>
                    <w:autoSpaceDN w:val="0"/>
                    <w:bidi w:val="0"/>
                    <w:adjustRightInd/>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385" w:type="pct"/>
                  <w:vMerge w:val="continue"/>
                  <w:vAlign w:val="center"/>
                </w:tcPr>
                <w:p w14:paraId="3227D7A4">
                  <w:pPr>
                    <w:keepNext w:val="0"/>
                    <w:keepLines w:val="0"/>
                    <w:pageBreakBefore w:val="0"/>
                    <w:widowControl w:val="0"/>
                    <w:kinsoku/>
                    <w:wordWrap w:val="0"/>
                    <w:overflowPunct/>
                    <w:topLinePunct w:val="0"/>
                    <w:autoSpaceDE w:val="0"/>
                    <w:autoSpaceDN w:val="0"/>
                    <w:bidi w:val="0"/>
                    <w:adjustRightInd/>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629" w:type="pct"/>
                  <w:vMerge w:val="continue"/>
                  <w:vAlign w:val="center"/>
                </w:tcPr>
                <w:p w14:paraId="346C2519">
                  <w:pPr>
                    <w:keepNext w:val="0"/>
                    <w:keepLines w:val="0"/>
                    <w:pageBreakBefore w:val="0"/>
                    <w:widowControl w:val="0"/>
                    <w:kinsoku/>
                    <w:wordWrap w:val="0"/>
                    <w:overflowPunct/>
                    <w:topLinePunct w:val="0"/>
                    <w:autoSpaceDE w:val="0"/>
                    <w:autoSpaceDN w:val="0"/>
                    <w:bidi w:val="0"/>
                    <w:adjustRightInd/>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400" w:type="pct"/>
                  <w:vMerge w:val="continue"/>
                  <w:vAlign w:val="center"/>
                </w:tcPr>
                <w:p w14:paraId="63563E6D">
                  <w:pPr>
                    <w:keepNext w:val="0"/>
                    <w:keepLines w:val="0"/>
                    <w:pageBreakBefore w:val="0"/>
                    <w:widowControl w:val="0"/>
                    <w:kinsoku/>
                    <w:wordWrap w:val="0"/>
                    <w:overflowPunct/>
                    <w:topLinePunct w:val="0"/>
                    <w:autoSpaceDE w:val="0"/>
                    <w:autoSpaceDN w:val="0"/>
                    <w:bidi w:val="0"/>
                    <w:adjustRightInd/>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463" w:type="pct"/>
                  <w:vMerge w:val="continue"/>
                  <w:vAlign w:val="center"/>
                </w:tcPr>
                <w:p w14:paraId="0D3D6EAA">
                  <w:pPr>
                    <w:keepNext w:val="0"/>
                    <w:keepLines w:val="0"/>
                    <w:pageBreakBefore w:val="0"/>
                    <w:widowControl w:val="0"/>
                    <w:kinsoku/>
                    <w:wordWrap w:val="0"/>
                    <w:overflowPunct/>
                    <w:topLinePunct w:val="0"/>
                    <w:autoSpaceDE w:val="0"/>
                    <w:autoSpaceDN w:val="0"/>
                    <w:bidi w:val="0"/>
                    <w:adjustRightInd/>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r>
            <w:tr w14:paraId="13D66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08" w:type="pct"/>
                  <w:vMerge w:val="restart"/>
                  <w:vAlign w:val="center"/>
                </w:tcPr>
                <w:p w14:paraId="280F5927">
                  <w:pPr>
                    <w:keepNext w:val="0"/>
                    <w:keepLines w:val="0"/>
                    <w:pageBreakBefore w:val="0"/>
                    <w:widowControl w:val="0"/>
                    <w:kinsoku/>
                    <w:wordWrap w:val="0"/>
                    <w:overflowPunct/>
                    <w:topLinePunct w:val="0"/>
                    <w:autoSpaceDE w:val="0"/>
                    <w:autoSpaceDN w:val="0"/>
                    <w:bidi w:val="0"/>
                    <w:adjustRightInd/>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cs="Times New Roman"/>
                      <w:color w:val="auto"/>
                      <w:highlight w:val="none"/>
                    </w:rPr>
                    <w:t>危废</w:t>
                  </w:r>
                  <w:r>
                    <w:rPr>
                      <w:rFonts w:hint="eastAsia" w:cs="Times New Roman"/>
                      <w:color w:val="auto"/>
                      <w:highlight w:val="none"/>
                      <w:lang w:val="en-US" w:eastAsia="zh-CN"/>
                    </w:rPr>
                    <w:t>暂存</w:t>
                  </w:r>
                  <w:r>
                    <w:rPr>
                      <w:rFonts w:hint="default" w:ascii="Times New Roman" w:hAnsi="Times New Roman" w:cs="Times New Roman"/>
                      <w:color w:val="auto"/>
                      <w:highlight w:val="none"/>
                    </w:rPr>
                    <w:t>间</w:t>
                  </w:r>
                </w:p>
              </w:tc>
              <w:tc>
                <w:tcPr>
                  <w:tcW w:w="786" w:type="pct"/>
                  <w:vAlign w:val="center"/>
                </w:tcPr>
                <w:p w14:paraId="387A6EC1">
                  <w:pPr>
                    <w:keepNext w:val="0"/>
                    <w:keepLines w:val="0"/>
                    <w:pageBreakBefore w:val="0"/>
                    <w:widowControl w:val="0"/>
                    <w:kinsoku/>
                    <w:wordWrap w:val="0"/>
                    <w:overflowPunct/>
                    <w:topLinePunct w:val="0"/>
                    <w:autoSpaceDE w:val="0"/>
                    <w:autoSpaceDN w:val="0"/>
                    <w:bidi w:val="0"/>
                    <w:snapToGrid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eastAsia="宋体" w:cs="Times New Roman"/>
                      <w:color w:val="auto"/>
                      <w:position w:val="-10"/>
                      <w:sz w:val="21"/>
                      <w:szCs w:val="21"/>
                      <w:highlight w:val="none"/>
                      <w:lang w:val="en-US" w:eastAsia="zh-CN" w:bidi="ar-SA"/>
                    </w:rPr>
                    <w:t>废矿物油及油桶</w:t>
                  </w:r>
                </w:p>
              </w:tc>
              <w:tc>
                <w:tcPr>
                  <w:tcW w:w="474" w:type="pct"/>
                  <w:vAlign w:val="center"/>
                </w:tcPr>
                <w:p w14:paraId="36C301AB">
                  <w:pPr>
                    <w:keepNext w:val="0"/>
                    <w:keepLines w:val="0"/>
                    <w:pageBreakBefore w:val="0"/>
                    <w:widowControl w:val="0"/>
                    <w:kinsoku/>
                    <w:wordWrap w:val="0"/>
                    <w:overflowPunct/>
                    <w:topLinePunct w:val="0"/>
                    <w:autoSpaceDE w:val="0"/>
                    <w:autoSpaceDN w:val="0"/>
                    <w:bidi w:val="0"/>
                    <w:snapToGrid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eastAsia="宋体" w:cs="Times New Roman"/>
                      <w:color w:val="auto"/>
                      <w:position w:val="-10"/>
                      <w:sz w:val="21"/>
                      <w:szCs w:val="21"/>
                      <w:highlight w:val="none"/>
                      <w:lang w:val="en-US" w:eastAsia="zh-CN" w:bidi="ar-SA"/>
                    </w:rPr>
                    <w:t>HW</w:t>
                  </w:r>
                  <w:r>
                    <w:rPr>
                      <w:rFonts w:hint="default" w:ascii="Times New Roman" w:hAnsi="Times New Roman" w:cs="Times New Roman"/>
                      <w:color w:val="auto"/>
                      <w:position w:val="-10"/>
                      <w:sz w:val="21"/>
                      <w:szCs w:val="21"/>
                      <w:highlight w:val="none"/>
                      <w:lang w:val="en-US" w:eastAsia="zh-CN" w:bidi="ar-SA"/>
                    </w:rPr>
                    <w:t>08</w:t>
                  </w:r>
                </w:p>
              </w:tc>
              <w:tc>
                <w:tcPr>
                  <w:tcW w:w="726" w:type="pct"/>
                  <w:vAlign w:val="center"/>
                </w:tcPr>
                <w:p w14:paraId="1E54EC2A">
                  <w:pPr>
                    <w:keepNext w:val="0"/>
                    <w:keepLines w:val="0"/>
                    <w:pageBreakBefore w:val="0"/>
                    <w:widowControl w:val="0"/>
                    <w:kinsoku/>
                    <w:wordWrap w:val="0"/>
                    <w:overflowPunct/>
                    <w:topLinePunct w:val="0"/>
                    <w:autoSpaceDE w:val="0"/>
                    <w:autoSpaceDN w:val="0"/>
                    <w:bidi w:val="0"/>
                    <w:snapToGrid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eastAsia="宋体" w:cs="Times New Roman"/>
                      <w:color w:val="auto"/>
                      <w:position w:val="-10"/>
                      <w:sz w:val="21"/>
                      <w:szCs w:val="21"/>
                      <w:highlight w:val="none"/>
                      <w:lang w:val="en-US" w:eastAsia="zh-CN" w:bidi="ar-SA"/>
                    </w:rPr>
                    <w:t>900-249-08</w:t>
                  </w:r>
                </w:p>
              </w:tc>
              <w:tc>
                <w:tcPr>
                  <w:tcW w:w="424" w:type="pct"/>
                  <w:vMerge w:val="restart"/>
                  <w:vAlign w:val="center"/>
                </w:tcPr>
                <w:p w14:paraId="25EB662C">
                  <w:pPr>
                    <w:keepNext w:val="0"/>
                    <w:keepLines w:val="0"/>
                    <w:pageBreakBefore w:val="0"/>
                    <w:widowControl w:val="0"/>
                    <w:kinsoku/>
                    <w:wordWrap w:val="0"/>
                    <w:overflowPunct/>
                    <w:topLinePunct w:val="0"/>
                    <w:autoSpaceDE w:val="0"/>
                    <w:autoSpaceDN w:val="0"/>
                    <w:bidi w:val="0"/>
                    <w:adjustRightInd/>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cs="Times New Roman"/>
                      <w:color w:val="auto"/>
                      <w:position w:val="-10"/>
                      <w:sz w:val="21"/>
                      <w:szCs w:val="21"/>
                      <w:highlight w:val="none"/>
                      <w:lang w:val="en-US" w:eastAsia="zh-CN" w:bidi="ar-SA"/>
                    </w:rPr>
                    <w:t>厂房</w:t>
                  </w:r>
                  <w:r>
                    <w:rPr>
                      <w:rFonts w:hint="eastAsia" w:cs="Times New Roman"/>
                      <w:color w:val="auto"/>
                      <w:position w:val="-10"/>
                      <w:sz w:val="21"/>
                      <w:szCs w:val="21"/>
                      <w:highlight w:val="none"/>
                      <w:lang w:val="en-US" w:eastAsia="zh-CN" w:bidi="ar-SA"/>
                    </w:rPr>
                    <w:t>东</w:t>
                  </w:r>
                  <w:r>
                    <w:rPr>
                      <w:rFonts w:hint="default" w:ascii="Times New Roman" w:hAnsi="Times New Roman" w:cs="Times New Roman"/>
                      <w:color w:val="auto"/>
                      <w:position w:val="-10"/>
                      <w:sz w:val="21"/>
                      <w:szCs w:val="21"/>
                      <w:highlight w:val="none"/>
                      <w:lang w:val="en-US" w:eastAsia="zh-CN" w:bidi="ar-SA"/>
                    </w:rPr>
                    <w:t>侧</w:t>
                  </w:r>
                </w:p>
              </w:tc>
              <w:tc>
                <w:tcPr>
                  <w:tcW w:w="385" w:type="pct"/>
                  <w:vMerge w:val="restart"/>
                  <w:vAlign w:val="center"/>
                </w:tcPr>
                <w:p w14:paraId="0C53C7D4">
                  <w:pPr>
                    <w:keepNext w:val="0"/>
                    <w:keepLines w:val="0"/>
                    <w:pageBreakBefore w:val="0"/>
                    <w:widowControl w:val="0"/>
                    <w:kinsoku/>
                    <w:wordWrap w:val="0"/>
                    <w:overflowPunct/>
                    <w:topLinePunct w:val="0"/>
                    <w:autoSpaceDE w:val="0"/>
                    <w:autoSpaceDN w:val="0"/>
                    <w:bidi w:val="0"/>
                    <w:adjustRightInd/>
                    <w:spacing w:line="240" w:lineRule="auto"/>
                    <w:jc w:val="both"/>
                    <w:textAlignment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cs="Times New Roman"/>
                      <w:color w:val="auto"/>
                      <w:position w:val="-10"/>
                      <w:sz w:val="21"/>
                      <w:szCs w:val="21"/>
                      <w:highlight w:val="none"/>
                      <w:lang w:val="en-US" w:eastAsia="zh-CN" w:bidi="ar-SA"/>
                    </w:rPr>
                    <w:t>5m</w:t>
                  </w:r>
                  <w:r>
                    <w:rPr>
                      <w:rFonts w:hint="default" w:ascii="Times New Roman" w:hAnsi="Times New Roman" w:cs="Times New Roman"/>
                      <w:color w:val="auto"/>
                      <w:position w:val="-10"/>
                      <w:sz w:val="21"/>
                      <w:szCs w:val="21"/>
                      <w:highlight w:val="none"/>
                      <w:vertAlign w:val="superscript"/>
                      <w:lang w:val="en-US" w:eastAsia="zh-CN" w:bidi="ar-SA"/>
                    </w:rPr>
                    <w:t>2</w:t>
                  </w:r>
                </w:p>
              </w:tc>
              <w:tc>
                <w:tcPr>
                  <w:tcW w:w="629" w:type="pct"/>
                  <w:vMerge w:val="restart"/>
                  <w:vAlign w:val="center"/>
                </w:tcPr>
                <w:p w14:paraId="4EF60363">
                  <w:pPr>
                    <w:keepNext w:val="0"/>
                    <w:keepLines w:val="0"/>
                    <w:pageBreakBefore w:val="0"/>
                    <w:widowControl w:val="0"/>
                    <w:kinsoku/>
                    <w:wordWrap w:val="0"/>
                    <w:overflowPunct/>
                    <w:topLinePunct w:val="0"/>
                    <w:autoSpaceDE w:val="0"/>
                    <w:autoSpaceDN w:val="0"/>
                    <w:bidi w:val="0"/>
                    <w:adjustRightInd/>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eastAsia="宋体" w:cs="Times New Roman"/>
                      <w:color w:val="auto"/>
                      <w:position w:val="-10"/>
                      <w:sz w:val="21"/>
                      <w:szCs w:val="21"/>
                      <w:highlight w:val="none"/>
                      <w:lang w:val="en-US" w:eastAsia="zh-CN" w:bidi="ar-SA"/>
                    </w:rPr>
                    <w:t>采用密闭性好、耐腐蚀的塑料容器封存</w:t>
                  </w:r>
                </w:p>
              </w:tc>
              <w:tc>
                <w:tcPr>
                  <w:tcW w:w="400" w:type="pct"/>
                  <w:vMerge w:val="restart"/>
                  <w:vAlign w:val="center"/>
                </w:tcPr>
                <w:p w14:paraId="34E8DC63">
                  <w:pPr>
                    <w:keepNext w:val="0"/>
                    <w:keepLines w:val="0"/>
                    <w:pageBreakBefore w:val="0"/>
                    <w:widowControl w:val="0"/>
                    <w:kinsoku/>
                    <w:wordWrap w:val="0"/>
                    <w:overflowPunct/>
                    <w:topLinePunct w:val="0"/>
                    <w:autoSpaceDE w:val="0"/>
                    <w:autoSpaceDN w:val="0"/>
                    <w:bidi w:val="0"/>
                    <w:adjustRightInd/>
                    <w:snapToGrid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cs="Times New Roman"/>
                      <w:color w:val="auto"/>
                      <w:position w:val="-10"/>
                      <w:sz w:val="21"/>
                      <w:szCs w:val="21"/>
                      <w:highlight w:val="none"/>
                      <w:lang w:val="en-US" w:eastAsia="zh-CN" w:bidi="ar-SA"/>
                    </w:rPr>
                    <w:t>4t</w:t>
                  </w:r>
                </w:p>
              </w:tc>
              <w:tc>
                <w:tcPr>
                  <w:tcW w:w="463" w:type="pct"/>
                  <w:vAlign w:val="center"/>
                </w:tcPr>
                <w:p w14:paraId="633355B9">
                  <w:pPr>
                    <w:keepNext w:val="0"/>
                    <w:keepLines w:val="0"/>
                    <w:pageBreakBefore w:val="0"/>
                    <w:widowControl w:val="0"/>
                    <w:kinsoku/>
                    <w:wordWrap w:val="0"/>
                    <w:overflowPunct/>
                    <w:topLinePunct w:val="0"/>
                    <w:autoSpaceDE w:val="0"/>
                    <w:autoSpaceDN w:val="0"/>
                    <w:bidi w:val="0"/>
                    <w:adjustRightInd/>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eastAsia" w:cs="Times New Roman"/>
                      <w:color w:val="auto"/>
                      <w:position w:val="-10"/>
                      <w:sz w:val="21"/>
                      <w:szCs w:val="21"/>
                      <w:highlight w:val="none"/>
                      <w:lang w:val="en-US" w:eastAsia="zh-CN" w:bidi="ar-SA"/>
                    </w:rPr>
                    <w:t>3个月</w:t>
                  </w:r>
                </w:p>
              </w:tc>
            </w:tr>
            <w:tr w14:paraId="19740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08" w:type="pct"/>
                  <w:vMerge w:val="continue"/>
                  <w:vAlign w:val="center"/>
                </w:tcPr>
                <w:p w14:paraId="2EC40210">
                  <w:pPr>
                    <w:keepNext w:val="0"/>
                    <w:keepLines w:val="0"/>
                    <w:pageBreakBefore w:val="0"/>
                    <w:widowControl w:val="0"/>
                    <w:kinsoku/>
                    <w:wordWrap w:val="0"/>
                    <w:overflowPunct/>
                    <w:topLinePunct w:val="0"/>
                    <w:autoSpaceDE w:val="0"/>
                    <w:autoSpaceDN w:val="0"/>
                    <w:bidi w:val="0"/>
                    <w:adjustRightInd/>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786" w:type="pct"/>
                  <w:vAlign w:val="center"/>
                </w:tcPr>
                <w:p w14:paraId="2D618EB9">
                  <w:pPr>
                    <w:keepNext w:val="0"/>
                    <w:keepLines w:val="0"/>
                    <w:pageBreakBefore w:val="0"/>
                    <w:widowControl w:val="0"/>
                    <w:kinsoku/>
                    <w:wordWrap w:val="0"/>
                    <w:overflowPunct/>
                    <w:topLinePunct w:val="0"/>
                    <w:autoSpaceDE w:val="0"/>
                    <w:autoSpaceDN w:val="0"/>
                    <w:bidi w:val="0"/>
                    <w:snapToGrid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eastAsia="宋体" w:cs="Times New Roman"/>
                      <w:color w:val="auto"/>
                      <w:position w:val="-10"/>
                      <w:sz w:val="21"/>
                      <w:szCs w:val="21"/>
                      <w:highlight w:val="none"/>
                      <w:lang w:val="en-US" w:eastAsia="zh-CN" w:bidi="ar-SA"/>
                    </w:rPr>
                    <w:t>废含油抹布及手套</w:t>
                  </w:r>
                </w:p>
              </w:tc>
              <w:tc>
                <w:tcPr>
                  <w:tcW w:w="474" w:type="pct"/>
                  <w:vAlign w:val="center"/>
                </w:tcPr>
                <w:p w14:paraId="7D3D81F2">
                  <w:pPr>
                    <w:keepNext w:val="0"/>
                    <w:keepLines w:val="0"/>
                    <w:pageBreakBefore w:val="0"/>
                    <w:widowControl w:val="0"/>
                    <w:kinsoku/>
                    <w:wordWrap w:val="0"/>
                    <w:overflowPunct/>
                    <w:topLinePunct w:val="0"/>
                    <w:autoSpaceDE w:val="0"/>
                    <w:autoSpaceDN w:val="0"/>
                    <w:bidi w:val="0"/>
                    <w:snapToGrid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eastAsia="宋体" w:cs="Times New Roman"/>
                      <w:color w:val="auto"/>
                      <w:position w:val="-10"/>
                      <w:sz w:val="21"/>
                      <w:szCs w:val="21"/>
                      <w:highlight w:val="none"/>
                      <w:lang w:val="en-US" w:eastAsia="zh-CN" w:bidi="ar-SA"/>
                    </w:rPr>
                    <w:t>HW</w:t>
                  </w:r>
                  <w:r>
                    <w:rPr>
                      <w:rFonts w:hint="eastAsia" w:cs="Times New Roman"/>
                      <w:color w:val="auto"/>
                      <w:position w:val="-10"/>
                      <w:sz w:val="21"/>
                      <w:szCs w:val="21"/>
                      <w:highlight w:val="none"/>
                      <w:lang w:val="en-US" w:eastAsia="zh-CN" w:bidi="ar-SA"/>
                    </w:rPr>
                    <w:t>49</w:t>
                  </w:r>
                </w:p>
              </w:tc>
              <w:tc>
                <w:tcPr>
                  <w:tcW w:w="726" w:type="pct"/>
                  <w:vAlign w:val="center"/>
                </w:tcPr>
                <w:p w14:paraId="251023BA">
                  <w:pPr>
                    <w:keepNext w:val="0"/>
                    <w:keepLines w:val="0"/>
                    <w:pageBreakBefore w:val="0"/>
                    <w:widowControl w:val="0"/>
                    <w:kinsoku/>
                    <w:wordWrap w:val="0"/>
                    <w:overflowPunct/>
                    <w:topLinePunct w:val="0"/>
                    <w:autoSpaceDE w:val="0"/>
                    <w:autoSpaceDN w:val="0"/>
                    <w:bidi w:val="0"/>
                    <w:snapToGrid w:val="0"/>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eastAsia="宋体" w:cs="Times New Roman"/>
                      <w:color w:val="auto"/>
                      <w:position w:val="-10"/>
                      <w:sz w:val="21"/>
                      <w:szCs w:val="21"/>
                      <w:highlight w:val="none"/>
                      <w:lang w:val="en-US" w:eastAsia="zh-CN" w:bidi="ar-SA"/>
                    </w:rPr>
                    <w:t>900-</w:t>
                  </w:r>
                  <w:r>
                    <w:rPr>
                      <w:rFonts w:hint="eastAsia" w:cs="Times New Roman"/>
                      <w:color w:val="auto"/>
                      <w:position w:val="-10"/>
                      <w:sz w:val="21"/>
                      <w:szCs w:val="21"/>
                      <w:highlight w:val="none"/>
                      <w:lang w:val="en-US" w:eastAsia="zh-CN" w:bidi="ar-SA"/>
                    </w:rPr>
                    <w:t>041</w:t>
                  </w:r>
                  <w:r>
                    <w:rPr>
                      <w:rFonts w:hint="default" w:ascii="Times New Roman" w:hAnsi="Times New Roman" w:eastAsia="宋体" w:cs="Times New Roman"/>
                      <w:color w:val="auto"/>
                      <w:position w:val="-10"/>
                      <w:sz w:val="21"/>
                      <w:szCs w:val="21"/>
                      <w:highlight w:val="none"/>
                      <w:lang w:val="en-US" w:eastAsia="zh-CN" w:bidi="ar-SA"/>
                    </w:rPr>
                    <w:t>-</w:t>
                  </w:r>
                  <w:r>
                    <w:rPr>
                      <w:rFonts w:hint="eastAsia" w:cs="Times New Roman"/>
                      <w:color w:val="auto"/>
                      <w:position w:val="-10"/>
                      <w:sz w:val="21"/>
                      <w:szCs w:val="21"/>
                      <w:highlight w:val="none"/>
                      <w:lang w:val="en-US" w:eastAsia="zh-CN" w:bidi="ar-SA"/>
                    </w:rPr>
                    <w:t>49</w:t>
                  </w:r>
                </w:p>
              </w:tc>
              <w:tc>
                <w:tcPr>
                  <w:tcW w:w="424" w:type="pct"/>
                  <w:vMerge w:val="continue"/>
                  <w:vAlign w:val="center"/>
                </w:tcPr>
                <w:p w14:paraId="437A28DE">
                  <w:pPr>
                    <w:keepNext w:val="0"/>
                    <w:keepLines w:val="0"/>
                    <w:pageBreakBefore w:val="0"/>
                    <w:widowControl w:val="0"/>
                    <w:kinsoku/>
                    <w:wordWrap w:val="0"/>
                    <w:overflowPunct/>
                    <w:topLinePunct w:val="0"/>
                    <w:autoSpaceDE w:val="0"/>
                    <w:autoSpaceDN w:val="0"/>
                    <w:bidi w:val="0"/>
                    <w:adjustRightInd/>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385" w:type="pct"/>
                  <w:vMerge w:val="continue"/>
                  <w:vAlign w:val="center"/>
                </w:tcPr>
                <w:p w14:paraId="12289FAD">
                  <w:pPr>
                    <w:keepNext w:val="0"/>
                    <w:keepLines w:val="0"/>
                    <w:pageBreakBefore w:val="0"/>
                    <w:widowControl w:val="0"/>
                    <w:kinsoku/>
                    <w:wordWrap w:val="0"/>
                    <w:overflowPunct/>
                    <w:topLinePunct w:val="0"/>
                    <w:autoSpaceDE w:val="0"/>
                    <w:autoSpaceDN w:val="0"/>
                    <w:bidi w:val="0"/>
                    <w:adjustRightInd/>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629" w:type="pct"/>
                  <w:vMerge w:val="continue"/>
                  <w:vAlign w:val="center"/>
                </w:tcPr>
                <w:p w14:paraId="6D5A2585">
                  <w:pPr>
                    <w:keepNext w:val="0"/>
                    <w:keepLines w:val="0"/>
                    <w:pageBreakBefore w:val="0"/>
                    <w:widowControl w:val="0"/>
                    <w:kinsoku/>
                    <w:wordWrap w:val="0"/>
                    <w:overflowPunct/>
                    <w:topLinePunct w:val="0"/>
                    <w:autoSpaceDE w:val="0"/>
                    <w:autoSpaceDN w:val="0"/>
                    <w:bidi w:val="0"/>
                    <w:adjustRightInd/>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400" w:type="pct"/>
                  <w:vMerge w:val="continue"/>
                  <w:vAlign w:val="center"/>
                </w:tcPr>
                <w:p w14:paraId="691545BF">
                  <w:pPr>
                    <w:keepNext w:val="0"/>
                    <w:keepLines w:val="0"/>
                    <w:pageBreakBefore w:val="0"/>
                    <w:widowControl w:val="0"/>
                    <w:kinsoku/>
                    <w:wordWrap w:val="0"/>
                    <w:overflowPunct/>
                    <w:topLinePunct w:val="0"/>
                    <w:autoSpaceDE w:val="0"/>
                    <w:autoSpaceDN w:val="0"/>
                    <w:bidi w:val="0"/>
                    <w:adjustRightInd/>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p>
              </w:tc>
              <w:tc>
                <w:tcPr>
                  <w:tcW w:w="463" w:type="pct"/>
                  <w:vAlign w:val="center"/>
                </w:tcPr>
                <w:p w14:paraId="5D50F8D9">
                  <w:pPr>
                    <w:keepNext w:val="0"/>
                    <w:keepLines w:val="0"/>
                    <w:pageBreakBefore w:val="0"/>
                    <w:widowControl w:val="0"/>
                    <w:kinsoku/>
                    <w:wordWrap w:val="0"/>
                    <w:overflowPunct/>
                    <w:topLinePunct w:val="0"/>
                    <w:autoSpaceDE w:val="0"/>
                    <w:autoSpaceDN w:val="0"/>
                    <w:bidi w:val="0"/>
                    <w:adjustRightInd/>
                    <w:spacing w:line="240" w:lineRule="auto"/>
                    <w:jc w:val="center"/>
                    <w:textAlignment w:val="center"/>
                    <w:rPr>
                      <w:rFonts w:hint="default" w:ascii="Times New Roman" w:hAnsi="Times New Roman" w:eastAsia="宋体" w:cs="Times New Roman"/>
                      <w:color w:val="auto"/>
                      <w:position w:val="-10"/>
                      <w:sz w:val="21"/>
                      <w:szCs w:val="21"/>
                      <w:highlight w:val="none"/>
                      <w:lang w:val="en-US" w:eastAsia="zh-CN" w:bidi="ar-SA"/>
                    </w:rPr>
                  </w:pPr>
                  <w:r>
                    <w:rPr>
                      <w:rFonts w:hint="eastAsia" w:cs="Times New Roman"/>
                      <w:color w:val="auto"/>
                      <w:position w:val="-10"/>
                      <w:sz w:val="21"/>
                      <w:szCs w:val="21"/>
                      <w:highlight w:val="none"/>
                      <w:lang w:val="en-US" w:eastAsia="zh-CN" w:bidi="ar-SA"/>
                    </w:rPr>
                    <w:t>3个月</w:t>
                  </w:r>
                </w:p>
              </w:tc>
            </w:tr>
          </w:tbl>
          <w:p w14:paraId="231C727B">
            <w:pPr>
              <w:keepNext/>
              <w:keepLines/>
              <w:tabs>
                <w:tab w:val="left" w:pos="0"/>
              </w:tabs>
              <w:ind w:left="480"/>
              <w:outlineLvl w:val="4"/>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（3）转运、处置</w:t>
            </w:r>
          </w:p>
          <w:bookmarkEnd w:id="113"/>
          <w:p w14:paraId="0DF8660B">
            <w:pPr>
              <w:widowControl w:val="0"/>
              <w:wordWrap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项目内部无利用或处置危险废物的能力和设施，需要委托具有危险废物处理资质的单位处置。根据广东省生态环境厅危险废物经营许可证颁发情况，广东省有可以处置本项目危险废物的企业，处理能力充足。建设单位可直接委托其转移处理。</w:t>
            </w:r>
          </w:p>
          <w:p w14:paraId="6C47BE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表</w:t>
            </w:r>
            <w:r>
              <w:rPr>
                <w:rFonts w:hint="default" w:ascii="Times New Roman" w:hAnsi="Times New Roman" w:eastAsia="宋体" w:cs="Times New Roman"/>
                <w:b/>
                <w:bCs/>
                <w:color w:val="auto"/>
                <w:kern w:val="2"/>
                <w:sz w:val="21"/>
                <w:szCs w:val="21"/>
                <w:highlight w:val="none"/>
                <w:lang w:val="en-US" w:eastAsia="zh-CN" w:bidi="ar-SA"/>
              </w:rPr>
              <w:fldChar w:fldCharType="begin"/>
            </w:r>
            <w:r>
              <w:rPr>
                <w:rFonts w:hint="default" w:ascii="Times New Roman" w:hAnsi="Times New Roman" w:eastAsia="宋体" w:cs="Times New Roman"/>
                <w:b/>
                <w:bCs/>
                <w:color w:val="auto"/>
                <w:kern w:val="2"/>
                <w:sz w:val="21"/>
                <w:szCs w:val="21"/>
                <w:highlight w:val="none"/>
                <w:lang w:val="en-US" w:eastAsia="zh-CN" w:bidi="ar-SA"/>
              </w:rPr>
              <w:instrText xml:space="preserve"> STYLEREF 1 \s </w:instrText>
            </w:r>
            <w:r>
              <w:rPr>
                <w:rFonts w:hint="default" w:ascii="Times New Roman" w:hAnsi="Times New Roman" w:eastAsia="宋体" w:cs="Times New Roman"/>
                <w:b/>
                <w:bCs/>
                <w:color w:val="auto"/>
                <w:kern w:val="2"/>
                <w:sz w:val="21"/>
                <w:szCs w:val="21"/>
                <w:highlight w:val="none"/>
                <w:lang w:val="en-US" w:eastAsia="zh-CN" w:bidi="ar-SA"/>
              </w:rPr>
              <w:fldChar w:fldCharType="separate"/>
            </w:r>
            <w:r>
              <w:rPr>
                <w:rFonts w:hint="default" w:ascii="Times New Roman" w:hAnsi="Times New Roman" w:eastAsia="宋体" w:cs="Times New Roman"/>
                <w:b/>
                <w:bCs/>
                <w:color w:val="auto"/>
                <w:kern w:val="2"/>
                <w:sz w:val="21"/>
                <w:szCs w:val="21"/>
                <w:highlight w:val="none"/>
                <w:lang w:val="en-US" w:eastAsia="zh-CN" w:bidi="ar-SA"/>
              </w:rPr>
              <w:t>4</w:t>
            </w:r>
            <w:r>
              <w:rPr>
                <w:rFonts w:hint="default" w:ascii="Times New Roman" w:hAnsi="Times New Roman" w:eastAsia="宋体" w:cs="Times New Roman"/>
                <w:b/>
                <w:bCs/>
                <w:color w:val="auto"/>
                <w:kern w:val="2"/>
                <w:sz w:val="21"/>
                <w:szCs w:val="21"/>
                <w:highlight w:val="none"/>
                <w:lang w:val="en-US" w:eastAsia="zh-CN" w:bidi="ar-SA"/>
              </w:rPr>
              <w:fldChar w:fldCharType="end"/>
            </w:r>
            <w:r>
              <w:rPr>
                <w:rFonts w:hint="default" w:ascii="Times New Roman" w:hAnsi="Times New Roman" w:eastAsia="宋体" w:cs="Times New Roman"/>
                <w:b/>
                <w:bCs/>
                <w:color w:val="auto"/>
                <w:kern w:val="2"/>
                <w:sz w:val="21"/>
                <w:szCs w:val="21"/>
                <w:highlight w:val="none"/>
                <w:lang w:val="en-US" w:eastAsia="zh-CN" w:bidi="ar-SA"/>
              </w:rPr>
              <w:t>-</w:t>
            </w:r>
            <w:r>
              <w:rPr>
                <w:rFonts w:hint="eastAsia" w:cs="Times New Roman"/>
                <w:b/>
                <w:bCs/>
                <w:color w:val="auto"/>
                <w:kern w:val="2"/>
                <w:sz w:val="21"/>
                <w:szCs w:val="21"/>
                <w:highlight w:val="none"/>
                <w:lang w:val="en-US" w:eastAsia="zh-CN" w:bidi="ar-SA"/>
              </w:rPr>
              <w:t>13</w:t>
            </w:r>
            <w:r>
              <w:rPr>
                <w:rFonts w:hint="default" w:ascii="Times New Roman" w:hAnsi="Times New Roman" w:eastAsia="宋体" w:cs="Times New Roman"/>
                <w:b/>
                <w:bCs/>
                <w:color w:val="auto"/>
                <w:kern w:val="2"/>
                <w:sz w:val="21"/>
                <w:szCs w:val="21"/>
                <w:highlight w:val="none"/>
                <w:lang w:val="en-US" w:eastAsia="zh-CN" w:bidi="ar-SA"/>
              </w:rPr>
              <w:t>广东省内可接收本项目危险废物的处理单位一览表（摘录）</w:t>
            </w:r>
          </w:p>
          <w:tbl>
            <w:tblPr>
              <w:tblStyle w:val="44"/>
              <w:tblW w:w="87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38"/>
              <w:gridCol w:w="1093"/>
              <w:gridCol w:w="976"/>
              <w:gridCol w:w="706"/>
              <w:gridCol w:w="967"/>
              <w:gridCol w:w="4630"/>
            </w:tblGrid>
            <w:tr w14:paraId="3E791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94" w:type="pct"/>
                  <w:vAlign w:val="center"/>
                </w:tcPr>
                <w:p w14:paraId="1783378D">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序号</w:t>
                  </w:r>
                </w:p>
              </w:tc>
              <w:tc>
                <w:tcPr>
                  <w:tcW w:w="627" w:type="pct"/>
                  <w:vAlign w:val="center"/>
                </w:tcPr>
                <w:p w14:paraId="184B76A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企业名称</w:t>
                  </w:r>
                </w:p>
              </w:tc>
              <w:tc>
                <w:tcPr>
                  <w:tcW w:w="560" w:type="pct"/>
                  <w:vAlign w:val="center"/>
                </w:tcPr>
                <w:p w14:paraId="2A540618">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设施地址</w:t>
                  </w:r>
                </w:p>
              </w:tc>
              <w:tc>
                <w:tcPr>
                  <w:tcW w:w="405" w:type="pct"/>
                  <w:vAlign w:val="center"/>
                </w:tcPr>
                <w:p w14:paraId="27CD6900">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许可证编号</w:t>
                  </w:r>
                </w:p>
              </w:tc>
              <w:tc>
                <w:tcPr>
                  <w:tcW w:w="555" w:type="pct"/>
                  <w:vAlign w:val="center"/>
                </w:tcPr>
                <w:p w14:paraId="099EBECD">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经营时间有效期</w:t>
                  </w:r>
                </w:p>
              </w:tc>
              <w:tc>
                <w:tcPr>
                  <w:tcW w:w="2656" w:type="pct"/>
                  <w:vAlign w:val="center"/>
                </w:tcPr>
                <w:p w14:paraId="27579EA5">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核准经营范围、类别</w:t>
                  </w:r>
                </w:p>
              </w:tc>
            </w:tr>
            <w:tr w14:paraId="653FF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94" w:type="pct"/>
                  <w:vAlign w:val="center"/>
                </w:tcPr>
                <w:p w14:paraId="118AFDF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w:t>
                  </w:r>
                </w:p>
              </w:tc>
              <w:tc>
                <w:tcPr>
                  <w:tcW w:w="627" w:type="pct"/>
                  <w:vAlign w:val="center"/>
                </w:tcPr>
                <w:p w14:paraId="0D9A643F">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shd w:val="clear" w:color="auto" w:fill="FFFFFF"/>
                      <w:lang w:val="en-US" w:eastAsia="zh-CN" w:bidi="ar-SA"/>
                    </w:rPr>
                  </w:pPr>
                  <w:r>
                    <w:rPr>
                      <w:rFonts w:hint="default" w:ascii="Times New Roman" w:hAnsi="Times New Roman" w:eastAsia="宋体" w:cs="Times New Roman"/>
                      <w:color w:val="auto"/>
                      <w:kern w:val="2"/>
                      <w:sz w:val="21"/>
                      <w:szCs w:val="21"/>
                      <w:highlight w:val="none"/>
                      <w:shd w:val="clear" w:color="auto" w:fill="FFFFFF"/>
                      <w:lang w:val="en-US" w:eastAsia="zh-CN" w:bidi="ar-SA"/>
                    </w:rPr>
                    <w:t>韶关鹏瑞环保科技有限公司</w:t>
                  </w:r>
                </w:p>
              </w:tc>
              <w:tc>
                <w:tcPr>
                  <w:tcW w:w="560" w:type="pct"/>
                  <w:vAlign w:val="center"/>
                </w:tcPr>
                <w:p w14:paraId="2B60EF4C">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shd w:val="clear" w:color="auto" w:fill="FFFFFF"/>
                      <w:lang w:val="en-US" w:eastAsia="zh-CN" w:bidi="ar-SA"/>
                    </w:rPr>
                  </w:pPr>
                  <w:r>
                    <w:rPr>
                      <w:rFonts w:hint="default" w:ascii="Times New Roman" w:hAnsi="Times New Roman" w:eastAsia="宋体" w:cs="Times New Roman"/>
                      <w:color w:val="auto"/>
                      <w:kern w:val="2"/>
                      <w:sz w:val="21"/>
                      <w:szCs w:val="21"/>
                      <w:highlight w:val="none"/>
                      <w:shd w:val="clear" w:color="auto" w:fill="FFFFFF"/>
                      <w:lang w:val="en-US" w:eastAsia="zh-CN" w:bidi="ar-SA"/>
                    </w:rPr>
                    <w:t>韶关市翁源县官渡镇官渡经济开发区</w:t>
                  </w:r>
                </w:p>
              </w:tc>
              <w:tc>
                <w:tcPr>
                  <w:tcW w:w="405" w:type="pct"/>
                  <w:vAlign w:val="center"/>
                </w:tcPr>
                <w:p w14:paraId="6E2C13E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shd w:val="clear" w:color="auto" w:fill="FFFFFF"/>
                      <w:lang w:val="en-US" w:eastAsia="zh-CN" w:bidi="ar-SA"/>
                    </w:rPr>
                  </w:pPr>
                  <w:r>
                    <w:rPr>
                      <w:rFonts w:hint="default" w:ascii="Times New Roman" w:hAnsi="Times New Roman" w:eastAsia="宋体" w:cs="Times New Roman"/>
                      <w:color w:val="auto"/>
                      <w:kern w:val="2"/>
                      <w:sz w:val="21"/>
                      <w:szCs w:val="21"/>
                      <w:highlight w:val="none"/>
                      <w:shd w:val="clear" w:color="auto" w:fill="FFFFFF"/>
                      <w:lang w:val="en-US" w:eastAsia="zh-CN" w:bidi="ar-SA"/>
                    </w:rPr>
                    <w:t>440229190731</w:t>
                  </w:r>
                </w:p>
              </w:tc>
              <w:tc>
                <w:tcPr>
                  <w:tcW w:w="555" w:type="pct"/>
                  <w:vAlign w:val="center"/>
                </w:tcPr>
                <w:p w14:paraId="7AB6FE93">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shd w:val="clear" w:color="auto" w:fill="FFFFFF"/>
                      <w:lang w:val="en-US" w:eastAsia="zh-CN" w:bidi="ar-SA"/>
                    </w:rPr>
                  </w:pPr>
                  <w:r>
                    <w:rPr>
                      <w:rFonts w:hint="default" w:ascii="Times New Roman" w:hAnsi="Times New Roman" w:eastAsia="宋体" w:cs="Times New Roman"/>
                      <w:color w:val="auto"/>
                      <w:kern w:val="2"/>
                      <w:sz w:val="21"/>
                      <w:szCs w:val="21"/>
                      <w:highlight w:val="none"/>
                      <w:lang w:val="en-US" w:eastAsia="zh-CN" w:bidi="ar-SA"/>
                    </w:rPr>
                    <w:t>至2025年7月30日</w:t>
                  </w:r>
                </w:p>
              </w:tc>
              <w:tc>
                <w:tcPr>
                  <w:tcW w:w="2656" w:type="pct"/>
                  <w:vAlign w:val="center"/>
                </w:tcPr>
                <w:p w14:paraId="0EA09EA3">
                  <w:pPr>
                    <w:keepNext w:val="0"/>
                    <w:keepLines w:val="0"/>
                    <w:pageBreakBefore w:val="0"/>
                    <w:widowControl w:val="0"/>
                    <w:kinsoku/>
                    <w:wordWrap w:val="0"/>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kern w:val="2"/>
                      <w:sz w:val="21"/>
                      <w:szCs w:val="21"/>
                      <w:highlight w:val="none"/>
                      <w:shd w:val="clear" w:color="auto" w:fill="FFFFFF"/>
                      <w:lang w:val="en-US" w:eastAsia="zh-CN" w:bidi="ar-SA"/>
                    </w:rPr>
                  </w:pPr>
                  <w:r>
                    <w:rPr>
                      <w:rFonts w:hint="default" w:ascii="Times New Roman" w:hAnsi="Times New Roman" w:eastAsia="宋体" w:cs="Times New Roman"/>
                      <w:color w:val="auto"/>
                      <w:kern w:val="2"/>
                      <w:sz w:val="21"/>
                      <w:szCs w:val="21"/>
                      <w:highlight w:val="none"/>
                      <w:shd w:val="clear" w:color="auto" w:fill="FFFFFF"/>
                      <w:lang w:val="en-US" w:eastAsia="zh-CN" w:bidi="ar-SA"/>
                    </w:rPr>
                    <w:t>【收集、贮存、利用】感光材料废物（HW16类中266-009~010-16、231-001~002-16、398-001-16、873-001-16、806-001-16、900-019-16，限感光废菲林2000吨/年、废定影液和显影液1000吨/年）3000吨/年，表面处理废物（HW17类中336-050-17、336-052-17、336-054~059-17、336-062~064-17、336-066-17，仅限污泥）50000吨/年，含铜废物（HW22类中304-001-22、398-004-22、398-005-22、398-051-22，仅限污泥）、有色金属采选和冶炼废物（HW48类中321-002-48，仅限污泥）50000吨/年，无机氰化物废物（HW33类中336-104-33、900-027~029-33）1000吨/年；</w:t>
                  </w:r>
                </w:p>
                <w:p w14:paraId="7F9B030E">
                  <w:pPr>
                    <w:keepNext w:val="0"/>
                    <w:keepLines w:val="0"/>
                    <w:pageBreakBefore w:val="0"/>
                    <w:widowControl w:val="0"/>
                    <w:kinsoku/>
                    <w:wordWrap w:val="0"/>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kern w:val="2"/>
                      <w:sz w:val="21"/>
                      <w:szCs w:val="21"/>
                      <w:highlight w:val="none"/>
                      <w:shd w:val="clear" w:color="auto" w:fill="FFFFFF"/>
                      <w:lang w:val="en-US" w:eastAsia="zh-CN" w:bidi="ar-SA"/>
                    </w:rPr>
                  </w:pPr>
                  <w:r>
                    <w:rPr>
                      <w:rFonts w:hint="default" w:ascii="Times New Roman" w:hAnsi="Times New Roman" w:eastAsia="宋体" w:cs="Times New Roman"/>
                      <w:color w:val="auto"/>
                      <w:kern w:val="2"/>
                      <w:sz w:val="21"/>
                      <w:szCs w:val="21"/>
                      <w:highlight w:val="none"/>
                      <w:shd w:val="clear" w:color="auto" w:fill="FFFFFF"/>
                      <w:lang w:val="en-US" w:eastAsia="zh-CN" w:bidi="ar-SA"/>
                    </w:rPr>
                    <w:t>【收集、贮存、处置】废酸（HW34类中398-005~007-34、900-300~308-34、900-349-34）10000吨/年，废碱（HW35类中900-350~356-35、900-399-35）10000吨/年；共计124000吨/年。</w:t>
                  </w:r>
                </w:p>
              </w:tc>
            </w:tr>
            <w:tr w14:paraId="2D959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94" w:type="pct"/>
                  <w:vAlign w:val="center"/>
                </w:tcPr>
                <w:p w14:paraId="28417150">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w:t>
                  </w:r>
                </w:p>
              </w:tc>
              <w:tc>
                <w:tcPr>
                  <w:tcW w:w="627" w:type="pct"/>
                  <w:vAlign w:val="center"/>
                </w:tcPr>
                <w:p w14:paraId="0AFEA2A6">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shd w:val="clear" w:color="auto" w:fill="FFFFFF"/>
                      <w:lang w:val="en-US" w:eastAsia="zh-CN" w:bidi="ar-SA"/>
                    </w:rPr>
                  </w:pPr>
                  <w:r>
                    <w:rPr>
                      <w:rFonts w:hint="default" w:ascii="Times New Roman" w:hAnsi="Times New Roman" w:eastAsia="宋体" w:cs="Times New Roman"/>
                      <w:color w:val="auto"/>
                      <w:kern w:val="2"/>
                      <w:sz w:val="21"/>
                      <w:szCs w:val="21"/>
                      <w:highlight w:val="none"/>
                      <w:shd w:val="clear" w:color="auto" w:fill="FFFFFF"/>
                      <w:lang w:val="en-US" w:eastAsia="zh-CN" w:bidi="ar-SA"/>
                    </w:rPr>
                    <w:t>韶关东江环保再生资源发展有限公司</w:t>
                  </w:r>
                </w:p>
              </w:tc>
              <w:tc>
                <w:tcPr>
                  <w:tcW w:w="560" w:type="pct"/>
                  <w:vAlign w:val="center"/>
                </w:tcPr>
                <w:p w14:paraId="59A86B5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shd w:val="clear" w:color="auto" w:fill="FFFFFF"/>
                      <w:lang w:val="en-US" w:eastAsia="zh-CN" w:bidi="ar-SA"/>
                    </w:rPr>
                  </w:pPr>
                  <w:r>
                    <w:rPr>
                      <w:rFonts w:hint="default" w:ascii="Times New Roman" w:hAnsi="Times New Roman" w:eastAsia="宋体" w:cs="Times New Roman"/>
                      <w:color w:val="auto"/>
                      <w:kern w:val="2"/>
                      <w:sz w:val="21"/>
                      <w:szCs w:val="21"/>
                      <w:highlight w:val="none"/>
                      <w:shd w:val="clear" w:color="auto" w:fill="FFFFFF"/>
                      <w:lang w:val="en-US" w:eastAsia="zh-CN" w:bidi="ar-SA"/>
                    </w:rPr>
                    <w:t>韶关市翁源县铁龙林场将军屯</w:t>
                  </w:r>
                </w:p>
              </w:tc>
              <w:tc>
                <w:tcPr>
                  <w:tcW w:w="405" w:type="pct"/>
                  <w:vAlign w:val="center"/>
                </w:tcPr>
                <w:p w14:paraId="5F4DBE76">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shd w:val="clear" w:color="auto" w:fill="FFFFFF"/>
                      <w:lang w:val="en-US" w:eastAsia="zh-CN" w:bidi="ar-SA"/>
                    </w:rPr>
                  </w:pPr>
                  <w:r>
                    <w:rPr>
                      <w:rFonts w:hint="default" w:ascii="Times New Roman" w:hAnsi="Times New Roman" w:eastAsia="宋体" w:cs="Times New Roman"/>
                      <w:color w:val="auto"/>
                      <w:kern w:val="2"/>
                      <w:sz w:val="21"/>
                      <w:szCs w:val="21"/>
                      <w:highlight w:val="none"/>
                      <w:shd w:val="clear" w:color="auto" w:fill="FFFFFF"/>
                      <w:lang w:val="en-US" w:eastAsia="zh-CN" w:bidi="ar-SA"/>
                    </w:rPr>
                    <w:t>440229210121</w:t>
                  </w:r>
                </w:p>
              </w:tc>
              <w:tc>
                <w:tcPr>
                  <w:tcW w:w="555" w:type="pct"/>
                  <w:vAlign w:val="center"/>
                </w:tcPr>
                <w:p w14:paraId="785B3F90">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至2027年3月5日</w:t>
                  </w:r>
                </w:p>
              </w:tc>
              <w:tc>
                <w:tcPr>
                  <w:tcW w:w="2656" w:type="pct"/>
                  <w:vAlign w:val="center"/>
                </w:tcPr>
                <w:p w14:paraId="65C8B15E">
                  <w:pPr>
                    <w:keepNext w:val="0"/>
                    <w:keepLines w:val="0"/>
                    <w:pageBreakBefore w:val="0"/>
                    <w:widowControl w:val="0"/>
                    <w:kinsoku/>
                    <w:wordWrap w:val="0"/>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kern w:val="2"/>
                      <w:sz w:val="21"/>
                      <w:szCs w:val="21"/>
                      <w:highlight w:val="none"/>
                      <w:shd w:val="clear" w:color="auto" w:fill="FFFFFF"/>
                      <w:lang w:val="en-US" w:eastAsia="zh-CN" w:bidi="ar-SA"/>
                    </w:rPr>
                  </w:pPr>
                  <w:r>
                    <w:rPr>
                      <w:rFonts w:hint="default" w:ascii="Times New Roman" w:hAnsi="Times New Roman" w:eastAsia="宋体" w:cs="Times New Roman"/>
                      <w:color w:val="auto"/>
                      <w:kern w:val="2"/>
                      <w:sz w:val="21"/>
                      <w:szCs w:val="21"/>
                      <w:highlight w:val="none"/>
                      <w:shd w:val="clear" w:color="auto" w:fill="FFFFFF"/>
                      <w:lang w:val="en-US" w:eastAsia="zh-CN" w:bidi="ar-SA"/>
                    </w:rPr>
                    <w:t>【收集、贮存、处置（填埋）】焚烧处置残渣（HW18类中的772-002~004-18）、含铍废物（HW20类）、含铬废物（HW21类中的193-001-21、261-041~044-21、314-001~003-21、336-100-21、398-002-21）、含铜废物（HW22类中的398-005-22、304-001-22）、含锌废物（HW23类中的336-103-23、384-001-23、312-001-23、900-021-23）、含砷废物（HW24类）、含硒废物（HW25类）、含镉废物（HW26类）、含锑废物（HW27类）、含碲废物（HW28类）、含汞废物（HW29类中的261-051~052-29、261-054-29、265-004-29、900-452-29，仅限低含汞污泥）、含铊废物（HW30类）、含铅废物（HW31类中的304-002-31）、石棉废物（HW36类）、含镍废物（HW46类）、含钡废物（HW47类）、有色金属冶炼废物（HW48类中的321-002~014-48、321-016~029-48）、其他废物（HW49类中的900-041~042-49、900-046~047-49），共3.45万吨/年。</w:t>
                  </w:r>
                </w:p>
              </w:tc>
            </w:tr>
            <w:tr w14:paraId="70487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94" w:type="pct"/>
                  <w:vAlign w:val="center"/>
                </w:tcPr>
                <w:p w14:paraId="36567D2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w:t>
                  </w:r>
                </w:p>
              </w:tc>
              <w:tc>
                <w:tcPr>
                  <w:tcW w:w="627" w:type="pct"/>
                  <w:vAlign w:val="center"/>
                </w:tcPr>
                <w:p w14:paraId="4003DE93">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shd w:val="clear" w:color="auto" w:fill="FFFFFF"/>
                      <w:lang w:val="en-US" w:eastAsia="zh-CN" w:bidi="ar-SA"/>
                    </w:rPr>
                  </w:pPr>
                  <w:r>
                    <w:rPr>
                      <w:rFonts w:hint="default" w:ascii="Times New Roman" w:hAnsi="Times New Roman" w:eastAsia="宋体" w:cs="Times New Roman"/>
                      <w:color w:val="auto"/>
                      <w:kern w:val="2"/>
                      <w:sz w:val="21"/>
                      <w:szCs w:val="21"/>
                      <w:highlight w:val="none"/>
                      <w:shd w:val="clear" w:color="auto" w:fill="FFFFFF"/>
                      <w:lang w:val="en-US" w:eastAsia="zh-CN" w:bidi="ar-SA"/>
                    </w:rPr>
                    <w:t>广东华欣环保科技有限公司</w:t>
                  </w:r>
                </w:p>
              </w:tc>
              <w:tc>
                <w:tcPr>
                  <w:tcW w:w="560" w:type="pct"/>
                  <w:vAlign w:val="center"/>
                </w:tcPr>
                <w:p w14:paraId="565038A3">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shd w:val="clear" w:color="auto" w:fill="FFFFFF"/>
                      <w:lang w:val="en-US" w:eastAsia="zh-CN" w:bidi="ar-SA"/>
                    </w:rPr>
                  </w:pPr>
                  <w:r>
                    <w:rPr>
                      <w:rFonts w:hint="default" w:ascii="Times New Roman" w:hAnsi="Times New Roman" w:eastAsia="宋体" w:cs="Times New Roman"/>
                      <w:color w:val="auto"/>
                      <w:kern w:val="2"/>
                      <w:sz w:val="21"/>
                      <w:szCs w:val="21"/>
                      <w:highlight w:val="none"/>
                      <w:shd w:val="clear" w:color="auto" w:fill="FFFFFF"/>
                      <w:lang w:val="en-US" w:eastAsia="zh-CN" w:bidi="ar-SA"/>
                    </w:rPr>
                    <w:t>韶关市曲江区广东韶钢松山股份有限公司厂区内</w:t>
                  </w:r>
                </w:p>
              </w:tc>
              <w:tc>
                <w:tcPr>
                  <w:tcW w:w="405" w:type="pct"/>
                  <w:vAlign w:val="center"/>
                </w:tcPr>
                <w:p w14:paraId="2495D739">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shd w:val="clear" w:color="auto" w:fill="FFFFFF"/>
                      <w:lang w:val="en-US" w:eastAsia="zh-CN" w:bidi="ar-SA"/>
                    </w:rPr>
                  </w:pPr>
                  <w:r>
                    <w:rPr>
                      <w:rFonts w:hint="default" w:ascii="Times New Roman" w:hAnsi="Times New Roman" w:eastAsia="宋体" w:cs="Times New Roman"/>
                      <w:color w:val="auto"/>
                      <w:kern w:val="2"/>
                      <w:sz w:val="21"/>
                      <w:szCs w:val="21"/>
                      <w:highlight w:val="none"/>
                      <w:shd w:val="clear" w:color="auto" w:fill="FFFFFF"/>
                      <w:lang w:val="en-US" w:eastAsia="zh-CN" w:bidi="ar-SA"/>
                    </w:rPr>
                    <w:t>440205220412</w:t>
                  </w:r>
                </w:p>
              </w:tc>
              <w:tc>
                <w:tcPr>
                  <w:tcW w:w="555" w:type="pct"/>
                  <w:vAlign w:val="center"/>
                </w:tcPr>
                <w:p w14:paraId="37B9B183">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至2028年4月9日</w:t>
                  </w:r>
                </w:p>
              </w:tc>
              <w:tc>
                <w:tcPr>
                  <w:tcW w:w="2656" w:type="pct"/>
                  <w:vAlign w:val="center"/>
                </w:tcPr>
                <w:p w14:paraId="7952B881">
                  <w:pPr>
                    <w:keepNext w:val="0"/>
                    <w:keepLines w:val="0"/>
                    <w:pageBreakBefore w:val="0"/>
                    <w:widowControl w:val="0"/>
                    <w:kinsoku/>
                    <w:wordWrap w:val="0"/>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kern w:val="2"/>
                      <w:sz w:val="21"/>
                      <w:szCs w:val="21"/>
                      <w:highlight w:val="none"/>
                      <w:shd w:val="clear" w:color="auto" w:fill="FFFFFF"/>
                      <w:lang w:val="en-US" w:eastAsia="zh-CN" w:bidi="ar-SA"/>
                    </w:rPr>
                  </w:pPr>
                  <w:r>
                    <w:rPr>
                      <w:rFonts w:hint="default" w:ascii="Times New Roman" w:hAnsi="Times New Roman" w:eastAsia="宋体" w:cs="Times New Roman"/>
                      <w:color w:val="auto"/>
                      <w:kern w:val="2"/>
                      <w:sz w:val="21"/>
                      <w:szCs w:val="21"/>
                      <w:highlight w:val="none"/>
                      <w:shd w:val="clear" w:color="auto" w:fill="FFFFFF"/>
                      <w:lang w:val="en-US" w:eastAsia="zh-CN" w:bidi="ar-SA"/>
                    </w:rPr>
                    <w:t>【收集、贮存、利用】废矿物油与含矿物油废物（HW08类中的900-249-08，仅限沾染矿物油的废铁质包装桶）1.8万吨/年、其他废物（HW49类中的900-041-49，仅限废铁质包装桶）3.2万吨/年、含铬废物（HW21类中的314-001~002-21）10万吨/年、含锌废物（HW23类中的312-001-23、336-103-23（仅限集尘、除尘装置收集的粉尘））1万吨/年，共计16万吨/年。</w:t>
                  </w:r>
                </w:p>
              </w:tc>
            </w:tr>
          </w:tbl>
          <w:p w14:paraId="6A9EBBF1">
            <w:pPr>
              <w:widowControl w:val="0"/>
              <w:wordWrap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本项目的危险废物种类不多，单次产生量不大，性质较稳定，落实好上述措施后，从产生到转移处置的全过程环境风险均可得到有效控制，不存在重大隐患，不会对外部环境造成重大影响。</w:t>
            </w:r>
          </w:p>
          <w:p w14:paraId="691D4FEB">
            <w:pPr>
              <w:keepNext/>
              <w:keepLines/>
              <w:widowControl w:val="0"/>
              <w:numPr>
                <w:ilvl w:val="2"/>
                <w:numId w:val="0"/>
              </w:numPr>
              <w:spacing w:line="360" w:lineRule="auto"/>
              <w:ind w:firstLine="480" w:firstLineChars="200"/>
              <w:jc w:val="both"/>
              <w:outlineLvl w:val="2"/>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五、土壤、地下水环境影响分析</w:t>
            </w:r>
          </w:p>
          <w:p w14:paraId="5B514F5F">
            <w:pPr>
              <w:widowControl w:val="0"/>
              <w:wordWrap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本项目属于“</w:t>
            </w:r>
            <w:r>
              <w:rPr>
                <w:rFonts w:hint="default" w:ascii="Times New Roman" w:hAnsi="Times New Roman" w:cs="Times New Roman"/>
                <w:color w:val="auto"/>
                <w:kern w:val="2"/>
                <w:sz w:val="24"/>
                <w:szCs w:val="24"/>
                <w:highlight w:val="none"/>
                <w:lang w:val="en-US" w:eastAsia="zh-CN" w:bidi="ar-SA"/>
              </w:rPr>
              <w:t>四十七、生态保护和环境治理业-103一般工业固体废物（含污水处理污泥）、建筑施工废弃物处置及综合利用</w:t>
            </w:r>
            <w:r>
              <w:rPr>
                <w:rFonts w:hint="default" w:ascii="Times New Roman" w:hAnsi="Times New Roman" w:eastAsia="宋体" w:cs="Times New Roman"/>
                <w:color w:val="auto"/>
                <w:kern w:val="2"/>
                <w:sz w:val="24"/>
                <w:szCs w:val="24"/>
                <w:highlight w:val="none"/>
                <w:lang w:val="en-US" w:eastAsia="zh-CN" w:bidi="ar-SA"/>
              </w:rPr>
              <w:t>”，厂区地面已全部硬化，危废</w:t>
            </w:r>
            <w:r>
              <w:rPr>
                <w:rFonts w:hint="eastAsia" w:cs="Times New Roman"/>
                <w:color w:val="auto"/>
                <w:kern w:val="2"/>
                <w:sz w:val="24"/>
                <w:szCs w:val="24"/>
                <w:highlight w:val="none"/>
                <w:lang w:val="en-US" w:eastAsia="zh-CN" w:bidi="ar-SA"/>
              </w:rPr>
              <w:t>暂存</w:t>
            </w:r>
            <w:r>
              <w:rPr>
                <w:rFonts w:hint="default" w:ascii="Times New Roman" w:hAnsi="Times New Roman" w:eastAsia="宋体" w:cs="Times New Roman"/>
                <w:color w:val="auto"/>
                <w:kern w:val="2"/>
                <w:sz w:val="24"/>
                <w:szCs w:val="24"/>
                <w:highlight w:val="none"/>
                <w:lang w:val="en-US" w:eastAsia="zh-CN" w:bidi="ar-SA"/>
              </w:rPr>
              <w:t>间地面硬化，并刷环氧树脂漆防渗层、设置围堰，正常情况下可有效阻止地下水污染途径，对地下水环境不产生影响。本项目所采用的原辅材料组成不含重金属等土壤污染成分，对土壤环境影响极小。本项目厂区按照规范和要求对生产车间、</w:t>
            </w:r>
            <w:r>
              <w:rPr>
                <w:rFonts w:hint="default" w:ascii="Times New Roman" w:hAnsi="Times New Roman" w:cs="Times New Roman"/>
                <w:color w:val="auto"/>
                <w:kern w:val="2"/>
                <w:sz w:val="24"/>
                <w:szCs w:val="24"/>
                <w:highlight w:val="none"/>
                <w:lang w:val="en-US" w:eastAsia="zh-CN" w:bidi="ar-SA"/>
              </w:rPr>
              <w:t>一般固废暂存区</w:t>
            </w:r>
            <w:r>
              <w:rPr>
                <w:rFonts w:hint="default" w:ascii="Times New Roman" w:hAnsi="Times New Roman" w:eastAsia="宋体" w:cs="Times New Roman"/>
                <w:color w:val="auto"/>
                <w:kern w:val="2"/>
                <w:sz w:val="24"/>
                <w:szCs w:val="24"/>
                <w:highlight w:val="none"/>
                <w:lang w:val="en-US" w:eastAsia="zh-CN" w:bidi="ar-SA"/>
              </w:rPr>
              <w:t>以及</w:t>
            </w:r>
            <w:r>
              <w:rPr>
                <w:rFonts w:hint="eastAsia" w:cs="Times New Roman"/>
                <w:color w:val="auto"/>
                <w:kern w:val="2"/>
                <w:sz w:val="24"/>
                <w:szCs w:val="24"/>
                <w:highlight w:val="none"/>
                <w:lang w:val="en-US" w:eastAsia="zh-CN" w:bidi="ar-SA"/>
              </w:rPr>
              <w:t>危废暂存间</w:t>
            </w:r>
            <w:r>
              <w:rPr>
                <w:rFonts w:hint="default" w:ascii="Times New Roman" w:hAnsi="Times New Roman" w:eastAsia="宋体" w:cs="Times New Roman"/>
                <w:color w:val="auto"/>
                <w:kern w:val="2"/>
                <w:sz w:val="24"/>
                <w:szCs w:val="24"/>
                <w:highlight w:val="none"/>
                <w:lang w:val="en-US" w:eastAsia="zh-CN" w:bidi="ar-SA"/>
              </w:rPr>
              <w:t>等采取有效的防雨、防渗漏、防溢流等措施，</w:t>
            </w:r>
            <w:r>
              <w:rPr>
                <w:rFonts w:hint="eastAsia" w:cs="Times New Roman"/>
                <w:color w:val="auto"/>
                <w:kern w:val="2"/>
                <w:sz w:val="24"/>
                <w:szCs w:val="24"/>
                <w:highlight w:val="none"/>
                <w:lang w:val="en-US" w:eastAsia="zh-CN" w:bidi="ar-SA"/>
              </w:rPr>
              <w:t>厂房</w:t>
            </w:r>
            <w:r>
              <w:rPr>
                <w:rFonts w:hint="default" w:ascii="Times New Roman" w:hAnsi="Times New Roman" w:eastAsia="宋体" w:cs="Times New Roman"/>
                <w:color w:val="auto"/>
                <w:kern w:val="2"/>
                <w:sz w:val="24"/>
                <w:szCs w:val="24"/>
                <w:highlight w:val="none"/>
                <w:lang w:val="en-US" w:eastAsia="zh-CN" w:bidi="ar-SA"/>
              </w:rPr>
              <w:t>、</w:t>
            </w:r>
            <w:r>
              <w:rPr>
                <w:rFonts w:hint="default" w:ascii="Times New Roman" w:hAnsi="Times New Roman" w:cs="Times New Roman"/>
                <w:color w:val="auto"/>
                <w:kern w:val="2"/>
                <w:sz w:val="24"/>
                <w:szCs w:val="24"/>
                <w:highlight w:val="none"/>
                <w:lang w:val="en-US" w:eastAsia="zh-CN" w:bidi="ar-SA"/>
              </w:rPr>
              <w:t>一般固废暂存区</w:t>
            </w:r>
            <w:r>
              <w:rPr>
                <w:rFonts w:hint="default" w:ascii="Times New Roman" w:hAnsi="Times New Roman" w:eastAsia="宋体" w:cs="Times New Roman"/>
                <w:color w:val="auto"/>
                <w:kern w:val="2"/>
                <w:sz w:val="24"/>
                <w:szCs w:val="24"/>
                <w:highlight w:val="none"/>
                <w:lang w:val="en-US" w:eastAsia="zh-CN" w:bidi="ar-SA"/>
              </w:rPr>
              <w:t>以及</w:t>
            </w:r>
            <w:r>
              <w:rPr>
                <w:rFonts w:hint="eastAsia" w:cs="Times New Roman"/>
                <w:color w:val="auto"/>
                <w:kern w:val="2"/>
                <w:sz w:val="24"/>
                <w:szCs w:val="24"/>
                <w:highlight w:val="none"/>
                <w:lang w:val="en-US" w:eastAsia="zh-CN" w:bidi="ar-SA"/>
              </w:rPr>
              <w:t>危废暂存间</w:t>
            </w:r>
            <w:r>
              <w:rPr>
                <w:rFonts w:hint="default" w:ascii="Times New Roman" w:hAnsi="Times New Roman" w:eastAsia="宋体" w:cs="Times New Roman"/>
                <w:color w:val="auto"/>
                <w:kern w:val="2"/>
                <w:sz w:val="24"/>
                <w:szCs w:val="24"/>
                <w:highlight w:val="none"/>
                <w:lang w:val="en-US" w:eastAsia="zh-CN" w:bidi="ar-SA"/>
              </w:rPr>
              <w:t>已进行场地硬化，因此不进行土壤现状监测。</w:t>
            </w:r>
          </w:p>
          <w:p w14:paraId="3CA622F4">
            <w:pPr>
              <w:widowControl w:val="0"/>
              <w:wordWrap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各原料组分不含有毒有害的重金属等污染物，也不涉及建设用地、农用地土壤污染风险筛选值和管制值的其他污染物，即项目不涉及土壤影响特征因子，不会引起土壤环境的盐化、酸化、碱化等生态环境变化，因此本次评价不做进一步的土壤累积影响预测。</w:t>
            </w:r>
          </w:p>
          <w:p w14:paraId="06EC53C2">
            <w:pPr>
              <w:widowControl w:val="0"/>
              <w:autoSpaceDE w:val="0"/>
              <w:autoSpaceDN w:val="0"/>
              <w:adjustRightInd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分区管控：</w:t>
            </w:r>
          </w:p>
          <w:p w14:paraId="63E2A8AE">
            <w:pPr>
              <w:widowControl w:val="0"/>
              <w:spacing w:line="360" w:lineRule="auto"/>
              <w:ind w:left="0" w:firstLine="480" w:firstLineChars="200"/>
              <w:jc w:val="both"/>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①简单防渗区：办公室</w:t>
            </w:r>
            <w:r>
              <w:rPr>
                <w:rFonts w:hint="default" w:ascii="Times New Roman" w:hAnsi="Times New Roman" w:cs="Times New Roman"/>
                <w:b w:val="0"/>
                <w:bCs w:val="0"/>
                <w:color w:val="auto"/>
                <w:kern w:val="2"/>
                <w:sz w:val="24"/>
                <w:szCs w:val="24"/>
                <w:highlight w:val="none"/>
                <w:lang w:val="en-US" w:eastAsia="zh-CN" w:bidi="ar-SA"/>
              </w:rPr>
              <w:t>及仓库</w:t>
            </w:r>
            <w:r>
              <w:rPr>
                <w:rFonts w:hint="default" w:ascii="Times New Roman" w:hAnsi="Times New Roman" w:eastAsia="宋体" w:cs="Times New Roman"/>
                <w:b w:val="0"/>
                <w:bCs w:val="0"/>
                <w:color w:val="auto"/>
                <w:kern w:val="2"/>
                <w:sz w:val="24"/>
                <w:szCs w:val="24"/>
                <w:highlight w:val="none"/>
                <w:lang w:val="en-US" w:eastAsia="zh-CN" w:bidi="ar-SA"/>
              </w:rPr>
              <w:t>区域仅进行一般地面硬化，无需进行防渗处理。</w:t>
            </w:r>
          </w:p>
          <w:p w14:paraId="1FC5C067">
            <w:pPr>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②一般防渗区：</w:t>
            </w:r>
            <w:r>
              <w:rPr>
                <w:rFonts w:hint="default" w:ascii="Times New Roman" w:hAnsi="Times New Roman" w:cs="Times New Roman"/>
                <w:color w:val="auto"/>
                <w:highlight w:val="none"/>
                <w:lang w:val="en-US" w:eastAsia="zh-CN"/>
              </w:rPr>
              <w:t>一般固废间、原料仓等区域</w:t>
            </w:r>
            <w:r>
              <w:rPr>
                <w:rFonts w:hint="default" w:ascii="Times New Roman" w:hAnsi="Times New Roman" w:eastAsia="宋体" w:cs="Times New Roman"/>
                <w:color w:val="auto"/>
                <w:highlight w:val="none"/>
              </w:rPr>
              <w:t>进行一般防渗处理，防渗要求按照等效黏土防渗层Mb≥1.5m，K≤1×10</w:t>
            </w:r>
            <w:r>
              <w:rPr>
                <w:rFonts w:hint="default" w:ascii="Times New Roman" w:hAnsi="Times New Roman" w:eastAsia="宋体" w:cs="Times New Roman"/>
                <w:color w:val="auto"/>
                <w:highlight w:val="none"/>
                <w:vertAlign w:val="superscript"/>
              </w:rPr>
              <w:t>-7</w:t>
            </w:r>
            <w:r>
              <w:rPr>
                <w:rFonts w:hint="default" w:ascii="Times New Roman" w:hAnsi="Times New Roman" w:eastAsia="宋体" w:cs="Times New Roman"/>
                <w:color w:val="auto"/>
                <w:highlight w:val="none"/>
              </w:rPr>
              <w:t>cm/s或参照GB16889执行；</w:t>
            </w:r>
          </w:p>
          <w:p w14:paraId="378C0C7E">
            <w:pPr>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③重点防渗区：</w:t>
            </w:r>
            <w:r>
              <w:rPr>
                <w:rFonts w:hint="default" w:ascii="Times New Roman" w:hAnsi="Times New Roman" w:cs="Times New Roman"/>
                <w:color w:val="auto"/>
                <w:highlight w:val="none"/>
                <w:lang w:val="en-US" w:eastAsia="zh-CN"/>
              </w:rPr>
              <w:t>危废</w:t>
            </w:r>
            <w:r>
              <w:rPr>
                <w:rFonts w:hint="eastAsia" w:cs="Times New Roman"/>
                <w:color w:val="auto"/>
                <w:highlight w:val="none"/>
                <w:lang w:val="en-US" w:eastAsia="zh-CN"/>
              </w:rPr>
              <w:t>暂存</w:t>
            </w:r>
            <w:r>
              <w:rPr>
                <w:rFonts w:hint="default" w:ascii="Times New Roman" w:hAnsi="Times New Roman" w:cs="Times New Roman"/>
                <w:color w:val="auto"/>
                <w:highlight w:val="none"/>
                <w:lang w:val="en-US" w:eastAsia="zh-CN"/>
              </w:rPr>
              <w:t>间</w:t>
            </w:r>
            <w:r>
              <w:rPr>
                <w:rFonts w:hint="default" w:ascii="Times New Roman" w:hAnsi="Times New Roman" w:eastAsia="宋体" w:cs="Times New Roman"/>
                <w:color w:val="auto"/>
                <w:highlight w:val="none"/>
              </w:rPr>
              <w:t>进行重点防渗处理，要求按照等效黏土防渗层Mb≥6.0m，K≤1×10</w:t>
            </w:r>
            <w:r>
              <w:rPr>
                <w:rFonts w:hint="default" w:ascii="Times New Roman" w:hAnsi="Times New Roman" w:eastAsia="宋体" w:cs="Times New Roman"/>
                <w:color w:val="auto"/>
                <w:highlight w:val="none"/>
                <w:vertAlign w:val="superscript"/>
              </w:rPr>
              <w:t>-7</w:t>
            </w:r>
            <w:r>
              <w:rPr>
                <w:rFonts w:hint="default" w:ascii="Times New Roman" w:hAnsi="Times New Roman" w:eastAsia="宋体" w:cs="Times New Roman"/>
                <w:color w:val="auto"/>
                <w:highlight w:val="none"/>
              </w:rPr>
              <w:t>cm/s或参照GB18598执行</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并设置围堰</w:t>
            </w:r>
            <w:r>
              <w:rPr>
                <w:rFonts w:hint="default" w:ascii="Times New Roman" w:hAnsi="Times New Roman" w:eastAsia="宋体" w:cs="Times New Roman"/>
                <w:color w:val="auto"/>
                <w:highlight w:val="none"/>
              </w:rPr>
              <w:t>。</w:t>
            </w:r>
          </w:p>
          <w:p w14:paraId="70F1BC8B">
            <w:pPr>
              <w:keepNext/>
              <w:keepLines/>
              <w:tabs>
                <w:tab w:val="left" w:pos="0"/>
              </w:tabs>
              <w:ind w:firstLine="480" w:firstLineChars="200"/>
              <w:outlineLvl w:val="2"/>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六、生态环境影响分析</w:t>
            </w:r>
          </w:p>
          <w:p w14:paraId="4AFFA01F">
            <w:pPr>
              <w:ind w:firstLine="48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经现场调查，项目周边500m范围内未发现珍稀、濒危植物，主要为人工绿化植物群落，植被覆盖率一般，无明显水土流失区；陆生动物以家禽、家畜为主；项目所在地周围100m范围内由于人为开发活动，已逐渐由自然生态环境转为城市人工生态环境，项目所在地属于非重要生境，没有特别受保护的生境和生物及水产资源，对周边生态环境影响较小。</w:t>
            </w:r>
          </w:p>
          <w:p w14:paraId="2D3E32D3">
            <w:pPr>
              <w:keepNext/>
              <w:keepLines/>
              <w:tabs>
                <w:tab w:val="left" w:pos="0"/>
              </w:tabs>
              <w:ind w:left="478"/>
              <w:outlineLvl w:val="2"/>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七、环境风险影响分析</w:t>
            </w:r>
          </w:p>
          <w:p w14:paraId="20C5F022">
            <w:pPr>
              <w:keepNext/>
              <w:keepLines/>
              <w:tabs>
                <w:tab w:val="left" w:pos="0"/>
              </w:tabs>
              <w:ind w:left="480" w:leftChars="200"/>
              <w:outlineLvl w:val="3"/>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1、环境风险识别</w:t>
            </w:r>
          </w:p>
          <w:p w14:paraId="04BEF2EC">
            <w:pPr>
              <w:ind w:firstLine="480" w:firstLineChars="20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环境风险评价应以突发事故导致的危险物质环境急性损害防控为目标，对建设项目的环境风险进行分析、预测和评估，提出环境风险预防、控制、减缓措施，明确环境风险监控及应急建议要求，为建设项目环境风险防控提供科学依据。</w:t>
            </w:r>
          </w:p>
          <w:p w14:paraId="26EAB0E5">
            <w:pPr>
              <w:keepNext/>
              <w:keepLines/>
              <w:tabs>
                <w:tab w:val="left" w:pos="0"/>
              </w:tabs>
              <w:ind w:left="480" w:leftChars="200"/>
              <w:outlineLvl w:val="3"/>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2、评价依据</w:t>
            </w:r>
          </w:p>
          <w:p w14:paraId="7F24E5FB">
            <w:pPr>
              <w:ind w:firstLine="480" w:firstLineChars="20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根据《建设项目环境影响报告表编制技术指南（污染影响类）（试行）》表1专项评价设置原则表，环境风险设置专项评价原则为有毒有害和易燃易爆危险物质存储量超过临界量的建设项目，临界量及其计算方法参考《建设项目环境风险评价技术导则》（HJ169-2018）附录B、附录C。</w:t>
            </w:r>
          </w:p>
          <w:p w14:paraId="307868A4">
            <w:pPr>
              <w:ind w:firstLine="480" w:firstLineChars="200"/>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highlight w:val="none"/>
              </w:rPr>
              <w:t>本项目涉及的风险物质</w:t>
            </w:r>
            <w:r>
              <w:rPr>
                <w:rFonts w:hint="default" w:ascii="Times New Roman" w:hAnsi="Times New Roman" w:cs="Times New Roman"/>
                <w:color w:val="auto"/>
                <w:highlight w:val="none"/>
                <w:lang w:val="en-US" w:eastAsia="zh-CN"/>
              </w:rPr>
              <w:t>中</w:t>
            </w:r>
            <w:r>
              <w:rPr>
                <w:rFonts w:hint="default" w:ascii="Times New Roman" w:hAnsi="Times New Roman" w:eastAsia="宋体" w:cs="Times New Roman"/>
                <w:color w:val="auto"/>
                <w:highlight w:val="none"/>
              </w:rPr>
              <w:t>，</w:t>
            </w:r>
            <w:r>
              <w:rPr>
                <w:rFonts w:hint="default" w:ascii="Times New Roman" w:hAnsi="Times New Roman" w:cs="Times New Roman"/>
                <w:color w:val="auto"/>
                <w:highlight w:val="none"/>
                <w:lang w:val="en-US" w:eastAsia="zh-CN"/>
              </w:rPr>
              <w:t>机油、</w:t>
            </w:r>
            <w:r>
              <w:rPr>
                <w:rFonts w:hint="eastAsia" w:cs="Times New Roman"/>
                <w:color w:val="auto"/>
                <w:highlight w:val="none"/>
                <w:lang w:val="en-US" w:eastAsia="zh-CN"/>
              </w:rPr>
              <w:t>液压油、</w:t>
            </w:r>
            <w:r>
              <w:rPr>
                <w:rFonts w:hint="default" w:ascii="Times New Roman" w:hAnsi="Times New Roman" w:cs="Times New Roman"/>
                <w:color w:val="auto"/>
                <w:highlight w:val="none"/>
                <w:lang w:val="en-US" w:eastAsia="zh-CN"/>
              </w:rPr>
              <w:t>废</w:t>
            </w:r>
            <w:r>
              <w:rPr>
                <w:rFonts w:hint="eastAsia" w:cs="Times New Roman"/>
                <w:color w:val="auto"/>
                <w:highlight w:val="none"/>
                <w:lang w:val="en-US" w:eastAsia="zh-CN"/>
              </w:rPr>
              <w:t>矿物</w:t>
            </w:r>
            <w:r>
              <w:rPr>
                <w:rFonts w:hint="default" w:ascii="Times New Roman" w:hAnsi="Times New Roman" w:cs="Times New Roman"/>
                <w:color w:val="auto"/>
                <w:highlight w:val="none"/>
                <w:lang w:val="en-US" w:eastAsia="zh-CN"/>
              </w:rPr>
              <w:t>油及</w:t>
            </w:r>
            <w:r>
              <w:rPr>
                <w:rFonts w:hint="eastAsia" w:cs="Times New Roman"/>
                <w:color w:val="auto"/>
                <w:highlight w:val="none"/>
                <w:lang w:val="en-US" w:eastAsia="zh-CN"/>
              </w:rPr>
              <w:t>油</w:t>
            </w:r>
            <w:r>
              <w:rPr>
                <w:rFonts w:hint="default" w:ascii="Times New Roman" w:hAnsi="Times New Roman" w:cs="Times New Roman"/>
                <w:color w:val="auto"/>
                <w:highlight w:val="none"/>
                <w:lang w:val="en-US" w:eastAsia="zh-CN"/>
              </w:rPr>
              <w:t>桶按“</w:t>
            </w:r>
            <w:r>
              <w:rPr>
                <w:rFonts w:hint="default" w:ascii="Times New Roman" w:hAnsi="Times New Roman" w:eastAsia="宋体" w:cs="Times New Roman"/>
                <w:color w:val="auto"/>
                <w:highlight w:val="none"/>
              </w:rPr>
              <w:t>表B.1油类物质（矿物油类，如石油、汽油、柴油等；生物柴油等）</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lang w:eastAsia="zh-CN"/>
              </w:rPr>
              <w:t>，</w:t>
            </w:r>
            <w:r>
              <w:rPr>
                <w:rFonts w:hint="default" w:ascii="Times New Roman" w:hAnsi="Times New Roman" w:eastAsia="宋体" w:cs="Times New Roman"/>
                <w:color w:val="auto"/>
                <w:highlight w:val="none"/>
              </w:rPr>
              <w:t>临界值</w:t>
            </w:r>
            <w:r>
              <w:rPr>
                <w:rFonts w:hint="default" w:ascii="Times New Roman" w:hAnsi="Times New Roman" w:cs="Times New Roman"/>
                <w:color w:val="auto"/>
                <w:highlight w:val="none"/>
                <w:lang w:val="en-US" w:eastAsia="zh-CN"/>
              </w:rPr>
              <w:t>取</w:t>
            </w:r>
            <w:r>
              <w:rPr>
                <w:rFonts w:hint="default" w:ascii="Times New Roman" w:hAnsi="Times New Roman" w:eastAsia="宋体" w:cs="Times New Roman"/>
                <w:color w:val="auto"/>
                <w:highlight w:val="none"/>
              </w:rPr>
              <w:t>2500</w:t>
            </w:r>
            <w:r>
              <w:rPr>
                <w:rFonts w:hint="default" w:ascii="Times New Roman" w:hAnsi="Times New Roman" w:cs="Times New Roman"/>
                <w:color w:val="auto"/>
                <w:highlight w:val="none"/>
                <w:lang w:val="en-US" w:eastAsia="zh-CN"/>
              </w:rPr>
              <w:t>t</w:t>
            </w:r>
            <w:r>
              <w:rPr>
                <w:rFonts w:hint="default" w:ascii="Times New Roman" w:hAnsi="Times New Roman" w:cs="Times New Roman"/>
                <w:color w:val="auto"/>
                <w:highlight w:val="none"/>
                <w:lang w:eastAsia="zh-CN"/>
              </w:rPr>
              <w:t>；</w:t>
            </w:r>
          </w:p>
          <w:p w14:paraId="60B85E54">
            <w:pPr>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废含油抹布及手套</w:t>
            </w:r>
            <w:r>
              <w:rPr>
                <w:rFonts w:hint="default" w:ascii="Times New Roman" w:hAnsi="Times New Roman" w:eastAsia="宋体" w:cs="Times New Roman"/>
                <w:color w:val="auto"/>
                <w:highlight w:val="none"/>
              </w:rPr>
              <w:t>Q值参照《建设项目环境风险评价技术导则》（HJ169-2018）中“表B.2其他危险物质临界量推荐值--健康危险急性毒性物质（类别2、类别3）的临界值50</w:t>
            </w:r>
            <w:r>
              <w:rPr>
                <w:rFonts w:hint="default" w:ascii="Times New Roman" w:hAnsi="Times New Roman" w:cs="Times New Roman"/>
                <w:color w:val="auto"/>
                <w:highlight w:val="none"/>
                <w:lang w:val="en-US" w:eastAsia="zh-CN"/>
              </w:rPr>
              <w:t>t</w:t>
            </w:r>
            <w:r>
              <w:rPr>
                <w:rFonts w:hint="default" w:ascii="Times New Roman" w:hAnsi="Times New Roman" w:eastAsia="宋体" w:cs="Times New Roman"/>
                <w:color w:val="auto"/>
                <w:highlight w:val="none"/>
              </w:rPr>
              <w:t>”。</w:t>
            </w:r>
          </w:p>
          <w:p w14:paraId="2D6AC8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表4-</w:t>
            </w:r>
            <w:r>
              <w:rPr>
                <w:rFonts w:hint="eastAsia" w:cs="Times New Roman"/>
                <w:b/>
                <w:bCs/>
                <w:color w:val="auto"/>
                <w:kern w:val="2"/>
                <w:sz w:val="21"/>
                <w:szCs w:val="21"/>
                <w:highlight w:val="none"/>
                <w:lang w:val="en-US" w:eastAsia="zh-CN" w:bidi="ar-SA"/>
              </w:rPr>
              <w:t>14</w:t>
            </w:r>
            <w:r>
              <w:rPr>
                <w:rFonts w:hint="default" w:ascii="Times New Roman" w:hAnsi="Times New Roman" w:eastAsia="宋体" w:cs="Times New Roman"/>
                <w:b/>
                <w:bCs/>
                <w:color w:val="auto"/>
                <w:kern w:val="2"/>
                <w:sz w:val="21"/>
                <w:szCs w:val="21"/>
                <w:highlight w:val="none"/>
                <w:lang w:val="en-US" w:eastAsia="zh-CN" w:bidi="ar-SA"/>
              </w:rPr>
              <w:t>危险物质识别一览表</w:t>
            </w:r>
          </w:p>
          <w:tbl>
            <w:tblPr>
              <w:tblStyle w:val="4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76"/>
              <w:gridCol w:w="1805"/>
              <w:gridCol w:w="2463"/>
              <w:gridCol w:w="2221"/>
              <w:gridCol w:w="1742"/>
            </w:tblGrid>
            <w:tr w14:paraId="3F7F0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73" w:type="pct"/>
                  <w:tcBorders>
                    <w:top w:val="single" w:color="auto" w:sz="4" w:space="0"/>
                    <w:left w:val="single" w:color="auto" w:sz="4" w:space="0"/>
                    <w:bottom w:val="single" w:color="auto" w:sz="4" w:space="0"/>
                    <w:right w:val="single" w:color="auto" w:sz="4" w:space="0"/>
                    <w:tl2br w:val="nil"/>
                    <w:tr2bl w:val="nil"/>
                  </w:tcBorders>
                  <w:vAlign w:val="center"/>
                </w:tcPr>
                <w:p w14:paraId="143DDB7D">
                  <w:pPr>
                    <w:widowControl w:val="0"/>
                    <w:spacing w:line="240" w:lineRule="auto"/>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序号</w:t>
                  </w:r>
                </w:p>
              </w:tc>
              <w:tc>
                <w:tcPr>
                  <w:tcW w:w="1036" w:type="pct"/>
                  <w:tcBorders>
                    <w:top w:val="single" w:color="auto" w:sz="4" w:space="0"/>
                    <w:left w:val="single" w:color="auto" w:sz="4" w:space="0"/>
                    <w:bottom w:val="single" w:color="auto" w:sz="4" w:space="0"/>
                    <w:right w:val="single" w:color="auto" w:sz="4" w:space="0"/>
                    <w:tl2br w:val="nil"/>
                    <w:tr2bl w:val="nil"/>
                  </w:tcBorders>
                  <w:vAlign w:val="center"/>
                </w:tcPr>
                <w:p w14:paraId="5872010A">
                  <w:pPr>
                    <w:widowControl w:val="0"/>
                    <w:spacing w:line="240" w:lineRule="auto"/>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物质名称</w:t>
                  </w:r>
                </w:p>
              </w:tc>
              <w:tc>
                <w:tcPr>
                  <w:tcW w:w="1414" w:type="pct"/>
                  <w:tcBorders>
                    <w:top w:val="single" w:color="auto" w:sz="4" w:space="0"/>
                    <w:left w:val="single" w:color="auto" w:sz="4" w:space="0"/>
                    <w:bottom w:val="single" w:color="auto" w:sz="4" w:space="0"/>
                    <w:right w:val="single" w:color="auto" w:sz="4" w:space="0"/>
                    <w:tl2br w:val="nil"/>
                    <w:tr2bl w:val="nil"/>
                  </w:tcBorders>
                  <w:vAlign w:val="center"/>
                </w:tcPr>
                <w:p w14:paraId="25CE8915">
                  <w:pPr>
                    <w:widowControl w:val="0"/>
                    <w:spacing w:line="240" w:lineRule="auto"/>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风险特性</w:t>
                  </w:r>
                </w:p>
              </w:tc>
              <w:tc>
                <w:tcPr>
                  <w:tcW w:w="1275" w:type="pct"/>
                  <w:tcBorders>
                    <w:top w:val="single" w:color="auto" w:sz="4" w:space="0"/>
                    <w:left w:val="single" w:color="auto" w:sz="4" w:space="0"/>
                    <w:bottom w:val="single" w:color="auto" w:sz="4" w:space="0"/>
                    <w:right w:val="single" w:color="auto" w:sz="4" w:space="0"/>
                    <w:tl2br w:val="nil"/>
                    <w:tr2bl w:val="nil"/>
                  </w:tcBorders>
                  <w:vAlign w:val="center"/>
                </w:tcPr>
                <w:p w14:paraId="5B1BFEF1">
                  <w:pPr>
                    <w:widowControl w:val="0"/>
                    <w:spacing w:line="240" w:lineRule="auto"/>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危险物质</w:t>
                  </w:r>
                </w:p>
              </w:tc>
              <w:tc>
                <w:tcPr>
                  <w:tcW w:w="1000" w:type="pct"/>
                  <w:tcBorders>
                    <w:top w:val="single" w:color="auto" w:sz="4" w:space="0"/>
                    <w:left w:val="single" w:color="auto" w:sz="4" w:space="0"/>
                    <w:bottom w:val="single" w:color="auto" w:sz="4" w:space="0"/>
                    <w:right w:val="single" w:color="auto" w:sz="4" w:space="0"/>
                    <w:tl2br w:val="nil"/>
                    <w:tr2bl w:val="nil"/>
                  </w:tcBorders>
                  <w:vAlign w:val="center"/>
                </w:tcPr>
                <w:p w14:paraId="49BB3D0C">
                  <w:pPr>
                    <w:widowControl w:val="0"/>
                    <w:spacing w:line="240" w:lineRule="auto"/>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判断依据</w:t>
                  </w:r>
                </w:p>
              </w:tc>
            </w:tr>
            <w:tr w14:paraId="333A0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73" w:type="pct"/>
                  <w:tcBorders>
                    <w:top w:val="single" w:color="auto" w:sz="4" w:space="0"/>
                    <w:left w:val="single" w:color="auto" w:sz="4" w:space="0"/>
                    <w:bottom w:val="single" w:color="auto" w:sz="4" w:space="0"/>
                    <w:right w:val="single" w:color="auto" w:sz="4" w:space="0"/>
                    <w:tl2br w:val="nil"/>
                    <w:tr2bl w:val="nil"/>
                  </w:tcBorders>
                  <w:vAlign w:val="center"/>
                </w:tcPr>
                <w:p w14:paraId="1786A3F1">
                  <w:pPr>
                    <w:widowControl w:val="0"/>
                    <w:spacing w:line="240" w:lineRule="auto"/>
                    <w:jc w:val="center"/>
                    <w:rPr>
                      <w:rFonts w:hint="default" w:ascii="Times New Roman" w:hAnsi="Times New Roman" w:eastAsia="宋体" w:cs="Times New Roman"/>
                      <w:b w:val="0"/>
                      <w:color w:val="auto"/>
                      <w:kern w:val="2"/>
                      <w:sz w:val="21"/>
                      <w:szCs w:val="21"/>
                      <w:highlight w:val="none"/>
                      <w:lang w:val="en-US" w:eastAsia="zh-CN" w:bidi="ar-SA"/>
                    </w:rPr>
                  </w:pPr>
                  <w:r>
                    <w:rPr>
                      <w:rFonts w:hint="default" w:ascii="Times New Roman" w:hAnsi="Times New Roman" w:cs="Times New Roman"/>
                      <w:b w:val="0"/>
                      <w:color w:val="auto"/>
                      <w:kern w:val="2"/>
                      <w:sz w:val="21"/>
                      <w:szCs w:val="21"/>
                      <w:highlight w:val="none"/>
                      <w:lang w:val="en-US" w:eastAsia="zh-CN" w:bidi="ar-SA"/>
                    </w:rPr>
                    <w:t>1</w:t>
                  </w:r>
                </w:p>
              </w:tc>
              <w:tc>
                <w:tcPr>
                  <w:tcW w:w="1036" w:type="pct"/>
                  <w:tcBorders>
                    <w:top w:val="single" w:color="auto" w:sz="4" w:space="0"/>
                    <w:left w:val="single" w:color="auto" w:sz="4" w:space="0"/>
                    <w:bottom w:val="single" w:color="auto" w:sz="4" w:space="0"/>
                    <w:right w:val="single" w:color="auto" w:sz="4" w:space="0"/>
                    <w:tl2br w:val="nil"/>
                    <w:tr2bl w:val="nil"/>
                  </w:tcBorders>
                  <w:vAlign w:val="center"/>
                </w:tcPr>
                <w:p w14:paraId="21067B1B">
                  <w:pPr>
                    <w:widowControl w:val="0"/>
                    <w:spacing w:line="240" w:lineRule="auto"/>
                    <w:jc w:val="center"/>
                    <w:rPr>
                      <w:rFonts w:hint="default" w:ascii="Times New Roman" w:hAnsi="Times New Roman" w:eastAsia="宋体" w:cs="Times New Roman"/>
                      <w:b w:val="0"/>
                      <w:color w:val="auto"/>
                      <w:kern w:val="2"/>
                      <w:sz w:val="21"/>
                      <w:szCs w:val="21"/>
                      <w:highlight w:val="none"/>
                      <w:lang w:val="en-US" w:eastAsia="zh-CN" w:bidi="ar-SA"/>
                    </w:rPr>
                  </w:pPr>
                  <w:r>
                    <w:rPr>
                      <w:rFonts w:hint="default" w:ascii="Times New Roman" w:hAnsi="Times New Roman" w:cs="Times New Roman"/>
                      <w:b w:val="0"/>
                      <w:color w:val="auto"/>
                      <w:kern w:val="2"/>
                      <w:sz w:val="21"/>
                      <w:szCs w:val="21"/>
                      <w:highlight w:val="none"/>
                      <w:lang w:val="en-US" w:eastAsia="zh-CN" w:bidi="ar-SA"/>
                    </w:rPr>
                    <w:t>机</w:t>
                  </w:r>
                  <w:r>
                    <w:rPr>
                      <w:rFonts w:hint="default" w:ascii="Times New Roman" w:hAnsi="Times New Roman" w:eastAsia="宋体" w:cs="Times New Roman"/>
                      <w:b w:val="0"/>
                      <w:color w:val="auto"/>
                      <w:kern w:val="2"/>
                      <w:sz w:val="21"/>
                      <w:szCs w:val="21"/>
                      <w:highlight w:val="none"/>
                      <w:lang w:val="en-US" w:eastAsia="zh-CN" w:bidi="ar-SA"/>
                    </w:rPr>
                    <w:t>油</w:t>
                  </w:r>
                  <w:r>
                    <w:rPr>
                      <w:rFonts w:hint="eastAsia" w:cs="Times New Roman"/>
                      <w:b w:val="0"/>
                      <w:color w:val="auto"/>
                      <w:kern w:val="2"/>
                      <w:sz w:val="21"/>
                      <w:szCs w:val="21"/>
                      <w:highlight w:val="none"/>
                      <w:lang w:val="en-US" w:eastAsia="zh-CN" w:bidi="ar-SA"/>
                    </w:rPr>
                    <w:t>、液压油</w:t>
                  </w:r>
                </w:p>
              </w:tc>
              <w:tc>
                <w:tcPr>
                  <w:tcW w:w="1414" w:type="pct"/>
                  <w:tcBorders>
                    <w:top w:val="single" w:color="auto" w:sz="4" w:space="0"/>
                    <w:left w:val="single" w:color="auto" w:sz="4" w:space="0"/>
                    <w:bottom w:val="single" w:color="auto" w:sz="4" w:space="0"/>
                    <w:right w:val="single" w:color="auto" w:sz="4" w:space="0"/>
                    <w:tl2br w:val="nil"/>
                    <w:tr2bl w:val="nil"/>
                  </w:tcBorders>
                  <w:vAlign w:val="center"/>
                </w:tcPr>
                <w:p w14:paraId="33EFC379">
                  <w:pPr>
                    <w:widowControl w:val="0"/>
                    <w:spacing w:line="240" w:lineRule="auto"/>
                    <w:jc w:val="center"/>
                    <w:rPr>
                      <w:rFonts w:hint="default" w:ascii="Times New Roman" w:hAnsi="Times New Roman" w:eastAsia="宋体" w:cs="Times New Roman"/>
                      <w:b w:val="0"/>
                      <w:color w:val="auto"/>
                      <w:kern w:val="2"/>
                      <w:sz w:val="21"/>
                      <w:szCs w:val="21"/>
                      <w:highlight w:val="none"/>
                      <w:lang w:val="en-US" w:eastAsia="zh-CN" w:bidi="ar-SA"/>
                    </w:rPr>
                  </w:pPr>
                  <w:r>
                    <w:rPr>
                      <w:rFonts w:hint="default" w:ascii="Times New Roman" w:hAnsi="Times New Roman" w:eastAsia="宋体" w:cs="Times New Roman"/>
                      <w:b w:val="0"/>
                      <w:color w:val="auto"/>
                      <w:kern w:val="2"/>
                      <w:sz w:val="21"/>
                      <w:szCs w:val="21"/>
                      <w:highlight w:val="none"/>
                      <w:lang w:val="en-US" w:eastAsia="zh-CN" w:bidi="ar-SA"/>
                    </w:rPr>
                    <w:t>易燃性</w:t>
                  </w:r>
                </w:p>
              </w:tc>
              <w:tc>
                <w:tcPr>
                  <w:tcW w:w="1275" w:type="pct"/>
                  <w:vMerge w:val="restart"/>
                  <w:tcBorders>
                    <w:top w:val="single" w:color="auto" w:sz="4" w:space="0"/>
                    <w:left w:val="single" w:color="auto" w:sz="4" w:space="0"/>
                    <w:right w:val="single" w:color="auto" w:sz="4" w:space="0"/>
                    <w:tl2br w:val="nil"/>
                    <w:tr2bl w:val="nil"/>
                  </w:tcBorders>
                  <w:vAlign w:val="center"/>
                </w:tcPr>
                <w:p w14:paraId="5E3E2E30">
                  <w:pPr>
                    <w:widowControl w:val="0"/>
                    <w:spacing w:line="240" w:lineRule="auto"/>
                    <w:jc w:val="center"/>
                    <w:rPr>
                      <w:rFonts w:hint="default" w:ascii="Times New Roman" w:hAnsi="Times New Roman" w:eastAsia="宋体" w:cs="Times New Roman"/>
                      <w:b w:val="0"/>
                      <w:color w:val="auto"/>
                      <w:kern w:val="2"/>
                      <w:sz w:val="21"/>
                      <w:szCs w:val="21"/>
                      <w:highlight w:val="none"/>
                      <w:lang w:val="en-US" w:eastAsia="zh-CN" w:bidi="ar-SA"/>
                    </w:rPr>
                  </w:pPr>
                  <w:r>
                    <w:rPr>
                      <w:rFonts w:hint="default" w:ascii="Times New Roman" w:hAnsi="Times New Roman" w:cs="Times New Roman"/>
                      <w:b w:val="0"/>
                      <w:color w:val="auto"/>
                      <w:kern w:val="2"/>
                      <w:sz w:val="21"/>
                      <w:szCs w:val="21"/>
                      <w:highlight w:val="none"/>
                      <w:lang w:val="en-US" w:eastAsia="zh-CN" w:bidi="ar-SA"/>
                    </w:rPr>
                    <w:t>矿物油</w:t>
                  </w:r>
                </w:p>
              </w:tc>
              <w:tc>
                <w:tcPr>
                  <w:tcW w:w="1000" w:type="pct"/>
                  <w:tcBorders>
                    <w:top w:val="single" w:color="auto" w:sz="4" w:space="0"/>
                    <w:left w:val="single" w:color="auto" w:sz="4" w:space="0"/>
                    <w:bottom w:val="single" w:color="auto" w:sz="4" w:space="0"/>
                    <w:right w:val="single" w:color="auto" w:sz="4" w:space="0"/>
                    <w:tl2br w:val="nil"/>
                    <w:tr2bl w:val="nil"/>
                  </w:tcBorders>
                  <w:vAlign w:val="center"/>
                </w:tcPr>
                <w:p w14:paraId="337E11A3">
                  <w:pPr>
                    <w:widowControl w:val="0"/>
                    <w:spacing w:line="240" w:lineRule="auto"/>
                    <w:jc w:val="center"/>
                    <w:rPr>
                      <w:rFonts w:hint="default" w:ascii="Times New Roman" w:hAnsi="Times New Roman" w:eastAsia="宋体" w:cs="Times New Roman"/>
                      <w:b w:val="0"/>
                      <w:color w:val="auto"/>
                      <w:kern w:val="2"/>
                      <w:sz w:val="21"/>
                      <w:szCs w:val="21"/>
                      <w:highlight w:val="none"/>
                      <w:lang w:val="en-US" w:eastAsia="zh-CN" w:bidi="ar-SA"/>
                    </w:rPr>
                  </w:pPr>
                  <w:r>
                    <w:rPr>
                      <w:rFonts w:hint="default" w:ascii="Times New Roman" w:hAnsi="Times New Roman" w:eastAsia="宋体" w:cs="Times New Roman"/>
                      <w:b w:val="0"/>
                      <w:color w:val="auto"/>
                      <w:kern w:val="2"/>
                      <w:sz w:val="21"/>
                      <w:szCs w:val="21"/>
                      <w:highlight w:val="none"/>
                      <w:lang w:val="en-US" w:eastAsia="zh-CN" w:bidi="ar-SA"/>
                    </w:rPr>
                    <w:t>HJ169-2018</w:t>
                  </w:r>
                </w:p>
              </w:tc>
            </w:tr>
            <w:tr w14:paraId="1442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73" w:type="pct"/>
                  <w:tcBorders>
                    <w:top w:val="single" w:color="auto" w:sz="4" w:space="0"/>
                    <w:left w:val="single" w:color="auto" w:sz="4" w:space="0"/>
                    <w:bottom w:val="single" w:color="auto" w:sz="4" w:space="0"/>
                    <w:right w:val="single" w:color="auto" w:sz="4" w:space="0"/>
                    <w:tl2br w:val="nil"/>
                    <w:tr2bl w:val="nil"/>
                  </w:tcBorders>
                  <w:vAlign w:val="center"/>
                </w:tcPr>
                <w:p w14:paraId="5ACDC525">
                  <w:pPr>
                    <w:widowControl w:val="0"/>
                    <w:spacing w:line="240" w:lineRule="auto"/>
                    <w:jc w:val="center"/>
                    <w:rPr>
                      <w:rFonts w:hint="default" w:ascii="Times New Roman" w:hAnsi="Times New Roman" w:eastAsia="宋体" w:cs="Times New Roman"/>
                      <w:b w:val="0"/>
                      <w:color w:val="auto"/>
                      <w:kern w:val="2"/>
                      <w:sz w:val="21"/>
                      <w:szCs w:val="21"/>
                      <w:highlight w:val="none"/>
                      <w:lang w:val="en-US" w:eastAsia="zh-CN" w:bidi="ar-SA"/>
                    </w:rPr>
                  </w:pPr>
                  <w:r>
                    <w:rPr>
                      <w:rFonts w:hint="default" w:ascii="Times New Roman" w:hAnsi="Times New Roman" w:cs="Times New Roman"/>
                      <w:b w:val="0"/>
                      <w:color w:val="auto"/>
                      <w:kern w:val="2"/>
                      <w:sz w:val="21"/>
                      <w:szCs w:val="21"/>
                      <w:highlight w:val="none"/>
                      <w:lang w:val="en-US" w:eastAsia="zh-CN" w:bidi="ar-SA"/>
                    </w:rPr>
                    <w:t>2</w:t>
                  </w:r>
                </w:p>
              </w:tc>
              <w:tc>
                <w:tcPr>
                  <w:tcW w:w="1036" w:type="pct"/>
                  <w:tcBorders>
                    <w:top w:val="single" w:color="auto" w:sz="4" w:space="0"/>
                    <w:left w:val="single" w:color="auto" w:sz="4" w:space="0"/>
                    <w:bottom w:val="single" w:color="auto" w:sz="4" w:space="0"/>
                    <w:right w:val="single" w:color="auto" w:sz="4" w:space="0"/>
                    <w:tl2br w:val="nil"/>
                    <w:tr2bl w:val="nil"/>
                  </w:tcBorders>
                  <w:vAlign w:val="center"/>
                </w:tcPr>
                <w:p w14:paraId="62F7E802">
                  <w:pPr>
                    <w:widowControl w:val="0"/>
                    <w:spacing w:line="240" w:lineRule="auto"/>
                    <w:jc w:val="center"/>
                    <w:rPr>
                      <w:rFonts w:hint="default" w:ascii="Times New Roman" w:hAnsi="Times New Roman" w:eastAsia="宋体" w:cs="Times New Roman"/>
                      <w:b w:val="0"/>
                      <w:color w:val="auto"/>
                      <w:kern w:val="2"/>
                      <w:sz w:val="21"/>
                      <w:szCs w:val="21"/>
                      <w:highlight w:val="none"/>
                      <w:lang w:val="en-US" w:eastAsia="zh-CN" w:bidi="ar-SA"/>
                    </w:rPr>
                  </w:pPr>
                  <w:r>
                    <w:rPr>
                      <w:rFonts w:hint="default" w:ascii="Times New Roman" w:hAnsi="Times New Roman" w:eastAsia="宋体" w:cs="Times New Roman"/>
                      <w:color w:val="auto"/>
                      <w:position w:val="-10"/>
                      <w:sz w:val="21"/>
                      <w:szCs w:val="21"/>
                      <w:highlight w:val="none"/>
                      <w:lang w:val="en-US" w:eastAsia="zh-CN" w:bidi="ar-SA"/>
                    </w:rPr>
                    <w:t>废矿物油及油桶</w:t>
                  </w:r>
                </w:p>
              </w:tc>
              <w:tc>
                <w:tcPr>
                  <w:tcW w:w="1414" w:type="pct"/>
                  <w:tcBorders>
                    <w:top w:val="single" w:color="auto" w:sz="4" w:space="0"/>
                    <w:left w:val="single" w:color="auto" w:sz="4" w:space="0"/>
                    <w:bottom w:val="single" w:color="auto" w:sz="4" w:space="0"/>
                    <w:right w:val="single" w:color="auto" w:sz="4" w:space="0"/>
                    <w:tl2br w:val="nil"/>
                    <w:tr2bl w:val="nil"/>
                  </w:tcBorders>
                  <w:vAlign w:val="center"/>
                </w:tcPr>
                <w:p w14:paraId="35C6665B">
                  <w:pPr>
                    <w:widowControl w:val="0"/>
                    <w:spacing w:line="240" w:lineRule="auto"/>
                    <w:jc w:val="center"/>
                    <w:rPr>
                      <w:rFonts w:hint="default" w:ascii="Times New Roman" w:hAnsi="Times New Roman" w:eastAsia="宋体" w:cs="Times New Roman"/>
                      <w:b w:val="0"/>
                      <w:color w:val="auto"/>
                      <w:kern w:val="2"/>
                      <w:sz w:val="21"/>
                      <w:szCs w:val="21"/>
                      <w:highlight w:val="none"/>
                      <w:lang w:val="en-US" w:eastAsia="zh-CN" w:bidi="ar-SA"/>
                    </w:rPr>
                  </w:pPr>
                  <w:r>
                    <w:rPr>
                      <w:rFonts w:hint="default" w:ascii="Times New Roman" w:hAnsi="Times New Roman" w:eastAsia="宋体" w:cs="Times New Roman"/>
                      <w:b w:val="0"/>
                      <w:color w:val="auto"/>
                      <w:kern w:val="2"/>
                      <w:sz w:val="21"/>
                      <w:szCs w:val="21"/>
                      <w:highlight w:val="none"/>
                      <w:lang w:val="en-US" w:eastAsia="zh-CN" w:bidi="ar-SA"/>
                    </w:rPr>
                    <w:t>易燃性</w:t>
                  </w:r>
                </w:p>
              </w:tc>
              <w:tc>
                <w:tcPr>
                  <w:tcW w:w="1275" w:type="pct"/>
                  <w:vMerge w:val="continue"/>
                  <w:tcBorders>
                    <w:left w:val="single" w:color="auto" w:sz="4" w:space="0"/>
                    <w:right w:val="single" w:color="auto" w:sz="4" w:space="0"/>
                    <w:tl2br w:val="nil"/>
                    <w:tr2bl w:val="nil"/>
                  </w:tcBorders>
                  <w:vAlign w:val="center"/>
                </w:tcPr>
                <w:p w14:paraId="1FA513B8">
                  <w:pPr>
                    <w:widowControl w:val="0"/>
                    <w:spacing w:line="240" w:lineRule="auto"/>
                    <w:jc w:val="center"/>
                    <w:rPr>
                      <w:rFonts w:hint="default" w:ascii="Times New Roman" w:hAnsi="Times New Roman" w:eastAsia="宋体" w:cs="Times New Roman"/>
                      <w:b w:val="0"/>
                      <w:color w:val="auto"/>
                      <w:kern w:val="2"/>
                      <w:sz w:val="21"/>
                      <w:szCs w:val="21"/>
                      <w:highlight w:val="none"/>
                      <w:lang w:val="en-US" w:eastAsia="zh-CN" w:bidi="ar-SA"/>
                    </w:rPr>
                  </w:pPr>
                </w:p>
              </w:tc>
              <w:tc>
                <w:tcPr>
                  <w:tcW w:w="1000" w:type="pct"/>
                  <w:tcBorders>
                    <w:top w:val="single" w:color="auto" w:sz="4" w:space="0"/>
                    <w:left w:val="single" w:color="auto" w:sz="4" w:space="0"/>
                    <w:bottom w:val="single" w:color="auto" w:sz="4" w:space="0"/>
                    <w:right w:val="single" w:color="auto" w:sz="4" w:space="0"/>
                    <w:tl2br w:val="nil"/>
                    <w:tr2bl w:val="nil"/>
                  </w:tcBorders>
                  <w:vAlign w:val="center"/>
                </w:tcPr>
                <w:p w14:paraId="40200EC3">
                  <w:pPr>
                    <w:widowControl w:val="0"/>
                    <w:spacing w:line="240" w:lineRule="auto"/>
                    <w:jc w:val="center"/>
                    <w:rPr>
                      <w:rFonts w:hint="default" w:ascii="Times New Roman" w:hAnsi="Times New Roman" w:eastAsia="宋体" w:cs="Times New Roman"/>
                      <w:b w:val="0"/>
                      <w:color w:val="auto"/>
                      <w:kern w:val="2"/>
                      <w:sz w:val="21"/>
                      <w:szCs w:val="21"/>
                      <w:highlight w:val="none"/>
                      <w:lang w:val="en-US" w:eastAsia="zh-CN" w:bidi="ar-SA"/>
                    </w:rPr>
                  </w:pPr>
                  <w:r>
                    <w:rPr>
                      <w:rFonts w:hint="default" w:ascii="Times New Roman" w:hAnsi="Times New Roman" w:eastAsia="宋体" w:cs="Times New Roman"/>
                      <w:b w:val="0"/>
                      <w:color w:val="auto"/>
                      <w:kern w:val="2"/>
                      <w:sz w:val="21"/>
                      <w:szCs w:val="21"/>
                      <w:highlight w:val="none"/>
                      <w:lang w:val="en-US" w:eastAsia="zh-CN" w:bidi="ar-SA"/>
                    </w:rPr>
                    <w:t>HJ169-2018</w:t>
                  </w:r>
                </w:p>
              </w:tc>
            </w:tr>
            <w:tr w14:paraId="6F3B1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73" w:type="pct"/>
                  <w:tcBorders>
                    <w:top w:val="single" w:color="auto" w:sz="4" w:space="0"/>
                    <w:left w:val="single" w:color="auto" w:sz="4" w:space="0"/>
                    <w:bottom w:val="single" w:color="auto" w:sz="4" w:space="0"/>
                    <w:right w:val="single" w:color="auto" w:sz="4" w:space="0"/>
                    <w:tl2br w:val="nil"/>
                    <w:tr2bl w:val="nil"/>
                  </w:tcBorders>
                  <w:vAlign w:val="center"/>
                </w:tcPr>
                <w:p w14:paraId="55DA844E">
                  <w:pPr>
                    <w:widowControl w:val="0"/>
                    <w:spacing w:line="240" w:lineRule="auto"/>
                    <w:jc w:val="center"/>
                    <w:rPr>
                      <w:rFonts w:hint="default" w:ascii="Times New Roman" w:hAnsi="Times New Roman" w:eastAsia="宋体" w:cs="Times New Roman"/>
                      <w:b w:val="0"/>
                      <w:color w:val="auto"/>
                      <w:kern w:val="2"/>
                      <w:sz w:val="21"/>
                      <w:szCs w:val="21"/>
                      <w:highlight w:val="none"/>
                      <w:lang w:val="en-US" w:eastAsia="zh-CN" w:bidi="ar-SA"/>
                    </w:rPr>
                  </w:pPr>
                  <w:r>
                    <w:rPr>
                      <w:rFonts w:hint="default" w:ascii="Times New Roman" w:hAnsi="Times New Roman" w:cs="Times New Roman"/>
                      <w:b w:val="0"/>
                      <w:color w:val="auto"/>
                      <w:kern w:val="2"/>
                      <w:sz w:val="21"/>
                      <w:szCs w:val="21"/>
                      <w:highlight w:val="none"/>
                      <w:lang w:val="en-US" w:eastAsia="zh-CN" w:bidi="ar-SA"/>
                    </w:rPr>
                    <w:t>3</w:t>
                  </w:r>
                </w:p>
              </w:tc>
              <w:tc>
                <w:tcPr>
                  <w:tcW w:w="1036" w:type="pct"/>
                  <w:tcBorders>
                    <w:top w:val="single" w:color="auto" w:sz="4" w:space="0"/>
                    <w:left w:val="single" w:color="auto" w:sz="4" w:space="0"/>
                    <w:bottom w:val="single" w:color="auto" w:sz="4" w:space="0"/>
                    <w:right w:val="single" w:color="auto" w:sz="4" w:space="0"/>
                    <w:tl2br w:val="nil"/>
                    <w:tr2bl w:val="nil"/>
                  </w:tcBorders>
                  <w:vAlign w:val="center"/>
                </w:tcPr>
                <w:p w14:paraId="4BAC4CA7">
                  <w:pPr>
                    <w:widowControl w:val="0"/>
                    <w:spacing w:line="240" w:lineRule="auto"/>
                    <w:jc w:val="center"/>
                    <w:rPr>
                      <w:rFonts w:hint="default" w:ascii="Times New Roman" w:hAnsi="Times New Roman" w:eastAsia="宋体" w:cs="Times New Roman"/>
                      <w:b w:val="0"/>
                      <w:color w:val="auto"/>
                      <w:kern w:val="2"/>
                      <w:sz w:val="21"/>
                      <w:szCs w:val="21"/>
                      <w:highlight w:val="none"/>
                      <w:lang w:val="en-US" w:eastAsia="zh-CN" w:bidi="ar-SA"/>
                    </w:rPr>
                  </w:pPr>
                  <w:r>
                    <w:rPr>
                      <w:rFonts w:hint="default" w:ascii="Times New Roman" w:hAnsi="Times New Roman" w:cs="Times New Roman"/>
                      <w:b w:val="0"/>
                      <w:color w:val="auto"/>
                      <w:kern w:val="2"/>
                      <w:sz w:val="21"/>
                      <w:szCs w:val="21"/>
                      <w:highlight w:val="none"/>
                      <w:lang w:val="en-US" w:eastAsia="zh-CN" w:bidi="ar-SA"/>
                    </w:rPr>
                    <w:t>废含油抹布及手套</w:t>
                  </w:r>
                </w:p>
              </w:tc>
              <w:tc>
                <w:tcPr>
                  <w:tcW w:w="1414" w:type="pct"/>
                  <w:tcBorders>
                    <w:top w:val="single" w:color="auto" w:sz="4" w:space="0"/>
                    <w:left w:val="single" w:color="auto" w:sz="4" w:space="0"/>
                    <w:bottom w:val="single" w:color="auto" w:sz="4" w:space="0"/>
                    <w:right w:val="single" w:color="auto" w:sz="4" w:space="0"/>
                    <w:tl2br w:val="nil"/>
                    <w:tr2bl w:val="nil"/>
                  </w:tcBorders>
                  <w:vAlign w:val="center"/>
                </w:tcPr>
                <w:p w14:paraId="74AAAB52">
                  <w:pPr>
                    <w:widowControl w:val="0"/>
                    <w:spacing w:line="240" w:lineRule="auto"/>
                    <w:jc w:val="center"/>
                    <w:rPr>
                      <w:rFonts w:hint="default" w:ascii="Times New Roman" w:hAnsi="Times New Roman" w:eastAsia="宋体" w:cs="Times New Roman"/>
                      <w:b w:val="0"/>
                      <w:color w:val="auto"/>
                      <w:kern w:val="2"/>
                      <w:sz w:val="21"/>
                      <w:szCs w:val="21"/>
                      <w:highlight w:val="none"/>
                      <w:lang w:val="en-US" w:eastAsia="zh-CN" w:bidi="ar-SA"/>
                    </w:rPr>
                  </w:pPr>
                  <w:r>
                    <w:rPr>
                      <w:rFonts w:hint="default" w:ascii="Times New Roman" w:hAnsi="Times New Roman" w:eastAsia="宋体" w:cs="Times New Roman"/>
                      <w:b w:val="0"/>
                      <w:color w:val="auto"/>
                      <w:kern w:val="2"/>
                      <w:sz w:val="21"/>
                      <w:szCs w:val="21"/>
                      <w:highlight w:val="none"/>
                      <w:lang w:val="en-US" w:eastAsia="zh-CN" w:bidi="ar-SA"/>
                    </w:rPr>
                    <w:t>易燃性</w:t>
                  </w:r>
                </w:p>
              </w:tc>
              <w:tc>
                <w:tcPr>
                  <w:tcW w:w="1275" w:type="pct"/>
                  <w:tcBorders>
                    <w:top w:val="single" w:color="auto" w:sz="4" w:space="0"/>
                    <w:left w:val="single" w:color="auto" w:sz="4" w:space="0"/>
                    <w:bottom w:val="single" w:color="auto" w:sz="4" w:space="0"/>
                    <w:right w:val="single" w:color="auto" w:sz="4" w:space="0"/>
                    <w:tl2br w:val="nil"/>
                    <w:tr2bl w:val="nil"/>
                  </w:tcBorders>
                  <w:vAlign w:val="center"/>
                </w:tcPr>
                <w:p w14:paraId="059F7764">
                  <w:pPr>
                    <w:widowControl w:val="0"/>
                    <w:spacing w:line="240" w:lineRule="auto"/>
                    <w:jc w:val="center"/>
                    <w:rPr>
                      <w:rFonts w:hint="default" w:ascii="Times New Roman" w:hAnsi="Times New Roman" w:eastAsia="宋体" w:cs="Times New Roman"/>
                      <w:b w:val="0"/>
                      <w:color w:val="auto"/>
                      <w:kern w:val="2"/>
                      <w:sz w:val="21"/>
                      <w:szCs w:val="21"/>
                      <w:highlight w:val="none"/>
                      <w:lang w:val="en-US" w:eastAsia="zh-CN" w:bidi="ar-SA"/>
                    </w:rPr>
                  </w:pPr>
                  <w:r>
                    <w:rPr>
                      <w:rFonts w:hint="default" w:ascii="Times New Roman" w:hAnsi="Times New Roman" w:eastAsia="宋体" w:cs="Times New Roman"/>
                      <w:b w:val="0"/>
                      <w:color w:val="auto"/>
                      <w:kern w:val="2"/>
                      <w:sz w:val="21"/>
                      <w:szCs w:val="21"/>
                      <w:highlight w:val="none"/>
                      <w:lang w:val="en-US" w:eastAsia="zh-CN" w:bidi="ar-SA"/>
                    </w:rPr>
                    <w:t>危险废物</w:t>
                  </w:r>
                </w:p>
              </w:tc>
              <w:tc>
                <w:tcPr>
                  <w:tcW w:w="1000" w:type="pct"/>
                  <w:tcBorders>
                    <w:top w:val="single" w:color="auto" w:sz="4" w:space="0"/>
                    <w:left w:val="single" w:color="auto" w:sz="4" w:space="0"/>
                    <w:bottom w:val="single" w:color="auto" w:sz="4" w:space="0"/>
                    <w:right w:val="single" w:color="auto" w:sz="4" w:space="0"/>
                    <w:tl2br w:val="nil"/>
                    <w:tr2bl w:val="nil"/>
                  </w:tcBorders>
                  <w:vAlign w:val="center"/>
                </w:tcPr>
                <w:p w14:paraId="24AD9C1A">
                  <w:pPr>
                    <w:widowControl w:val="0"/>
                    <w:spacing w:line="240" w:lineRule="auto"/>
                    <w:jc w:val="center"/>
                    <w:rPr>
                      <w:rFonts w:hint="default" w:ascii="Times New Roman" w:hAnsi="Times New Roman" w:eastAsia="宋体" w:cs="Times New Roman"/>
                      <w:b w:val="0"/>
                      <w:color w:val="auto"/>
                      <w:kern w:val="2"/>
                      <w:sz w:val="21"/>
                      <w:szCs w:val="21"/>
                      <w:highlight w:val="none"/>
                      <w:lang w:val="en-US" w:eastAsia="zh-CN" w:bidi="ar-SA"/>
                    </w:rPr>
                  </w:pPr>
                  <w:r>
                    <w:rPr>
                      <w:rFonts w:hint="default" w:ascii="Times New Roman" w:hAnsi="Times New Roman" w:eastAsia="宋体" w:cs="Times New Roman"/>
                      <w:b w:val="0"/>
                      <w:color w:val="auto"/>
                      <w:kern w:val="2"/>
                      <w:sz w:val="21"/>
                      <w:szCs w:val="21"/>
                      <w:highlight w:val="none"/>
                      <w:lang w:val="en-US" w:eastAsia="zh-CN" w:bidi="ar-SA"/>
                    </w:rPr>
                    <w:t>HJ169-2018</w:t>
                  </w:r>
                </w:p>
              </w:tc>
            </w:tr>
          </w:tbl>
          <w:p w14:paraId="6D12E08E">
            <w:pPr>
              <w:adjustRightInd w:val="0"/>
              <w:ind w:firstLine="472" w:firstLineChars="200"/>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spacing w:val="-2"/>
                <w:highlight w:val="none"/>
              </w:rPr>
              <w:t>则本项目Q值确定见下表</w:t>
            </w:r>
            <w:r>
              <w:rPr>
                <w:rFonts w:hint="default" w:ascii="Times New Roman" w:hAnsi="Times New Roman" w:eastAsia="宋体" w:cs="Times New Roman"/>
                <w:color w:val="auto"/>
                <w:kern w:val="0"/>
                <w:highlight w:val="none"/>
              </w:rPr>
              <w:t>。</w:t>
            </w:r>
          </w:p>
          <w:p w14:paraId="13A26B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2"/>
                <w:sz w:val="21"/>
                <w:szCs w:val="21"/>
                <w:highlight w:val="none"/>
                <w:lang w:val="en-US" w:eastAsia="zh-CN" w:bidi="ar-SA"/>
              </w:rPr>
            </w:pPr>
          </w:p>
          <w:p w14:paraId="51B3C3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表4-</w:t>
            </w:r>
            <w:r>
              <w:rPr>
                <w:rFonts w:hint="eastAsia" w:cs="Times New Roman"/>
                <w:b/>
                <w:bCs/>
                <w:color w:val="auto"/>
                <w:kern w:val="2"/>
                <w:sz w:val="21"/>
                <w:szCs w:val="21"/>
                <w:highlight w:val="none"/>
                <w:lang w:val="en-US" w:eastAsia="zh-CN" w:bidi="ar-SA"/>
              </w:rPr>
              <w:t>15</w:t>
            </w:r>
            <w:r>
              <w:rPr>
                <w:rFonts w:hint="default" w:ascii="Times New Roman" w:hAnsi="Times New Roman" w:eastAsia="宋体" w:cs="Times New Roman"/>
                <w:b/>
                <w:bCs/>
                <w:color w:val="auto"/>
                <w:kern w:val="2"/>
                <w:sz w:val="21"/>
                <w:szCs w:val="21"/>
                <w:highlight w:val="none"/>
                <w:lang w:val="en-US" w:eastAsia="zh-CN" w:bidi="ar-SA"/>
              </w:rPr>
              <w:t>建设项目Q值确定表</w:t>
            </w:r>
          </w:p>
          <w:tbl>
            <w:tblPr>
              <w:tblStyle w:val="45"/>
              <w:tblW w:w="49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1950"/>
              <w:gridCol w:w="1271"/>
              <w:gridCol w:w="1881"/>
              <w:gridCol w:w="1343"/>
              <w:gridCol w:w="1451"/>
            </w:tblGrid>
            <w:tr w14:paraId="5FFBC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7" w:type="dxa"/>
                  <w:vAlign w:val="center"/>
                </w:tcPr>
                <w:p w14:paraId="5DAC6045">
                  <w:pPr>
                    <w:keepNext w:val="0"/>
                    <w:keepLines w:val="0"/>
                    <w:pageBreakBefore w:val="0"/>
                    <w:kinsoku/>
                    <w:wordWrap/>
                    <w:overflowPunct/>
                    <w:topLinePunct w:val="0"/>
                    <w:autoSpaceDE/>
                    <w:autoSpaceDN/>
                    <w:bidi w:val="0"/>
                    <w:adjustRightInd w:val="0"/>
                    <w:snapToGrid/>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 w:val="21"/>
                      <w:szCs w:val="21"/>
                      <w:highlight w:val="none"/>
                    </w:rPr>
                    <w:t>序号</w:t>
                  </w:r>
                </w:p>
              </w:tc>
              <w:tc>
                <w:tcPr>
                  <w:tcW w:w="1950" w:type="dxa"/>
                  <w:vAlign w:val="center"/>
                </w:tcPr>
                <w:p w14:paraId="55DBE9C8">
                  <w:pPr>
                    <w:keepNext w:val="0"/>
                    <w:keepLines w:val="0"/>
                    <w:pageBreakBefore w:val="0"/>
                    <w:kinsoku/>
                    <w:wordWrap/>
                    <w:overflowPunct/>
                    <w:topLinePunct w:val="0"/>
                    <w:autoSpaceDE/>
                    <w:autoSpaceDN/>
                    <w:bidi w:val="0"/>
                    <w:adjustRightInd w:val="0"/>
                    <w:snapToGrid/>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 w:val="21"/>
                      <w:szCs w:val="21"/>
                      <w:highlight w:val="none"/>
                    </w:rPr>
                    <w:t>危险物质名称</w:t>
                  </w:r>
                </w:p>
              </w:tc>
              <w:tc>
                <w:tcPr>
                  <w:tcW w:w="1271" w:type="dxa"/>
                  <w:vAlign w:val="center"/>
                </w:tcPr>
                <w:p w14:paraId="6BB67E46">
                  <w:pPr>
                    <w:keepNext w:val="0"/>
                    <w:keepLines w:val="0"/>
                    <w:pageBreakBefore w:val="0"/>
                    <w:kinsoku/>
                    <w:wordWrap/>
                    <w:overflowPunct/>
                    <w:topLinePunct w:val="0"/>
                    <w:autoSpaceDE/>
                    <w:autoSpaceDN/>
                    <w:bidi w:val="0"/>
                    <w:adjustRightInd w:val="0"/>
                    <w:snapToGrid/>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 w:val="21"/>
                      <w:szCs w:val="21"/>
                      <w:highlight w:val="none"/>
                    </w:rPr>
                    <w:t>CAS号</w:t>
                  </w:r>
                </w:p>
              </w:tc>
              <w:tc>
                <w:tcPr>
                  <w:tcW w:w="1881" w:type="dxa"/>
                  <w:vAlign w:val="center"/>
                </w:tcPr>
                <w:p w14:paraId="332D7EFF">
                  <w:pPr>
                    <w:keepNext w:val="0"/>
                    <w:keepLines w:val="0"/>
                    <w:pageBreakBefore w:val="0"/>
                    <w:kinsoku/>
                    <w:wordWrap/>
                    <w:overflowPunct/>
                    <w:topLinePunct w:val="0"/>
                    <w:autoSpaceDE/>
                    <w:autoSpaceDN/>
                    <w:bidi w:val="0"/>
                    <w:adjustRightInd w:val="0"/>
                    <w:snapToGrid/>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 w:val="21"/>
                      <w:szCs w:val="21"/>
                      <w:highlight w:val="none"/>
                    </w:rPr>
                    <w:t>最大存储总量（t）</w:t>
                  </w:r>
                </w:p>
              </w:tc>
              <w:tc>
                <w:tcPr>
                  <w:tcW w:w="1343" w:type="dxa"/>
                  <w:vAlign w:val="center"/>
                </w:tcPr>
                <w:p w14:paraId="159A4814">
                  <w:pPr>
                    <w:keepNext w:val="0"/>
                    <w:keepLines w:val="0"/>
                    <w:pageBreakBefore w:val="0"/>
                    <w:kinsoku/>
                    <w:wordWrap/>
                    <w:overflowPunct/>
                    <w:topLinePunct w:val="0"/>
                    <w:autoSpaceDE/>
                    <w:autoSpaceDN/>
                    <w:bidi w:val="0"/>
                    <w:adjustRightInd w:val="0"/>
                    <w:snapToGrid/>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 w:val="21"/>
                      <w:szCs w:val="21"/>
                      <w:highlight w:val="none"/>
                    </w:rPr>
                    <w:t>临界量Qn/t</w:t>
                  </w:r>
                </w:p>
              </w:tc>
              <w:tc>
                <w:tcPr>
                  <w:tcW w:w="1451" w:type="dxa"/>
                  <w:vAlign w:val="center"/>
                </w:tcPr>
                <w:p w14:paraId="30CDDF39">
                  <w:pPr>
                    <w:keepNext w:val="0"/>
                    <w:keepLines w:val="0"/>
                    <w:pageBreakBefore w:val="0"/>
                    <w:kinsoku/>
                    <w:wordWrap/>
                    <w:overflowPunct/>
                    <w:topLinePunct w:val="0"/>
                    <w:autoSpaceDE/>
                    <w:autoSpaceDN/>
                    <w:bidi w:val="0"/>
                    <w:adjustRightInd w:val="0"/>
                    <w:snapToGrid/>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 w:val="21"/>
                      <w:szCs w:val="21"/>
                      <w:highlight w:val="none"/>
                    </w:rPr>
                    <w:t>该种危险物质Q值</w:t>
                  </w:r>
                </w:p>
              </w:tc>
            </w:tr>
            <w:tr w14:paraId="54BFD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7" w:type="dxa"/>
                  <w:shd w:val="clear" w:color="auto" w:fill="auto"/>
                  <w:vAlign w:val="center"/>
                </w:tcPr>
                <w:p w14:paraId="6E0B830F">
                  <w:pPr>
                    <w:keepNext w:val="0"/>
                    <w:keepLines w:val="0"/>
                    <w:pageBreakBefore w:val="0"/>
                    <w:widowControl w:val="0"/>
                    <w:kinsoku/>
                    <w:wordWrap/>
                    <w:overflowPunct/>
                    <w:topLinePunct w:val="0"/>
                    <w:autoSpaceDE/>
                    <w:autoSpaceDN/>
                    <w:bidi w:val="0"/>
                    <w:snapToGrid/>
                    <w:spacing w:line="240" w:lineRule="auto"/>
                    <w:jc w:val="center"/>
                    <w:rPr>
                      <w:rFonts w:hint="default" w:ascii="Times New Roman" w:hAnsi="Times New Roman" w:eastAsia="宋体" w:cs="Times New Roman"/>
                      <w:b w:val="0"/>
                      <w:color w:val="auto"/>
                      <w:kern w:val="2"/>
                      <w:sz w:val="21"/>
                      <w:szCs w:val="21"/>
                      <w:highlight w:val="none"/>
                      <w:lang w:val="en-US" w:eastAsia="zh-CN" w:bidi="ar-SA"/>
                    </w:rPr>
                  </w:pPr>
                  <w:r>
                    <w:rPr>
                      <w:rFonts w:hint="default" w:ascii="Times New Roman" w:hAnsi="Times New Roman" w:cs="Times New Roman"/>
                      <w:b w:val="0"/>
                      <w:color w:val="auto"/>
                      <w:kern w:val="2"/>
                      <w:sz w:val="21"/>
                      <w:szCs w:val="21"/>
                      <w:highlight w:val="none"/>
                      <w:lang w:val="en-US" w:eastAsia="zh-CN" w:bidi="ar-SA"/>
                    </w:rPr>
                    <w:t>1</w:t>
                  </w:r>
                </w:p>
              </w:tc>
              <w:tc>
                <w:tcPr>
                  <w:tcW w:w="1950" w:type="dxa"/>
                  <w:vAlign w:val="center"/>
                </w:tcPr>
                <w:p w14:paraId="6650A6D7">
                  <w:pPr>
                    <w:keepNext w:val="0"/>
                    <w:keepLines w:val="0"/>
                    <w:pageBreakBefore w:val="0"/>
                    <w:widowControl w:val="0"/>
                    <w:kinsoku/>
                    <w:wordWrap/>
                    <w:overflowPunct/>
                    <w:topLinePunct w:val="0"/>
                    <w:autoSpaceDE/>
                    <w:autoSpaceDN/>
                    <w:bidi w:val="0"/>
                    <w:snapToGrid/>
                    <w:spacing w:line="240" w:lineRule="auto"/>
                    <w:jc w:val="center"/>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cs="Times New Roman"/>
                      <w:b w:val="0"/>
                      <w:color w:val="auto"/>
                      <w:kern w:val="2"/>
                      <w:sz w:val="21"/>
                      <w:szCs w:val="21"/>
                      <w:highlight w:val="none"/>
                      <w:lang w:val="en-US" w:eastAsia="zh-CN" w:bidi="ar-SA"/>
                    </w:rPr>
                    <w:t>机油</w:t>
                  </w:r>
                  <w:r>
                    <w:rPr>
                      <w:rFonts w:hint="eastAsia" w:cs="Times New Roman"/>
                      <w:b w:val="0"/>
                      <w:color w:val="auto"/>
                      <w:kern w:val="2"/>
                      <w:sz w:val="21"/>
                      <w:szCs w:val="21"/>
                      <w:highlight w:val="none"/>
                      <w:lang w:val="en-US" w:eastAsia="zh-CN" w:bidi="ar-SA"/>
                    </w:rPr>
                    <w:t>、液压油</w:t>
                  </w:r>
                </w:p>
              </w:tc>
              <w:tc>
                <w:tcPr>
                  <w:tcW w:w="1271" w:type="dxa"/>
                  <w:vAlign w:val="center"/>
                </w:tcPr>
                <w:p w14:paraId="26BDD22C">
                  <w:pPr>
                    <w:keepNext w:val="0"/>
                    <w:keepLines w:val="0"/>
                    <w:pageBreakBefore w:val="0"/>
                    <w:kinsoku/>
                    <w:wordWrap/>
                    <w:overflowPunct/>
                    <w:topLinePunct w:val="0"/>
                    <w:autoSpaceDE/>
                    <w:autoSpaceDN/>
                    <w:bidi w:val="0"/>
                    <w:adjustRightInd w:val="0"/>
                    <w:snapToGrid/>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1881" w:type="dxa"/>
                  <w:vAlign w:val="center"/>
                </w:tcPr>
                <w:p w14:paraId="6CC79DE8">
                  <w:pPr>
                    <w:keepNext w:val="0"/>
                    <w:keepLines w:val="0"/>
                    <w:pageBreakBefore w:val="0"/>
                    <w:kinsoku/>
                    <w:wordWrap/>
                    <w:overflowPunct/>
                    <w:topLinePunct w:val="0"/>
                    <w:autoSpaceDE/>
                    <w:autoSpaceDN/>
                    <w:bidi w:val="0"/>
                    <w:adjustRightInd w:val="0"/>
                    <w:snapToGrid/>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0.1</w:t>
                  </w:r>
                  <w:r>
                    <w:rPr>
                      <w:rFonts w:hint="eastAsia" w:cs="Times New Roman"/>
                      <w:color w:val="auto"/>
                      <w:sz w:val="21"/>
                      <w:szCs w:val="21"/>
                      <w:highlight w:val="none"/>
                      <w:lang w:val="en-US" w:eastAsia="zh-CN"/>
                    </w:rPr>
                    <w:t>5</w:t>
                  </w:r>
                </w:p>
              </w:tc>
              <w:tc>
                <w:tcPr>
                  <w:tcW w:w="1343" w:type="dxa"/>
                  <w:vAlign w:val="center"/>
                </w:tcPr>
                <w:p w14:paraId="490302B3">
                  <w:pPr>
                    <w:keepNext w:val="0"/>
                    <w:keepLines w:val="0"/>
                    <w:pageBreakBefore w:val="0"/>
                    <w:kinsoku/>
                    <w:wordWrap/>
                    <w:overflowPunct/>
                    <w:topLinePunct w:val="0"/>
                    <w:autoSpaceDE/>
                    <w:autoSpaceDN/>
                    <w:bidi w:val="0"/>
                    <w:adjustRightInd w:val="0"/>
                    <w:snapToGrid/>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2500</w:t>
                  </w:r>
                </w:p>
              </w:tc>
              <w:tc>
                <w:tcPr>
                  <w:tcW w:w="1451" w:type="dxa"/>
                  <w:vAlign w:val="center"/>
                </w:tcPr>
                <w:p w14:paraId="1F60BF5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0.0000</w:t>
                  </w:r>
                  <w:r>
                    <w:rPr>
                      <w:rFonts w:hint="eastAsia" w:cs="Times New Roman"/>
                      <w:i w:val="0"/>
                      <w:iCs w:val="0"/>
                      <w:color w:val="auto"/>
                      <w:kern w:val="0"/>
                      <w:sz w:val="21"/>
                      <w:szCs w:val="21"/>
                      <w:highlight w:val="none"/>
                      <w:u w:val="none"/>
                      <w:lang w:val="en-US" w:eastAsia="zh-CN"/>
                    </w:rPr>
                    <w:t>6</w:t>
                  </w:r>
                </w:p>
              </w:tc>
            </w:tr>
            <w:tr w14:paraId="2EAED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7" w:type="dxa"/>
                  <w:shd w:val="clear" w:color="auto" w:fill="auto"/>
                  <w:vAlign w:val="center"/>
                </w:tcPr>
                <w:p w14:paraId="2B6CB1DE">
                  <w:pPr>
                    <w:keepNext w:val="0"/>
                    <w:keepLines w:val="0"/>
                    <w:pageBreakBefore w:val="0"/>
                    <w:widowControl w:val="0"/>
                    <w:kinsoku/>
                    <w:wordWrap/>
                    <w:overflowPunct/>
                    <w:topLinePunct w:val="0"/>
                    <w:autoSpaceDE/>
                    <w:autoSpaceDN/>
                    <w:bidi w:val="0"/>
                    <w:snapToGrid/>
                    <w:spacing w:line="240" w:lineRule="auto"/>
                    <w:jc w:val="center"/>
                    <w:rPr>
                      <w:rFonts w:hint="default" w:ascii="Times New Roman" w:hAnsi="Times New Roman" w:eastAsia="宋体" w:cs="Times New Roman"/>
                      <w:b w:val="0"/>
                      <w:color w:val="auto"/>
                      <w:kern w:val="2"/>
                      <w:sz w:val="21"/>
                      <w:szCs w:val="21"/>
                      <w:highlight w:val="none"/>
                      <w:lang w:val="en-US" w:eastAsia="zh-CN" w:bidi="ar-SA"/>
                    </w:rPr>
                  </w:pPr>
                  <w:r>
                    <w:rPr>
                      <w:rFonts w:hint="default" w:ascii="Times New Roman" w:hAnsi="Times New Roman" w:cs="Times New Roman"/>
                      <w:b w:val="0"/>
                      <w:color w:val="auto"/>
                      <w:kern w:val="2"/>
                      <w:sz w:val="21"/>
                      <w:szCs w:val="21"/>
                      <w:highlight w:val="none"/>
                      <w:lang w:val="en-US" w:eastAsia="zh-CN" w:bidi="ar-SA"/>
                    </w:rPr>
                    <w:t>2</w:t>
                  </w:r>
                </w:p>
              </w:tc>
              <w:tc>
                <w:tcPr>
                  <w:tcW w:w="1950" w:type="dxa"/>
                  <w:vAlign w:val="center"/>
                </w:tcPr>
                <w:p w14:paraId="0FDDBEF8">
                  <w:pPr>
                    <w:keepNext w:val="0"/>
                    <w:keepLines w:val="0"/>
                    <w:pageBreakBefore w:val="0"/>
                    <w:widowControl w:val="0"/>
                    <w:kinsoku/>
                    <w:wordWrap/>
                    <w:overflowPunct/>
                    <w:topLinePunct w:val="0"/>
                    <w:autoSpaceDE/>
                    <w:autoSpaceDN/>
                    <w:bidi w:val="0"/>
                    <w:snapToGrid/>
                    <w:spacing w:line="240" w:lineRule="auto"/>
                    <w:jc w:val="center"/>
                    <w:rPr>
                      <w:rFonts w:hint="default" w:ascii="Times New Roman" w:hAnsi="Times New Roman" w:eastAsia="宋体" w:cs="Times New Roman"/>
                      <w:b w:val="0"/>
                      <w:color w:val="auto"/>
                      <w:kern w:val="2"/>
                      <w:sz w:val="21"/>
                      <w:szCs w:val="21"/>
                      <w:highlight w:val="none"/>
                      <w:lang w:val="en-US" w:eastAsia="zh-CN" w:bidi="ar-SA"/>
                    </w:rPr>
                  </w:pPr>
                  <w:r>
                    <w:rPr>
                      <w:rFonts w:hint="default" w:ascii="Times New Roman" w:hAnsi="Times New Roman" w:eastAsia="宋体" w:cs="Times New Roman"/>
                      <w:color w:val="auto"/>
                      <w:position w:val="-10"/>
                      <w:sz w:val="21"/>
                      <w:szCs w:val="21"/>
                      <w:highlight w:val="none"/>
                      <w:lang w:val="en-US" w:eastAsia="zh-CN" w:bidi="ar-SA"/>
                    </w:rPr>
                    <w:t>废矿物油及油桶</w:t>
                  </w:r>
                </w:p>
              </w:tc>
              <w:tc>
                <w:tcPr>
                  <w:tcW w:w="1271" w:type="dxa"/>
                  <w:vAlign w:val="center"/>
                </w:tcPr>
                <w:p w14:paraId="12148CA7">
                  <w:pPr>
                    <w:keepNext w:val="0"/>
                    <w:keepLines w:val="0"/>
                    <w:pageBreakBefore w:val="0"/>
                    <w:kinsoku/>
                    <w:wordWrap/>
                    <w:overflowPunct/>
                    <w:topLinePunct w:val="0"/>
                    <w:autoSpaceDE/>
                    <w:autoSpaceDN/>
                    <w:bidi w:val="0"/>
                    <w:adjustRightInd w:val="0"/>
                    <w:snapToGrid/>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1881" w:type="dxa"/>
                  <w:vAlign w:val="center"/>
                </w:tcPr>
                <w:p w14:paraId="24981EE2">
                  <w:pPr>
                    <w:keepNext w:val="0"/>
                    <w:keepLines w:val="0"/>
                    <w:pageBreakBefore w:val="0"/>
                    <w:kinsoku/>
                    <w:wordWrap/>
                    <w:overflowPunct/>
                    <w:topLinePunct w:val="0"/>
                    <w:autoSpaceDE/>
                    <w:autoSpaceDN/>
                    <w:bidi w:val="0"/>
                    <w:adjustRightInd w:val="0"/>
                    <w:snapToGrid/>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kern w:val="2"/>
                      <w:position w:val="0"/>
                      <w:sz w:val="21"/>
                      <w:szCs w:val="21"/>
                      <w:highlight w:val="none"/>
                      <w:lang w:val="en-US" w:eastAsia="zh-CN" w:bidi="ar-SA"/>
                    </w:rPr>
                    <w:t>0.</w:t>
                  </w:r>
                  <w:r>
                    <w:rPr>
                      <w:rFonts w:hint="eastAsia" w:cs="Times New Roman"/>
                      <w:color w:val="auto"/>
                      <w:kern w:val="2"/>
                      <w:position w:val="0"/>
                      <w:sz w:val="21"/>
                      <w:szCs w:val="21"/>
                      <w:highlight w:val="none"/>
                      <w:lang w:val="en-US" w:eastAsia="zh-CN" w:bidi="ar-SA"/>
                    </w:rPr>
                    <w:t>157</w:t>
                  </w:r>
                </w:p>
              </w:tc>
              <w:tc>
                <w:tcPr>
                  <w:tcW w:w="1343" w:type="dxa"/>
                  <w:vAlign w:val="center"/>
                </w:tcPr>
                <w:p w14:paraId="20ED4F30">
                  <w:pPr>
                    <w:keepNext w:val="0"/>
                    <w:keepLines w:val="0"/>
                    <w:pageBreakBefore w:val="0"/>
                    <w:kinsoku/>
                    <w:wordWrap/>
                    <w:overflowPunct/>
                    <w:topLinePunct w:val="0"/>
                    <w:autoSpaceDE/>
                    <w:autoSpaceDN/>
                    <w:bidi w:val="0"/>
                    <w:adjustRightInd w:val="0"/>
                    <w:snapToGrid/>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2500</w:t>
                  </w:r>
                </w:p>
              </w:tc>
              <w:tc>
                <w:tcPr>
                  <w:tcW w:w="1451" w:type="dxa"/>
                  <w:vAlign w:val="center"/>
                </w:tcPr>
                <w:p w14:paraId="331686E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0.000</w:t>
                  </w:r>
                  <w:r>
                    <w:rPr>
                      <w:rFonts w:hint="eastAsia" w:cs="Times New Roman"/>
                      <w:i w:val="0"/>
                      <w:iCs w:val="0"/>
                      <w:color w:val="auto"/>
                      <w:kern w:val="0"/>
                      <w:sz w:val="21"/>
                      <w:szCs w:val="21"/>
                      <w:highlight w:val="none"/>
                      <w:u w:val="none"/>
                      <w:lang w:val="en-US" w:eastAsia="zh-CN"/>
                    </w:rPr>
                    <w:t>0628</w:t>
                  </w:r>
                </w:p>
              </w:tc>
            </w:tr>
            <w:tr w14:paraId="2481A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7" w:type="dxa"/>
                  <w:shd w:val="clear" w:color="auto" w:fill="auto"/>
                  <w:vAlign w:val="center"/>
                </w:tcPr>
                <w:p w14:paraId="1D3B0BC8">
                  <w:pPr>
                    <w:keepNext w:val="0"/>
                    <w:keepLines w:val="0"/>
                    <w:pageBreakBefore w:val="0"/>
                    <w:widowControl w:val="0"/>
                    <w:kinsoku/>
                    <w:wordWrap/>
                    <w:overflowPunct/>
                    <w:topLinePunct w:val="0"/>
                    <w:autoSpaceDE/>
                    <w:autoSpaceDN/>
                    <w:bidi w:val="0"/>
                    <w:snapToGrid/>
                    <w:spacing w:line="240" w:lineRule="auto"/>
                    <w:jc w:val="center"/>
                    <w:rPr>
                      <w:rFonts w:hint="default" w:ascii="Times New Roman" w:hAnsi="Times New Roman" w:eastAsia="宋体" w:cs="Times New Roman"/>
                      <w:b w:val="0"/>
                      <w:color w:val="auto"/>
                      <w:kern w:val="2"/>
                      <w:sz w:val="21"/>
                      <w:szCs w:val="21"/>
                      <w:highlight w:val="none"/>
                      <w:lang w:val="en-US" w:eastAsia="zh-CN" w:bidi="ar-SA"/>
                    </w:rPr>
                  </w:pPr>
                  <w:r>
                    <w:rPr>
                      <w:rFonts w:hint="default" w:ascii="Times New Roman" w:hAnsi="Times New Roman" w:cs="Times New Roman"/>
                      <w:b w:val="0"/>
                      <w:color w:val="auto"/>
                      <w:kern w:val="2"/>
                      <w:sz w:val="21"/>
                      <w:szCs w:val="21"/>
                      <w:highlight w:val="none"/>
                      <w:lang w:val="en-US" w:eastAsia="zh-CN" w:bidi="ar-SA"/>
                    </w:rPr>
                    <w:t>3</w:t>
                  </w:r>
                </w:p>
              </w:tc>
              <w:tc>
                <w:tcPr>
                  <w:tcW w:w="1950" w:type="dxa"/>
                  <w:vAlign w:val="center"/>
                </w:tcPr>
                <w:p w14:paraId="257EAF07">
                  <w:pPr>
                    <w:keepNext w:val="0"/>
                    <w:keepLines w:val="0"/>
                    <w:pageBreakBefore w:val="0"/>
                    <w:widowControl w:val="0"/>
                    <w:kinsoku/>
                    <w:wordWrap/>
                    <w:overflowPunct/>
                    <w:topLinePunct w:val="0"/>
                    <w:autoSpaceDE/>
                    <w:autoSpaceDN/>
                    <w:bidi w:val="0"/>
                    <w:snapToGrid/>
                    <w:spacing w:line="240" w:lineRule="auto"/>
                    <w:jc w:val="center"/>
                    <w:rPr>
                      <w:rFonts w:hint="default" w:ascii="Times New Roman" w:hAnsi="Times New Roman" w:eastAsia="宋体" w:cs="Times New Roman"/>
                      <w:b w:val="0"/>
                      <w:color w:val="auto"/>
                      <w:kern w:val="2"/>
                      <w:sz w:val="21"/>
                      <w:szCs w:val="21"/>
                      <w:highlight w:val="none"/>
                      <w:lang w:val="en-US" w:eastAsia="zh-CN" w:bidi="ar-SA"/>
                    </w:rPr>
                  </w:pPr>
                  <w:r>
                    <w:rPr>
                      <w:rFonts w:hint="default" w:ascii="Times New Roman" w:hAnsi="Times New Roman" w:cs="Times New Roman"/>
                      <w:b w:val="0"/>
                      <w:color w:val="auto"/>
                      <w:kern w:val="2"/>
                      <w:sz w:val="21"/>
                      <w:szCs w:val="21"/>
                      <w:highlight w:val="none"/>
                      <w:lang w:val="en-US" w:eastAsia="zh-CN" w:bidi="ar-SA"/>
                    </w:rPr>
                    <w:t>废含油抹布及手套</w:t>
                  </w:r>
                </w:p>
              </w:tc>
              <w:tc>
                <w:tcPr>
                  <w:tcW w:w="1271" w:type="dxa"/>
                  <w:vAlign w:val="center"/>
                </w:tcPr>
                <w:p w14:paraId="3EF58E44">
                  <w:pPr>
                    <w:keepNext w:val="0"/>
                    <w:keepLines w:val="0"/>
                    <w:pageBreakBefore w:val="0"/>
                    <w:kinsoku/>
                    <w:wordWrap/>
                    <w:overflowPunct/>
                    <w:topLinePunct w:val="0"/>
                    <w:autoSpaceDE/>
                    <w:autoSpaceDN/>
                    <w:bidi w:val="0"/>
                    <w:adjustRightInd w:val="0"/>
                    <w:snapToGrid/>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1881" w:type="dxa"/>
                  <w:vAlign w:val="center"/>
                </w:tcPr>
                <w:p w14:paraId="129E656B">
                  <w:pPr>
                    <w:keepNext w:val="0"/>
                    <w:keepLines w:val="0"/>
                    <w:pageBreakBefore w:val="0"/>
                    <w:kinsoku/>
                    <w:wordWrap/>
                    <w:overflowPunct/>
                    <w:topLinePunct w:val="0"/>
                    <w:autoSpaceDE/>
                    <w:autoSpaceDN/>
                    <w:bidi w:val="0"/>
                    <w:adjustRightInd w:val="0"/>
                    <w:snapToGrid/>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0.01</w:t>
                  </w:r>
                </w:p>
              </w:tc>
              <w:tc>
                <w:tcPr>
                  <w:tcW w:w="1343" w:type="dxa"/>
                  <w:vAlign w:val="center"/>
                </w:tcPr>
                <w:p w14:paraId="6D19CAC7">
                  <w:pPr>
                    <w:keepNext w:val="0"/>
                    <w:keepLines w:val="0"/>
                    <w:pageBreakBefore w:val="0"/>
                    <w:kinsoku/>
                    <w:wordWrap/>
                    <w:overflowPunct/>
                    <w:topLinePunct w:val="0"/>
                    <w:autoSpaceDE/>
                    <w:autoSpaceDN/>
                    <w:bidi w:val="0"/>
                    <w:adjustRightInd w:val="0"/>
                    <w:snapToGrid/>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50</w:t>
                  </w:r>
                </w:p>
              </w:tc>
              <w:tc>
                <w:tcPr>
                  <w:tcW w:w="1451" w:type="dxa"/>
                  <w:vAlign w:val="center"/>
                </w:tcPr>
                <w:p w14:paraId="715C61A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0.0002</w:t>
                  </w:r>
                </w:p>
              </w:tc>
            </w:tr>
            <w:tr w14:paraId="4C98F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42" w:type="dxa"/>
                  <w:gridSpan w:val="5"/>
                  <w:vAlign w:val="center"/>
                </w:tcPr>
                <w:p w14:paraId="11F0EB10">
                  <w:pPr>
                    <w:keepNext w:val="0"/>
                    <w:keepLines w:val="0"/>
                    <w:pageBreakBefore w:val="0"/>
                    <w:widowControl/>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项目Q值</w:t>
                  </w:r>
                </w:p>
              </w:tc>
              <w:tc>
                <w:tcPr>
                  <w:tcW w:w="1451" w:type="dxa"/>
                  <w:shd w:val="clear" w:color="auto" w:fill="auto"/>
                  <w:vAlign w:val="center"/>
                </w:tcPr>
                <w:p w14:paraId="79E6288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0.</w:t>
                  </w:r>
                  <w:r>
                    <w:rPr>
                      <w:rFonts w:hint="eastAsia" w:cs="Times New Roman"/>
                      <w:i w:val="0"/>
                      <w:iCs w:val="0"/>
                      <w:color w:val="auto"/>
                      <w:kern w:val="0"/>
                      <w:sz w:val="21"/>
                      <w:szCs w:val="21"/>
                      <w:highlight w:val="none"/>
                      <w:u w:val="none"/>
                      <w:lang w:val="en-US" w:eastAsia="zh-CN"/>
                    </w:rPr>
                    <w:t>0003228</w:t>
                  </w:r>
                </w:p>
              </w:tc>
            </w:tr>
          </w:tbl>
          <w:p w14:paraId="5DC306B1">
            <w:pPr>
              <w:ind w:firstLine="480" w:firstLineChars="20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根据</w:t>
            </w:r>
            <w:r>
              <w:rPr>
                <w:rFonts w:hint="default" w:ascii="Times New Roman" w:hAnsi="Times New Roman" w:eastAsia="宋体" w:cs="Times New Roman"/>
                <w:color w:val="auto"/>
                <w:spacing w:val="-2"/>
                <w:highlight w:val="none"/>
              </w:rPr>
              <w:t>《建设项目环境</w:t>
            </w:r>
            <w:r>
              <w:rPr>
                <w:rFonts w:hint="default" w:ascii="Times New Roman" w:hAnsi="Times New Roman" w:eastAsia="宋体" w:cs="Times New Roman"/>
                <w:color w:val="auto"/>
                <w:spacing w:val="-2"/>
                <w:highlight w:val="none"/>
                <w:lang w:val="en-US" w:eastAsia="zh-CN"/>
              </w:rPr>
              <w:t>影响报告表编制技术指南</w:t>
            </w:r>
            <w:r>
              <w:rPr>
                <w:rFonts w:hint="default" w:ascii="Times New Roman" w:hAnsi="Times New Roman" w:eastAsia="宋体" w:cs="Times New Roman"/>
                <w:color w:val="auto"/>
                <w:spacing w:val="-2"/>
                <w:highlight w:val="none"/>
              </w:rPr>
              <w:t>》（</w:t>
            </w:r>
            <w:r>
              <w:rPr>
                <w:rFonts w:hint="default" w:ascii="Times New Roman" w:hAnsi="Times New Roman" w:eastAsia="宋体" w:cs="Times New Roman"/>
                <w:color w:val="auto"/>
                <w:spacing w:val="-2"/>
                <w:highlight w:val="none"/>
                <w:lang w:val="en-US" w:eastAsia="zh-CN"/>
              </w:rPr>
              <w:t>污染影响类</w:t>
            </w:r>
            <w:r>
              <w:rPr>
                <w:rFonts w:hint="default" w:ascii="Times New Roman" w:hAnsi="Times New Roman" w:eastAsia="宋体" w:cs="Times New Roman"/>
                <w:color w:val="auto"/>
                <w:spacing w:val="-2"/>
                <w:highlight w:val="none"/>
              </w:rPr>
              <w:t>）</w:t>
            </w:r>
            <w:r>
              <w:rPr>
                <w:rFonts w:hint="default" w:ascii="Times New Roman" w:hAnsi="Times New Roman" w:eastAsia="宋体" w:cs="Times New Roman"/>
                <w:color w:val="auto"/>
                <w:spacing w:val="-2"/>
                <w:highlight w:val="none"/>
                <w:lang w:eastAsia="zh-CN"/>
              </w:rPr>
              <w:t>（</w:t>
            </w:r>
            <w:r>
              <w:rPr>
                <w:rFonts w:hint="default" w:ascii="Times New Roman" w:hAnsi="Times New Roman" w:eastAsia="宋体" w:cs="Times New Roman"/>
                <w:color w:val="auto"/>
                <w:spacing w:val="-2"/>
                <w:highlight w:val="none"/>
                <w:lang w:val="en-US" w:eastAsia="zh-CN"/>
              </w:rPr>
              <w:t>试行</w:t>
            </w:r>
            <w:r>
              <w:rPr>
                <w:rFonts w:hint="default" w:ascii="Times New Roman" w:hAnsi="Times New Roman" w:eastAsia="宋体" w:cs="Times New Roman"/>
                <w:color w:val="auto"/>
                <w:spacing w:val="-2"/>
                <w:highlight w:val="none"/>
                <w:lang w:eastAsia="zh-CN"/>
              </w:rPr>
              <w:t>）</w:t>
            </w:r>
            <w:r>
              <w:rPr>
                <w:rFonts w:hint="default" w:ascii="Times New Roman" w:hAnsi="Times New Roman" w:eastAsia="宋体" w:cs="Times New Roman"/>
                <w:color w:val="auto"/>
                <w:spacing w:val="-2"/>
                <w:highlight w:val="none"/>
              </w:rPr>
              <w:t>，当Q</w:t>
            </w:r>
            <w:r>
              <w:rPr>
                <w:rFonts w:hint="default" w:ascii="Times New Roman" w:hAnsi="Times New Roman" w:cs="Times New Roman"/>
                <w:color w:val="auto"/>
                <w:spacing w:val="-2"/>
                <w:highlight w:val="none"/>
                <w:lang w:val="en-US" w:eastAsia="zh-CN"/>
              </w:rPr>
              <w:t>&lt;</w:t>
            </w:r>
            <w:r>
              <w:rPr>
                <w:rFonts w:hint="default" w:ascii="Times New Roman" w:hAnsi="Times New Roman" w:eastAsia="宋体" w:cs="Times New Roman"/>
                <w:color w:val="auto"/>
                <w:spacing w:val="-2"/>
                <w:highlight w:val="none"/>
              </w:rPr>
              <w:t>1时，</w:t>
            </w:r>
            <w:r>
              <w:rPr>
                <w:rFonts w:hint="default" w:ascii="Times New Roman" w:hAnsi="Times New Roman" w:cs="Times New Roman"/>
                <w:color w:val="auto"/>
                <w:sz w:val="24"/>
                <w:szCs w:val="32"/>
                <w:highlight w:val="none"/>
                <w:lang w:val="en-US" w:eastAsia="zh-CN"/>
              </w:rPr>
              <w:t>项目环境风险潜势为Ⅰ</w:t>
            </w:r>
            <w:r>
              <w:rPr>
                <w:rFonts w:hint="default" w:ascii="Times New Roman" w:hAnsi="Times New Roman" w:eastAsia="宋体" w:cs="Times New Roman"/>
                <w:color w:val="auto"/>
                <w:spacing w:val="-2"/>
                <w:highlight w:val="none"/>
              </w:rPr>
              <w:t>。</w:t>
            </w:r>
          </w:p>
          <w:p w14:paraId="7BAF5541">
            <w:pPr>
              <w:keepNext/>
              <w:keepLines/>
              <w:numPr>
                <w:ilvl w:val="4"/>
                <w:numId w:val="0"/>
              </w:numPr>
              <w:spacing w:line="360" w:lineRule="auto"/>
              <w:ind w:firstLine="480" w:firstLineChars="200"/>
              <w:outlineLvl w:val="4"/>
              <w:rPr>
                <w:rFonts w:hint="default" w:ascii="Times New Roman" w:hAnsi="Times New Roman" w:eastAsia="宋体" w:cs="Times New Roman"/>
                <w:b/>
                <w:bCs/>
                <w:color w:val="auto"/>
                <w:sz w:val="24"/>
                <w:szCs w:val="24"/>
                <w:highlight w:val="none"/>
                <w:lang w:val="en-US" w:eastAsia="zh-CN" w:bidi="ar-SA"/>
              </w:rPr>
            </w:pPr>
            <w:r>
              <w:rPr>
                <w:rFonts w:hint="default" w:ascii="Times New Roman" w:hAnsi="Times New Roman" w:eastAsia="宋体" w:cs="Times New Roman"/>
                <w:b/>
                <w:bCs/>
                <w:color w:val="auto"/>
                <w:sz w:val="24"/>
                <w:szCs w:val="24"/>
                <w:highlight w:val="none"/>
                <w:lang w:val="en-US" w:eastAsia="zh-CN" w:bidi="ar-SA"/>
              </w:rPr>
              <w:t>3、环境敏感目标调查</w:t>
            </w:r>
          </w:p>
          <w:p w14:paraId="2BD3E118">
            <w:pPr>
              <w:ind w:firstLine="480" w:firstLineChars="200"/>
              <w:jc w:val="left"/>
              <w:rPr>
                <w:rFonts w:hint="default" w:ascii="Times New Roman" w:hAnsi="Times New Roman" w:eastAsia="宋体" w:cs="Times New Roman"/>
                <w:color w:val="auto"/>
                <w:highlight w:val="none"/>
              </w:rPr>
            </w:pPr>
            <w:r>
              <w:rPr>
                <w:rFonts w:hint="default" w:ascii="Times New Roman" w:hAnsi="Times New Roman" w:cs="Times New Roman"/>
                <w:color w:val="auto"/>
                <w:kern w:val="0"/>
                <w:sz w:val="24"/>
                <w:szCs w:val="24"/>
                <w:highlight w:val="none"/>
                <w:lang w:val="en-US" w:eastAsia="zh-CN"/>
              </w:rPr>
              <w:t>本项目位于广东省乐昌市乐廊路六公里乐昌市产业转移园鸿图工艺厂房A2</w:t>
            </w:r>
            <w:r>
              <w:rPr>
                <w:rFonts w:hint="default" w:ascii="Times New Roman" w:hAnsi="Times New Roman" w:eastAsia="宋体" w:cs="Times New Roman"/>
                <w:color w:val="auto"/>
                <w:highlight w:val="none"/>
              </w:rPr>
              <w:t>，厂区四周为其他企业、园区公园、空地、山地，项目边界周围500m范围内无学校、医院、文物古迹、风景名胜区、自然保护区、水源保护区。本项目</w:t>
            </w:r>
            <w:r>
              <w:rPr>
                <w:rFonts w:hint="eastAsia" w:cs="Times New Roman"/>
                <w:color w:val="auto"/>
                <w:highlight w:val="none"/>
                <w:lang w:val="en-US" w:eastAsia="zh-CN"/>
              </w:rPr>
              <w:t>附近无</w:t>
            </w:r>
            <w:r>
              <w:rPr>
                <w:rFonts w:hint="default" w:ascii="Times New Roman" w:hAnsi="Times New Roman" w:eastAsia="宋体" w:cs="Times New Roman"/>
                <w:color w:val="auto"/>
                <w:highlight w:val="none"/>
              </w:rPr>
              <w:t>环境保护目标。</w:t>
            </w:r>
          </w:p>
          <w:p w14:paraId="19542862">
            <w:pPr>
              <w:keepNext/>
              <w:keepLines/>
              <w:numPr>
                <w:ilvl w:val="4"/>
                <w:numId w:val="0"/>
              </w:numPr>
              <w:spacing w:line="360" w:lineRule="auto"/>
              <w:ind w:firstLine="480" w:firstLineChars="200"/>
              <w:outlineLvl w:val="4"/>
              <w:rPr>
                <w:rFonts w:hint="default" w:ascii="Times New Roman" w:hAnsi="Times New Roman" w:eastAsia="宋体" w:cs="Times New Roman"/>
                <w:b/>
                <w:bCs/>
                <w:color w:val="auto"/>
                <w:sz w:val="24"/>
                <w:szCs w:val="24"/>
                <w:highlight w:val="none"/>
                <w:lang w:val="en-US" w:eastAsia="zh-CN" w:bidi="ar-SA"/>
              </w:rPr>
            </w:pPr>
            <w:r>
              <w:rPr>
                <w:rFonts w:hint="default" w:ascii="Times New Roman" w:hAnsi="Times New Roman" w:eastAsia="宋体" w:cs="Times New Roman"/>
                <w:b/>
                <w:bCs/>
                <w:color w:val="auto"/>
                <w:sz w:val="24"/>
                <w:szCs w:val="24"/>
                <w:highlight w:val="none"/>
                <w:lang w:val="en-US" w:eastAsia="zh-CN" w:bidi="ar-SA"/>
              </w:rPr>
              <w:t>4、环境风险</w:t>
            </w:r>
            <w:r>
              <w:rPr>
                <w:rFonts w:hint="default" w:ascii="Times New Roman" w:hAnsi="Times New Roman" w:cs="Times New Roman"/>
                <w:b/>
                <w:bCs/>
                <w:color w:val="auto"/>
                <w:sz w:val="24"/>
                <w:szCs w:val="24"/>
                <w:highlight w:val="none"/>
                <w:lang w:val="en-US" w:eastAsia="zh-CN" w:bidi="ar-SA"/>
              </w:rPr>
              <w:t>识别</w:t>
            </w:r>
          </w:p>
          <w:p w14:paraId="36EEC2ED">
            <w:pPr>
              <w:keepNext/>
              <w:keepLines/>
              <w:numPr>
                <w:ilvl w:val="4"/>
                <w:numId w:val="0"/>
              </w:numPr>
              <w:spacing w:line="360" w:lineRule="auto"/>
              <w:ind w:firstLine="480" w:firstLineChars="200"/>
              <w:outlineLvl w:val="4"/>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本项目风险物质储存量较小，未构成重大危险源，环境风险识别见下表。</w:t>
            </w:r>
          </w:p>
          <w:p w14:paraId="5C2E9422">
            <w:pPr>
              <w:pStyle w:val="17"/>
              <w:spacing w:line="360" w:lineRule="auto"/>
              <w:rPr>
                <w:rFonts w:hint="default" w:ascii="Times New Roman" w:hAnsi="Times New Roman" w:eastAsia="宋体" w:cs="Times New Roman"/>
                <w:b/>
                <w:bCs/>
                <w:color w:val="auto"/>
                <w:sz w:val="24"/>
                <w:szCs w:val="24"/>
                <w:highlight w:val="none"/>
                <w:lang w:val="en-US" w:eastAsia="zh-CN" w:bidi="ar-SA"/>
              </w:rPr>
            </w:pPr>
            <w:r>
              <w:rPr>
                <w:rFonts w:hint="default" w:ascii="Times New Roman" w:hAnsi="Times New Roman" w:cs="Times New Roman"/>
                <w:color w:val="auto"/>
                <w:highlight w:val="none"/>
              </w:rPr>
              <w:t>表</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STYLEREF 1 \s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4</w:t>
            </w:r>
            <w:r>
              <w:rPr>
                <w:rFonts w:hint="default" w:ascii="Times New Roman" w:hAnsi="Times New Roman" w:cs="Times New Roman"/>
                <w:color w:val="auto"/>
                <w:highlight w:val="none"/>
              </w:rPr>
              <w:fldChar w:fldCharType="end"/>
            </w:r>
            <w:r>
              <w:rPr>
                <w:rFonts w:hint="default" w:ascii="Times New Roman" w:hAnsi="Times New Roman" w:cs="Times New Roman"/>
                <w:color w:val="auto"/>
                <w:highlight w:val="none"/>
              </w:rPr>
              <w:t>-</w:t>
            </w:r>
            <w:r>
              <w:rPr>
                <w:rFonts w:hint="eastAsia" w:cs="Times New Roman"/>
                <w:color w:val="auto"/>
                <w:highlight w:val="none"/>
                <w:lang w:val="en-US" w:eastAsia="zh-CN"/>
              </w:rPr>
              <w:t>16</w:t>
            </w:r>
            <w:r>
              <w:rPr>
                <w:rFonts w:hint="default" w:ascii="Times New Roman" w:hAnsi="Times New Roman" w:cs="Times New Roman"/>
                <w:color w:val="auto"/>
                <w:highlight w:val="none"/>
              </w:rPr>
              <w:t>建设项目环境风险识别表</w:t>
            </w:r>
          </w:p>
          <w:tbl>
            <w:tblPr>
              <w:tblStyle w:val="44"/>
              <w:tblW w:w="499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98"/>
              <w:gridCol w:w="1820"/>
              <w:gridCol w:w="1179"/>
              <w:gridCol w:w="1742"/>
              <w:gridCol w:w="2966"/>
            </w:tblGrid>
            <w:tr w14:paraId="0C126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573" w:type="pct"/>
                  <w:vAlign w:val="center"/>
                </w:tcPr>
                <w:p w14:paraId="79681D24">
                  <w:pPr>
                    <w:pStyle w:val="115"/>
                    <w:keepNext w:val="0"/>
                    <w:keepLines w:val="0"/>
                    <w:pageBreakBefore w:val="0"/>
                    <w:widowControl w:val="0"/>
                    <w:kinsoku/>
                    <w:wordWrap/>
                    <w:overflowPunct/>
                    <w:topLinePunct w:val="0"/>
                    <w:autoSpaceDE w:val="0"/>
                    <w:autoSpaceDN w:val="0"/>
                    <w:bidi w:val="0"/>
                    <w:adjustRightInd/>
                    <w:snapToGrid/>
                    <w:spacing w:before="20" w:after="20" w:line="240" w:lineRule="auto"/>
                    <w:ind w:left="0" w:leftChars="0" w:right="0" w:rightChars="0"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事故起因</w:t>
                  </w:r>
                </w:p>
              </w:tc>
              <w:tc>
                <w:tcPr>
                  <w:tcW w:w="1045" w:type="pct"/>
                  <w:vAlign w:val="center"/>
                </w:tcPr>
                <w:p w14:paraId="401D85DD">
                  <w:pPr>
                    <w:pStyle w:val="115"/>
                    <w:keepNext w:val="0"/>
                    <w:keepLines w:val="0"/>
                    <w:pageBreakBefore w:val="0"/>
                    <w:widowControl w:val="0"/>
                    <w:kinsoku/>
                    <w:wordWrap/>
                    <w:overflowPunct/>
                    <w:topLinePunct w:val="0"/>
                    <w:autoSpaceDE w:val="0"/>
                    <w:autoSpaceDN w:val="0"/>
                    <w:bidi w:val="0"/>
                    <w:adjustRightInd/>
                    <w:snapToGrid/>
                    <w:spacing w:before="20" w:after="20" w:line="240" w:lineRule="auto"/>
                    <w:ind w:left="0" w:leftChars="0" w:right="0" w:rightChars="0"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环境风险描述</w:t>
                  </w:r>
                </w:p>
              </w:tc>
              <w:tc>
                <w:tcPr>
                  <w:tcW w:w="677" w:type="pct"/>
                  <w:vAlign w:val="center"/>
                </w:tcPr>
                <w:p w14:paraId="5E4583DD">
                  <w:pPr>
                    <w:pStyle w:val="115"/>
                    <w:keepNext w:val="0"/>
                    <w:keepLines w:val="0"/>
                    <w:pageBreakBefore w:val="0"/>
                    <w:widowControl w:val="0"/>
                    <w:kinsoku/>
                    <w:wordWrap/>
                    <w:overflowPunct/>
                    <w:topLinePunct w:val="0"/>
                    <w:autoSpaceDE w:val="0"/>
                    <w:autoSpaceDN w:val="0"/>
                    <w:bidi w:val="0"/>
                    <w:adjustRightInd/>
                    <w:snapToGrid/>
                    <w:spacing w:before="20" w:after="20" w:line="240" w:lineRule="auto"/>
                    <w:ind w:left="0" w:leftChars="0" w:right="0" w:rightChars="0"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危险物质</w:t>
                  </w:r>
                </w:p>
              </w:tc>
              <w:tc>
                <w:tcPr>
                  <w:tcW w:w="1000" w:type="pct"/>
                  <w:vAlign w:val="center"/>
                </w:tcPr>
                <w:p w14:paraId="14B71E89">
                  <w:pPr>
                    <w:pStyle w:val="115"/>
                    <w:keepNext w:val="0"/>
                    <w:keepLines w:val="0"/>
                    <w:pageBreakBefore w:val="0"/>
                    <w:widowControl w:val="0"/>
                    <w:kinsoku/>
                    <w:wordWrap/>
                    <w:overflowPunct/>
                    <w:topLinePunct w:val="0"/>
                    <w:autoSpaceDE w:val="0"/>
                    <w:autoSpaceDN w:val="0"/>
                    <w:bidi w:val="0"/>
                    <w:adjustRightInd/>
                    <w:snapToGrid/>
                    <w:spacing w:before="20" w:after="20" w:line="240" w:lineRule="auto"/>
                    <w:ind w:left="0" w:leftChars="0" w:right="0" w:rightChars="0"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环境风险类型</w:t>
                  </w:r>
                </w:p>
              </w:tc>
              <w:tc>
                <w:tcPr>
                  <w:tcW w:w="1703" w:type="pct"/>
                  <w:vAlign w:val="center"/>
                </w:tcPr>
                <w:p w14:paraId="3670A361">
                  <w:pPr>
                    <w:pStyle w:val="115"/>
                    <w:keepNext w:val="0"/>
                    <w:keepLines w:val="0"/>
                    <w:pageBreakBefore w:val="0"/>
                    <w:widowControl w:val="0"/>
                    <w:kinsoku/>
                    <w:wordWrap/>
                    <w:overflowPunct/>
                    <w:topLinePunct w:val="0"/>
                    <w:autoSpaceDE w:val="0"/>
                    <w:autoSpaceDN w:val="0"/>
                    <w:bidi w:val="0"/>
                    <w:adjustRightInd/>
                    <w:snapToGrid/>
                    <w:spacing w:before="20" w:after="20" w:line="240" w:lineRule="auto"/>
                    <w:ind w:left="0" w:leftChars="0" w:right="0" w:rightChars="0"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环境影响途径</w:t>
                  </w:r>
                </w:p>
              </w:tc>
            </w:tr>
            <w:tr w14:paraId="0E2E6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73" w:type="pct"/>
                  <w:vAlign w:val="center"/>
                </w:tcPr>
                <w:p w14:paraId="309274AD">
                  <w:pPr>
                    <w:pStyle w:val="115"/>
                    <w:keepNext w:val="0"/>
                    <w:keepLines w:val="0"/>
                    <w:pageBreakBefore w:val="0"/>
                    <w:widowControl w:val="0"/>
                    <w:kinsoku/>
                    <w:wordWrap/>
                    <w:overflowPunct/>
                    <w:topLinePunct w:val="0"/>
                    <w:autoSpaceDE w:val="0"/>
                    <w:autoSpaceDN w:val="0"/>
                    <w:bidi w:val="0"/>
                    <w:adjustRightInd/>
                    <w:snapToGrid/>
                    <w:spacing w:before="20" w:after="2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危险废物</w:t>
                  </w:r>
                </w:p>
                <w:p w14:paraId="3157541D">
                  <w:pPr>
                    <w:pStyle w:val="115"/>
                    <w:keepNext w:val="0"/>
                    <w:keepLines w:val="0"/>
                    <w:pageBreakBefore w:val="0"/>
                    <w:widowControl w:val="0"/>
                    <w:kinsoku/>
                    <w:wordWrap/>
                    <w:overflowPunct/>
                    <w:topLinePunct w:val="0"/>
                    <w:autoSpaceDE w:val="0"/>
                    <w:autoSpaceDN w:val="0"/>
                    <w:bidi w:val="0"/>
                    <w:adjustRightInd/>
                    <w:snapToGrid/>
                    <w:spacing w:before="20" w:after="2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泄漏</w:t>
                  </w:r>
                </w:p>
              </w:tc>
              <w:tc>
                <w:tcPr>
                  <w:tcW w:w="1045" w:type="pct"/>
                  <w:vAlign w:val="center"/>
                </w:tcPr>
                <w:p w14:paraId="26BEC90A">
                  <w:pPr>
                    <w:pStyle w:val="115"/>
                    <w:keepNext w:val="0"/>
                    <w:keepLines w:val="0"/>
                    <w:pageBreakBefore w:val="0"/>
                    <w:widowControl w:val="0"/>
                    <w:kinsoku/>
                    <w:wordWrap/>
                    <w:overflowPunct/>
                    <w:topLinePunct w:val="0"/>
                    <w:autoSpaceDE w:val="0"/>
                    <w:autoSpaceDN w:val="0"/>
                    <w:bidi w:val="0"/>
                    <w:adjustRightInd/>
                    <w:snapToGrid/>
                    <w:spacing w:before="20" w:after="2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泄漏危险废物污染地表水及地下水</w:t>
                  </w:r>
                </w:p>
              </w:tc>
              <w:tc>
                <w:tcPr>
                  <w:tcW w:w="677" w:type="pct"/>
                  <w:vAlign w:val="center"/>
                </w:tcPr>
                <w:p w14:paraId="1A2FE854">
                  <w:pPr>
                    <w:pStyle w:val="115"/>
                    <w:keepNext w:val="0"/>
                    <w:keepLines w:val="0"/>
                    <w:pageBreakBefore w:val="0"/>
                    <w:widowControl w:val="0"/>
                    <w:kinsoku/>
                    <w:wordWrap/>
                    <w:overflowPunct/>
                    <w:topLinePunct w:val="0"/>
                    <w:autoSpaceDE w:val="0"/>
                    <w:autoSpaceDN w:val="0"/>
                    <w:bidi w:val="0"/>
                    <w:adjustRightInd/>
                    <w:snapToGrid/>
                    <w:spacing w:before="20" w:after="2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危险废物</w:t>
                  </w:r>
                </w:p>
              </w:tc>
              <w:tc>
                <w:tcPr>
                  <w:tcW w:w="1000" w:type="pct"/>
                  <w:vAlign w:val="center"/>
                </w:tcPr>
                <w:p w14:paraId="727E5966">
                  <w:pPr>
                    <w:pStyle w:val="115"/>
                    <w:keepNext w:val="0"/>
                    <w:keepLines w:val="0"/>
                    <w:pageBreakBefore w:val="0"/>
                    <w:widowControl w:val="0"/>
                    <w:kinsoku/>
                    <w:wordWrap/>
                    <w:overflowPunct/>
                    <w:topLinePunct w:val="0"/>
                    <w:autoSpaceDE w:val="0"/>
                    <w:autoSpaceDN w:val="0"/>
                    <w:bidi w:val="0"/>
                    <w:adjustRightInd/>
                    <w:snapToGrid/>
                    <w:spacing w:before="20" w:after="2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地表</w:t>
                  </w:r>
                  <w:r>
                    <w:rPr>
                      <w:rFonts w:hint="default" w:ascii="Times New Roman" w:hAnsi="Times New Roman" w:eastAsia="宋体" w:cs="Times New Roman"/>
                      <w:color w:val="auto"/>
                      <w:sz w:val="21"/>
                      <w:szCs w:val="21"/>
                      <w:highlight w:val="none"/>
                    </w:rPr>
                    <w:t>水环境</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地下水环境</w:t>
                  </w:r>
                </w:p>
              </w:tc>
              <w:tc>
                <w:tcPr>
                  <w:tcW w:w="1703" w:type="pct"/>
                  <w:vAlign w:val="center"/>
                </w:tcPr>
                <w:p w14:paraId="01060AA9">
                  <w:pPr>
                    <w:pStyle w:val="115"/>
                    <w:keepNext w:val="0"/>
                    <w:keepLines w:val="0"/>
                    <w:pageBreakBefore w:val="0"/>
                    <w:widowControl w:val="0"/>
                    <w:kinsoku/>
                    <w:wordWrap/>
                    <w:overflowPunct/>
                    <w:topLinePunct w:val="0"/>
                    <w:autoSpaceDE w:val="0"/>
                    <w:autoSpaceDN w:val="0"/>
                    <w:bidi w:val="0"/>
                    <w:adjustRightInd/>
                    <w:snapToGrid/>
                    <w:spacing w:before="20" w:after="2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通过雨水管排放到附近水体，影响内河涌水质，影响水生环境</w:t>
                  </w:r>
                </w:p>
              </w:tc>
            </w:tr>
            <w:tr w14:paraId="7CE4BB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573" w:type="pct"/>
                  <w:vMerge w:val="restart"/>
                  <w:vAlign w:val="center"/>
                </w:tcPr>
                <w:p w14:paraId="16EAD230">
                  <w:pPr>
                    <w:pStyle w:val="115"/>
                    <w:keepNext w:val="0"/>
                    <w:keepLines w:val="0"/>
                    <w:pageBreakBefore w:val="0"/>
                    <w:widowControl w:val="0"/>
                    <w:kinsoku/>
                    <w:wordWrap/>
                    <w:overflowPunct/>
                    <w:topLinePunct w:val="0"/>
                    <w:autoSpaceDE w:val="0"/>
                    <w:autoSpaceDN w:val="0"/>
                    <w:bidi w:val="0"/>
                    <w:adjustRightInd/>
                    <w:snapToGrid/>
                    <w:spacing w:before="20" w:after="2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火灾、爆炸</w:t>
                  </w:r>
                </w:p>
              </w:tc>
              <w:tc>
                <w:tcPr>
                  <w:tcW w:w="1045" w:type="pct"/>
                  <w:vAlign w:val="center"/>
                </w:tcPr>
                <w:p w14:paraId="78B0A691">
                  <w:pPr>
                    <w:pStyle w:val="115"/>
                    <w:keepNext w:val="0"/>
                    <w:keepLines w:val="0"/>
                    <w:pageBreakBefore w:val="0"/>
                    <w:widowControl w:val="0"/>
                    <w:kinsoku/>
                    <w:wordWrap/>
                    <w:overflowPunct/>
                    <w:topLinePunct w:val="0"/>
                    <w:autoSpaceDE w:val="0"/>
                    <w:autoSpaceDN w:val="0"/>
                    <w:bidi w:val="0"/>
                    <w:adjustRightInd/>
                    <w:snapToGrid/>
                    <w:spacing w:before="20" w:after="2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燃烧烟尘及污染物污染周围大气环境</w:t>
                  </w:r>
                </w:p>
              </w:tc>
              <w:tc>
                <w:tcPr>
                  <w:tcW w:w="677" w:type="pct"/>
                  <w:vAlign w:val="center"/>
                </w:tcPr>
                <w:p w14:paraId="61A8F466">
                  <w:pPr>
                    <w:pStyle w:val="115"/>
                    <w:keepNext w:val="0"/>
                    <w:keepLines w:val="0"/>
                    <w:pageBreakBefore w:val="0"/>
                    <w:widowControl w:val="0"/>
                    <w:kinsoku/>
                    <w:wordWrap/>
                    <w:overflowPunct/>
                    <w:topLinePunct w:val="0"/>
                    <w:autoSpaceDE w:val="0"/>
                    <w:autoSpaceDN w:val="0"/>
                    <w:bidi w:val="0"/>
                    <w:adjustRightInd/>
                    <w:snapToGrid/>
                    <w:spacing w:before="20" w:after="2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CO、颗粒物</w:t>
                  </w:r>
                </w:p>
              </w:tc>
              <w:tc>
                <w:tcPr>
                  <w:tcW w:w="1000" w:type="pct"/>
                  <w:vAlign w:val="center"/>
                </w:tcPr>
                <w:p w14:paraId="682C4AC1">
                  <w:pPr>
                    <w:pStyle w:val="115"/>
                    <w:keepNext w:val="0"/>
                    <w:keepLines w:val="0"/>
                    <w:pageBreakBefore w:val="0"/>
                    <w:widowControl w:val="0"/>
                    <w:kinsoku/>
                    <w:wordWrap/>
                    <w:overflowPunct/>
                    <w:topLinePunct w:val="0"/>
                    <w:autoSpaceDE w:val="0"/>
                    <w:autoSpaceDN w:val="0"/>
                    <w:bidi w:val="0"/>
                    <w:adjustRightInd/>
                    <w:snapToGrid/>
                    <w:spacing w:before="20" w:after="2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大气环境</w:t>
                  </w:r>
                </w:p>
              </w:tc>
              <w:tc>
                <w:tcPr>
                  <w:tcW w:w="1703" w:type="pct"/>
                  <w:vAlign w:val="center"/>
                </w:tcPr>
                <w:p w14:paraId="5F292920">
                  <w:pPr>
                    <w:pStyle w:val="115"/>
                    <w:keepNext w:val="0"/>
                    <w:keepLines w:val="0"/>
                    <w:pageBreakBefore w:val="0"/>
                    <w:widowControl w:val="0"/>
                    <w:kinsoku/>
                    <w:wordWrap/>
                    <w:overflowPunct/>
                    <w:topLinePunct w:val="0"/>
                    <w:autoSpaceDE w:val="0"/>
                    <w:autoSpaceDN w:val="0"/>
                    <w:bidi w:val="0"/>
                    <w:adjustRightInd/>
                    <w:snapToGrid/>
                    <w:spacing w:before="20" w:after="2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通过燃烧烟气扩散，对周围大气环境造成短时污染</w:t>
                  </w:r>
                </w:p>
              </w:tc>
            </w:tr>
            <w:tr w14:paraId="30584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573" w:type="pct"/>
                  <w:vMerge w:val="continue"/>
                  <w:vAlign w:val="center"/>
                </w:tcPr>
                <w:p w14:paraId="3DF30291">
                  <w:pPr>
                    <w:pStyle w:val="115"/>
                    <w:keepNext w:val="0"/>
                    <w:keepLines w:val="0"/>
                    <w:pageBreakBefore w:val="0"/>
                    <w:widowControl w:val="0"/>
                    <w:kinsoku/>
                    <w:wordWrap/>
                    <w:overflowPunct/>
                    <w:topLinePunct w:val="0"/>
                    <w:autoSpaceDE w:val="0"/>
                    <w:autoSpaceDN w:val="0"/>
                    <w:bidi w:val="0"/>
                    <w:adjustRightInd/>
                    <w:snapToGrid/>
                    <w:spacing w:before="20" w:after="2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045" w:type="pct"/>
                  <w:vAlign w:val="center"/>
                </w:tcPr>
                <w:p w14:paraId="7416E227">
                  <w:pPr>
                    <w:pStyle w:val="115"/>
                    <w:keepNext w:val="0"/>
                    <w:keepLines w:val="0"/>
                    <w:pageBreakBefore w:val="0"/>
                    <w:widowControl w:val="0"/>
                    <w:kinsoku/>
                    <w:wordWrap/>
                    <w:overflowPunct/>
                    <w:topLinePunct w:val="0"/>
                    <w:autoSpaceDE w:val="0"/>
                    <w:autoSpaceDN w:val="0"/>
                    <w:bidi w:val="0"/>
                    <w:adjustRightInd/>
                    <w:snapToGrid/>
                    <w:spacing w:before="20" w:after="2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消防废水进入附近水体</w:t>
                  </w:r>
                </w:p>
              </w:tc>
              <w:tc>
                <w:tcPr>
                  <w:tcW w:w="677" w:type="pct"/>
                  <w:vAlign w:val="center"/>
                </w:tcPr>
                <w:p w14:paraId="011A871D">
                  <w:pPr>
                    <w:pStyle w:val="115"/>
                    <w:keepNext w:val="0"/>
                    <w:keepLines w:val="0"/>
                    <w:pageBreakBefore w:val="0"/>
                    <w:widowControl w:val="0"/>
                    <w:kinsoku/>
                    <w:wordWrap/>
                    <w:overflowPunct/>
                    <w:topLinePunct w:val="0"/>
                    <w:autoSpaceDE w:val="0"/>
                    <w:autoSpaceDN w:val="0"/>
                    <w:bidi w:val="0"/>
                    <w:adjustRightInd/>
                    <w:snapToGrid/>
                    <w:spacing w:before="20" w:after="2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COD</w:t>
                  </w:r>
                  <w:r>
                    <w:rPr>
                      <w:rFonts w:hint="default" w:ascii="Times New Roman" w:hAnsi="Times New Roman" w:cs="Times New Roman"/>
                      <w:color w:val="auto"/>
                      <w:sz w:val="21"/>
                      <w:szCs w:val="21"/>
                      <w:highlight w:val="none"/>
                      <w:lang w:val="en-US" w:eastAsia="zh-CN"/>
                    </w:rPr>
                    <w:t>cr、氨氮、SS</w:t>
                  </w:r>
                  <w:r>
                    <w:rPr>
                      <w:rFonts w:hint="default" w:ascii="Times New Roman" w:hAnsi="Times New Roman" w:cs="Times New Roman"/>
                      <w:color w:val="auto"/>
                      <w:sz w:val="21"/>
                      <w:szCs w:val="21"/>
                      <w:highlight w:val="none"/>
                      <w:lang w:eastAsia="zh-CN"/>
                    </w:rPr>
                    <w:t>等</w:t>
                  </w:r>
                </w:p>
              </w:tc>
              <w:tc>
                <w:tcPr>
                  <w:tcW w:w="1000" w:type="pct"/>
                  <w:vAlign w:val="center"/>
                </w:tcPr>
                <w:p w14:paraId="49DFC3BF">
                  <w:pPr>
                    <w:pStyle w:val="115"/>
                    <w:keepNext w:val="0"/>
                    <w:keepLines w:val="0"/>
                    <w:pageBreakBefore w:val="0"/>
                    <w:widowControl w:val="0"/>
                    <w:kinsoku/>
                    <w:wordWrap/>
                    <w:overflowPunct/>
                    <w:topLinePunct w:val="0"/>
                    <w:autoSpaceDE w:val="0"/>
                    <w:autoSpaceDN w:val="0"/>
                    <w:bidi w:val="0"/>
                    <w:adjustRightInd/>
                    <w:snapToGrid/>
                    <w:spacing w:before="20" w:after="2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地表</w:t>
                  </w:r>
                  <w:r>
                    <w:rPr>
                      <w:rFonts w:hint="default" w:ascii="Times New Roman" w:hAnsi="Times New Roman" w:eastAsia="宋体" w:cs="Times New Roman"/>
                      <w:color w:val="auto"/>
                      <w:sz w:val="21"/>
                      <w:szCs w:val="21"/>
                      <w:highlight w:val="none"/>
                    </w:rPr>
                    <w:t>水环境</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地下水环境</w:t>
                  </w:r>
                </w:p>
              </w:tc>
              <w:tc>
                <w:tcPr>
                  <w:tcW w:w="1703" w:type="pct"/>
                  <w:vAlign w:val="center"/>
                </w:tcPr>
                <w:p w14:paraId="5C193F5D">
                  <w:pPr>
                    <w:pStyle w:val="115"/>
                    <w:keepNext w:val="0"/>
                    <w:keepLines w:val="0"/>
                    <w:pageBreakBefore w:val="0"/>
                    <w:widowControl w:val="0"/>
                    <w:kinsoku/>
                    <w:wordWrap/>
                    <w:overflowPunct/>
                    <w:topLinePunct w:val="0"/>
                    <w:autoSpaceDE w:val="0"/>
                    <w:autoSpaceDN w:val="0"/>
                    <w:bidi w:val="0"/>
                    <w:adjustRightInd/>
                    <w:snapToGrid/>
                    <w:spacing w:before="20" w:after="2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通过雨水管对附近内河涌水质造成影响</w:t>
                  </w:r>
                </w:p>
              </w:tc>
            </w:tr>
          </w:tbl>
          <w:p w14:paraId="174BD826">
            <w:pPr>
              <w:pStyle w:val="10"/>
              <w:numPr>
                <w:ilvl w:val="0"/>
                <w:numId w:val="0"/>
              </w:numPr>
              <w:ind w:left="480" w:leftChars="200"/>
              <w:rPr>
                <w:rFonts w:hint="default" w:ascii="Times New Roman" w:hAnsi="Times New Roman" w:cs="Times New Roman"/>
                <w:color w:val="auto"/>
                <w:highlight w:val="none"/>
              </w:rPr>
            </w:pPr>
            <w:r>
              <w:rPr>
                <w:rFonts w:hint="default" w:ascii="Times New Roman" w:hAnsi="Times New Roman" w:cs="Times New Roman"/>
                <w:color w:val="auto"/>
                <w:highlight w:val="none"/>
              </w:rPr>
              <w:t>5、环境风险分析</w:t>
            </w:r>
          </w:p>
          <w:p w14:paraId="5A56087A">
            <w:pPr>
              <w:pStyle w:val="11"/>
              <w:numPr>
                <w:ilvl w:val="0"/>
                <w:numId w:val="0"/>
              </w:numPr>
              <w:ind w:left="480"/>
              <w:rPr>
                <w:rFonts w:hint="default" w:ascii="Times New Roman" w:hAnsi="Times New Roman" w:cs="Times New Roman"/>
                <w:color w:val="auto"/>
                <w:highlight w:val="none"/>
              </w:rPr>
            </w:pPr>
            <w:r>
              <w:rPr>
                <w:rFonts w:hint="default" w:ascii="Times New Roman" w:hAnsi="Times New Roman" w:cs="Times New Roman"/>
                <w:color w:val="auto"/>
                <w:highlight w:val="none"/>
              </w:rPr>
              <w:t>（1）大气环境风险分析</w:t>
            </w:r>
          </w:p>
          <w:p w14:paraId="1E754E85">
            <w:pPr>
              <w:widowControl/>
              <w:ind w:firstLine="48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物料在运输、装卸、储存和使用过程中发生泄漏、火灾，有毒有害物质在高温情况下散发到空气中，泄漏的物料、物料燃烧产生的次生污染物如烟尘、CO等将对周边的环境空气带来较为严重的污染甚至对人群健康造成危害。</w:t>
            </w:r>
          </w:p>
          <w:p w14:paraId="41B960F9">
            <w:pPr>
              <w:pStyle w:val="11"/>
              <w:numPr>
                <w:ilvl w:val="0"/>
                <w:numId w:val="0"/>
              </w:numPr>
              <w:ind w:left="480"/>
              <w:rPr>
                <w:rFonts w:hint="default" w:ascii="Times New Roman" w:hAnsi="Times New Roman" w:cs="Times New Roman"/>
                <w:color w:val="auto"/>
                <w:highlight w:val="none"/>
              </w:rPr>
            </w:pPr>
            <w:r>
              <w:rPr>
                <w:rFonts w:hint="default" w:ascii="Times New Roman" w:hAnsi="Times New Roman" w:cs="Times New Roman"/>
                <w:color w:val="auto"/>
                <w:highlight w:val="none"/>
              </w:rPr>
              <w:t>（2）地表水、地下水环境风险分析</w:t>
            </w:r>
          </w:p>
          <w:p w14:paraId="638EF385">
            <w:pPr>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液态有毒有害物质经地表径流或雨水管进入周边水体，或通过地表下渗污染地下水水质，严重污染河涌、水道水质，比如，液态有毒有害物质在运输、装卸、储存和使用过程中发生泄漏，危废</w:t>
            </w:r>
            <w:r>
              <w:rPr>
                <w:rFonts w:hint="eastAsia" w:cs="Times New Roman"/>
                <w:color w:val="auto"/>
                <w:highlight w:val="none"/>
                <w:lang w:val="en-US" w:eastAsia="zh-CN"/>
              </w:rPr>
              <w:t>暂存</w:t>
            </w:r>
            <w:r>
              <w:rPr>
                <w:rFonts w:hint="default" w:ascii="Times New Roman" w:hAnsi="Times New Roman" w:cs="Times New Roman"/>
                <w:color w:val="auto"/>
                <w:highlight w:val="none"/>
              </w:rPr>
              <w:t>间防渗层损坏等，对地表水、地下水环境带来较为严重的污染。本项目</w:t>
            </w:r>
            <w:r>
              <w:rPr>
                <w:rFonts w:hint="default" w:ascii="Times New Roman" w:hAnsi="Times New Roman" w:cs="Times New Roman"/>
                <w:color w:val="auto"/>
                <w:highlight w:val="none"/>
                <w:lang w:eastAsia="zh-CN"/>
              </w:rPr>
              <w:t>机油</w:t>
            </w:r>
            <w:r>
              <w:rPr>
                <w:rFonts w:hint="default" w:ascii="Times New Roman" w:hAnsi="Times New Roman" w:cs="Times New Roman"/>
                <w:color w:val="auto"/>
                <w:highlight w:val="none"/>
              </w:rPr>
              <w:t>使用量较少，不使用时密闭封存，本项目厂区内均已进行地面硬化，因此不存在地表水、地下水环境污染途径。</w:t>
            </w:r>
          </w:p>
          <w:p w14:paraId="17845662">
            <w:pPr>
              <w:pStyle w:val="10"/>
              <w:numPr>
                <w:ilvl w:val="0"/>
                <w:numId w:val="0"/>
              </w:numPr>
              <w:ind w:left="480" w:leftChars="200"/>
              <w:rPr>
                <w:rFonts w:hint="default" w:ascii="Times New Roman" w:hAnsi="Times New Roman" w:cs="Times New Roman"/>
                <w:color w:val="auto"/>
                <w:highlight w:val="none"/>
              </w:rPr>
            </w:pPr>
            <w:r>
              <w:rPr>
                <w:rFonts w:hint="default" w:ascii="Times New Roman" w:hAnsi="Times New Roman" w:cs="Times New Roman"/>
                <w:color w:val="auto"/>
                <w:highlight w:val="none"/>
              </w:rPr>
              <w:t>6、环境风险防范措施及应急要求</w:t>
            </w:r>
          </w:p>
          <w:p w14:paraId="49323641">
            <w:pPr>
              <w:pStyle w:val="12"/>
              <w:numPr>
                <w:ilvl w:val="5"/>
                <w:numId w:val="0"/>
              </w:numPr>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①</w:t>
            </w:r>
            <w:r>
              <w:rPr>
                <w:rFonts w:hint="default" w:ascii="Times New Roman" w:hAnsi="Times New Roman" w:cs="Times New Roman"/>
                <w:color w:val="auto"/>
                <w:highlight w:val="none"/>
              </w:rPr>
              <w:t>严格执行应急管理、消防等相关规范，从总图布置和建筑安全方面进行风险防范，预留疏散通道或安置场所。</w:t>
            </w:r>
          </w:p>
          <w:p w14:paraId="23021977">
            <w:pPr>
              <w:pStyle w:val="12"/>
              <w:numPr>
                <w:ilvl w:val="5"/>
                <w:numId w:val="0"/>
              </w:numPr>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②</w:t>
            </w:r>
            <w:r>
              <w:rPr>
                <w:rFonts w:hint="default" w:ascii="Times New Roman" w:hAnsi="Times New Roman" w:cs="Times New Roman"/>
                <w:color w:val="auto"/>
                <w:highlight w:val="none"/>
              </w:rPr>
              <w:t>从优化改进生产工艺、减少储存量、改善储存条件等方面降低风险程度。</w:t>
            </w:r>
          </w:p>
          <w:p w14:paraId="13FB2B57">
            <w:pPr>
              <w:pStyle w:val="12"/>
              <w:numPr>
                <w:ilvl w:val="5"/>
                <w:numId w:val="0"/>
              </w:numPr>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③</w:t>
            </w:r>
            <w:r>
              <w:rPr>
                <w:rFonts w:hint="default" w:ascii="Times New Roman" w:hAnsi="Times New Roman" w:cs="Times New Roman"/>
                <w:color w:val="auto"/>
                <w:highlight w:val="none"/>
              </w:rPr>
              <w:t>加强日常管理，降低管理失误而出现的风险事故，提高员工规范性操作水平，减少误操作引发的风险事故。</w:t>
            </w:r>
          </w:p>
          <w:p w14:paraId="14B8FFB0">
            <w:pPr>
              <w:pStyle w:val="39"/>
              <w:spacing w:after="0" w:line="360" w:lineRule="auto"/>
              <w:ind w:firstLine="482"/>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④</w:t>
            </w:r>
            <w:r>
              <w:rPr>
                <w:rFonts w:hint="default" w:ascii="Times New Roman" w:hAnsi="Times New Roman" w:cs="Times New Roman"/>
                <w:color w:val="auto"/>
                <w:highlight w:val="none"/>
              </w:rPr>
              <w:t>根据贮存的相关要求进行贮存、使用，设置满足要求的围堰区。遵循“源头控制，分区防渗”的原则，做好仓库、车间、危废暂存间的防渗措施，满足相应标准要求。危废</w:t>
            </w:r>
            <w:r>
              <w:rPr>
                <w:rFonts w:hint="eastAsia" w:cs="Times New Roman"/>
                <w:color w:val="auto"/>
                <w:highlight w:val="none"/>
                <w:lang w:val="en-US" w:eastAsia="zh-CN"/>
              </w:rPr>
              <w:t>暂存</w:t>
            </w:r>
            <w:r>
              <w:rPr>
                <w:rFonts w:hint="default" w:ascii="Times New Roman" w:hAnsi="Times New Roman" w:cs="Times New Roman"/>
                <w:color w:val="auto"/>
                <w:highlight w:val="none"/>
              </w:rPr>
              <w:t>间在建筑物内部，达到防风防雨防晒要求，地面硬化并刷环氧树脂漆防渗，四周设置围堰，满足四防要求。</w:t>
            </w:r>
          </w:p>
          <w:p w14:paraId="62F7CD8D">
            <w:pPr>
              <w:pStyle w:val="39"/>
              <w:spacing w:after="0" w:line="360" w:lineRule="auto"/>
              <w:ind w:firstLine="482"/>
              <w:rPr>
                <w:rFonts w:hint="default" w:ascii="Times New Roman" w:hAnsi="Times New Roman" w:eastAsia="宋体" w:cs="Times New Roman"/>
                <w:color w:val="auto"/>
                <w:spacing w:val="-1"/>
                <w:sz w:val="24"/>
                <w:szCs w:val="24"/>
              </w:rPr>
            </w:pPr>
            <w:r>
              <w:rPr>
                <w:rFonts w:hint="default" w:ascii="Times New Roman" w:hAnsi="Times New Roman" w:eastAsia="宋体" w:cs="Times New Roman"/>
                <w:color w:val="auto"/>
                <w:spacing w:val="-1"/>
                <w:sz w:val="24"/>
                <w:szCs w:val="24"/>
              </w:rPr>
              <w:t>⑤事故应急池：</w:t>
            </w:r>
          </w:p>
          <w:p w14:paraId="06A9DC3A">
            <w:pPr>
              <w:pStyle w:val="39"/>
              <w:spacing w:after="0" w:line="360" w:lineRule="auto"/>
              <w:ind w:firstLine="482"/>
              <w:rPr>
                <w:rFonts w:hint="default" w:ascii="Times New Roman" w:hAnsi="Times New Roman" w:eastAsia="宋体" w:cs="Times New Roman"/>
                <w:color w:val="auto"/>
                <w:spacing w:val="-1"/>
                <w:sz w:val="24"/>
                <w:szCs w:val="24"/>
                <w:lang w:val="en-US" w:eastAsia="zh-CN"/>
              </w:rPr>
            </w:pPr>
            <w:r>
              <w:rPr>
                <w:rFonts w:hint="eastAsia" w:cs="Times New Roman"/>
                <w:color w:val="auto"/>
                <w:spacing w:val="-1"/>
                <w:sz w:val="24"/>
                <w:szCs w:val="24"/>
                <w:lang w:val="en-US" w:eastAsia="zh-CN"/>
              </w:rPr>
              <w:t>根据生态环境主管部门要求，本项目需设置事故应急池。</w:t>
            </w:r>
          </w:p>
          <w:p w14:paraId="2AACE2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事故应急池容积计算参考《事故状态下水体污染的预防与控制技术要求》（Q/SY 1190-2013）的规定进行核算。</w:t>
            </w:r>
          </w:p>
          <w:p w14:paraId="2C2AE9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V</w:t>
            </w:r>
            <w:r>
              <w:rPr>
                <w:rFonts w:hint="default" w:ascii="Times New Roman" w:hAnsi="Times New Roman" w:eastAsia="宋体" w:cs="Times New Roman"/>
                <w:color w:val="auto"/>
                <w:sz w:val="24"/>
                <w:szCs w:val="24"/>
                <w:highlight w:val="none"/>
                <w:vertAlign w:val="subscript"/>
              </w:rPr>
              <w:t>总</w:t>
            </w:r>
            <w:r>
              <w:rPr>
                <w:rFonts w:hint="default" w:ascii="Times New Roman" w:hAnsi="Times New Roman" w:eastAsia="宋体" w:cs="Times New Roman"/>
                <w:color w:val="auto"/>
                <w:sz w:val="24"/>
                <w:szCs w:val="24"/>
                <w:highlight w:val="none"/>
              </w:rPr>
              <w:t>=（V</w:t>
            </w:r>
            <w:r>
              <w:rPr>
                <w:rFonts w:hint="default" w:ascii="Times New Roman" w:hAnsi="Times New Roman" w:eastAsia="宋体" w:cs="Times New Roman"/>
                <w:color w:val="auto"/>
                <w:sz w:val="24"/>
                <w:szCs w:val="24"/>
                <w:highlight w:val="none"/>
                <w:vertAlign w:val="subscript"/>
              </w:rPr>
              <w:t>1</w:t>
            </w:r>
            <w:r>
              <w:rPr>
                <w:rFonts w:hint="default" w:ascii="Times New Roman" w:hAnsi="Times New Roman" w:eastAsia="宋体" w:cs="Times New Roman"/>
                <w:color w:val="auto"/>
                <w:sz w:val="24"/>
                <w:szCs w:val="24"/>
                <w:highlight w:val="none"/>
              </w:rPr>
              <w:t>+V</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eastAsia="宋体" w:cs="Times New Roman"/>
                <w:color w:val="auto"/>
                <w:sz w:val="24"/>
                <w:szCs w:val="24"/>
                <w:highlight w:val="none"/>
              </w:rPr>
              <w:t>-V</w:t>
            </w:r>
            <w:r>
              <w:rPr>
                <w:rFonts w:hint="default" w:ascii="Times New Roman" w:hAnsi="Times New Roman" w:eastAsia="宋体" w:cs="Times New Roman"/>
                <w:color w:val="auto"/>
                <w:sz w:val="24"/>
                <w:szCs w:val="24"/>
                <w:highlight w:val="none"/>
                <w:vertAlign w:val="subscript"/>
              </w:rPr>
              <w:t>3</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vertAlign w:val="subscript"/>
              </w:rPr>
              <w:t>max</w:t>
            </w:r>
            <w:r>
              <w:rPr>
                <w:rFonts w:hint="default" w:ascii="Times New Roman" w:hAnsi="Times New Roman" w:eastAsia="宋体" w:cs="Times New Roman"/>
                <w:color w:val="auto"/>
                <w:sz w:val="24"/>
                <w:szCs w:val="24"/>
                <w:highlight w:val="none"/>
              </w:rPr>
              <w:t>+V</w:t>
            </w:r>
            <w:r>
              <w:rPr>
                <w:rFonts w:hint="default" w:ascii="Times New Roman" w:hAnsi="Times New Roman" w:eastAsia="宋体" w:cs="Times New Roman"/>
                <w:color w:val="auto"/>
                <w:sz w:val="24"/>
                <w:szCs w:val="24"/>
                <w:highlight w:val="none"/>
                <w:vertAlign w:val="subscript"/>
              </w:rPr>
              <w:t>4</w:t>
            </w:r>
            <w:r>
              <w:rPr>
                <w:rFonts w:hint="default" w:ascii="Times New Roman" w:hAnsi="Times New Roman" w:eastAsia="宋体" w:cs="Times New Roman"/>
                <w:color w:val="auto"/>
                <w:sz w:val="24"/>
                <w:szCs w:val="24"/>
                <w:highlight w:val="none"/>
              </w:rPr>
              <w:t>+V</w:t>
            </w:r>
            <w:r>
              <w:rPr>
                <w:rFonts w:hint="default" w:ascii="Times New Roman" w:hAnsi="Times New Roman" w:eastAsia="宋体" w:cs="Times New Roman"/>
                <w:color w:val="auto"/>
                <w:sz w:val="24"/>
                <w:szCs w:val="24"/>
                <w:highlight w:val="none"/>
                <w:vertAlign w:val="subscript"/>
              </w:rPr>
              <w:t>5</w:t>
            </w:r>
          </w:p>
          <w:p w14:paraId="77BC0D3B">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式中：V</w:t>
            </w:r>
            <w:r>
              <w:rPr>
                <w:rFonts w:hint="default" w:ascii="Times New Roman" w:hAnsi="Times New Roman" w:eastAsia="宋体" w:cs="Times New Roman"/>
                <w:color w:val="auto"/>
                <w:sz w:val="24"/>
                <w:szCs w:val="24"/>
                <w:highlight w:val="none"/>
                <w:vertAlign w:val="subscript"/>
              </w:rPr>
              <w:t>1</w:t>
            </w:r>
            <w:r>
              <w:rPr>
                <w:rFonts w:hint="default" w:ascii="Times New Roman" w:hAnsi="Times New Roman" w:eastAsia="宋体" w:cs="Times New Roman"/>
                <w:color w:val="auto"/>
                <w:sz w:val="24"/>
                <w:szCs w:val="24"/>
                <w:highlight w:val="none"/>
              </w:rPr>
              <w:t>—收集系统范围内发生事故的一个罐组或一套装置的物料量。</w:t>
            </w:r>
          </w:p>
          <w:p w14:paraId="09937417">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项目所用化学品、原辅材料等不使用时封闭储存于化学品仓或原料仓中，化学品仓和危废间已做好防渗措施，</w:t>
            </w:r>
            <w:r>
              <w:rPr>
                <w:rFonts w:hint="default" w:ascii="Times New Roman" w:hAnsi="Times New Roman" w:cs="Times New Roman"/>
                <w:color w:val="auto"/>
                <w:sz w:val="24"/>
                <w:szCs w:val="24"/>
                <w:highlight w:val="none"/>
                <w:lang w:val="en-US" w:eastAsia="zh-CN"/>
              </w:rPr>
              <w:t>取各构筑物内最大一个液态物料储存容器的容积，本项目</w:t>
            </w:r>
            <w:r>
              <w:rPr>
                <w:rFonts w:hint="eastAsia" w:cs="Times New Roman"/>
                <w:color w:val="auto"/>
                <w:sz w:val="24"/>
                <w:szCs w:val="24"/>
                <w:highlight w:val="none"/>
                <w:lang w:val="en-US" w:eastAsia="zh-CN"/>
              </w:rPr>
              <w:t>不涉及液体物理</w:t>
            </w:r>
            <w:r>
              <w:rPr>
                <w:rFonts w:hint="default" w:ascii="Times New Roman" w:hAnsi="Times New Roman" w:cs="Times New Roman"/>
                <w:color w:val="auto"/>
                <w:sz w:val="24"/>
                <w:szCs w:val="24"/>
                <w:highlight w:val="none"/>
                <w:vertAlign w:val="baseline"/>
                <w:lang w:val="en-US" w:eastAsia="zh-CN"/>
              </w:rPr>
              <w:t>，即</w:t>
            </w:r>
            <w:r>
              <w:rPr>
                <w:rFonts w:hint="default" w:ascii="Times New Roman" w:hAnsi="Times New Roman" w:cs="Times New Roman"/>
                <w:color w:val="auto"/>
                <w:sz w:val="24"/>
                <w:szCs w:val="24"/>
                <w:highlight w:val="none"/>
                <w:lang w:eastAsia="zh-CN"/>
              </w:rPr>
              <w:t>V</w:t>
            </w:r>
            <w:r>
              <w:rPr>
                <w:rFonts w:hint="default" w:ascii="Times New Roman" w:hAnsi="Times New Roman" w:cs="Times New Roman"/>
                <w:color w:val="auto"/>
                <w:sz w:val="24"/>
                <w:szCs w:val="24"/>
                <w:highlight w:val="none"/>
                <w:vertAlign w:val="subscript"/>
                <w:lang w:val="en-US" w:eastAsia="zh-CN"/>
              </w:rPr>
              <w:t>1</w:t>
            </w:r>
            <w:r>
              <w:rPr>
                <w:rFonts w:hint="default" w:ascii="Times New Roman" w:hAnsi="Times New Roman" w:cs="Times New Roman"/>
                <w:color w:val="auto"/>
                <w:sz w:val="24"/>
                <w:szCs w:val="24"/>
                <w:highlight w:val="none"/>
                <w:lang w:eastAsia="zh-CN"/>
              </w:rPr>
              <w:t>=</w:t>
            </w:r>
            <w:r>
              <w:rPr>
                <w:rFonts w:hint="eastAsia" w:cs="Times New Roman"/>
                <w:color w:val="auto"/>
                <w:sz w:val="24"/>
                <w:szCs w:val="24"/>
                <w:highlight w:val="none"/>
                <w:lang w:val="en-US" w:eastAsia="zh-CN"/>
              </w:rPr>
              <w:t>0</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cs="Times New Roman"/>
                <w:color w:val="auto"/>
                <w:sz w:val="24"/>
                <w:szCs w:val="24"/>
                <w:highlight w:val="none"/>
                <w:lang w:eastAsia="zh-CN"/>
              </w:rPr>
              <w:t>；</w:t>
            </w:r>
          </w:p>
          <w:p w14:paraId="22F4E1BB">
            <w:pPr>
              <w:pStyle w:val="2"/>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V</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eastAsia="宋体" w:cs="Times New Roman"/>
                <w:color w:val="auto"/>
                <w:sz w:val="24"/>
                <w:szCs w:val="24"/>
                <w:highlight w:val="none"/>
              </w:rPr>
              <w:t>—发生事故的储罐或装置的消防水量</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w:t>
            </w:r>
          </w:p>
          <w:p w14:paraId="0F275A78">
            <w:pPr>
              <w:pStyle w:val="2"/>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根据《消防给水及消火栓系统技术规范》（GB50974-2014），“1 工厂、堆场和储罐区等，当占地面积小于等于 100hm</w:t>
            </w:r>
            <w:r>
              <w:rPr>
                <w:rFonts w:hint="default" w:ascii="Times New Roman" w:hAnsi="Times New Roman" w:eastAsia="宋体"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lang w:val="en-US" w:eastAsia="zh-CN"/>
              </w:rPr>
              <w:t>，且附有居住区人数小于等于 1.5 万人时，同一时间内的火灾起数应按 1 起确定”，因此，确定项目同一时间内的火灾起数为 1，按最不利原则，建筑面积最大的生产楼火灾事故计。</w:t>
            </w:r>
          </w:p>
          <w:p w14:paraId="57BDB611">
            <w:pPr>
              <w:pStyle w:val="2"/>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本项目生产楼总高度约为</w:t>
            </w:r>
            <w:r>
              <w:rPr>
                <w:rFonts w:hint="eastAsia" w:ascii="Times New Roman" w:eastAsia="宋体"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val="en-US" w:eastAsia="zh-CN"/>
              </w:rPr>
              <w:t>m，占地面积为</w:t>
            </w:r>
            <w:r>
              <w:rPr>
                <w:rFonts w:hint="eastAsia" w:ascii="Times New Roman" w:eastAsia="宋体" w:cs="Times New Roman"/>
                <w:color w:val="auto"/>
                <w:sz w:val="24"/>
                <w:szCs w:val="24"/>
                <w:highlight w:val="none"/>
                <w:lang w:val="en-US" w:eastAsia="zh-CN"/>
              </w:rPr>
              <w:t>3420</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lang w:val="en-US" w:eastAsia="zh-CN"/>
              </w:rPr>
              <w:t>，建筑体积为</w:t>
            </w:r>
            <w:r>
              <w:rPr>
                <w:rFonts w:hint="eastAsia" w:ascii="Times New Roman" w:eastAsia="宋体" w:cs="Times New Roman"/>
                <w:color w:val="auto"/>
                <w:sz w:val="24"/>
                <w:szCs w:val="24"/>
                <w:highlight w:val="none"/>
                <w:lang w:val="en-US" w:eastAsia="zh-CN"/>
              </w:rPr>
              <w:t>27360</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。根据《消防给水及消防栓系统技术规范》（GB50974-2014）表 3.6.2，本项目厂房为</w:t>
            </w:r>
            <w:r>
              <w:rPr>
                <w:rFonts w:hint="eastAsia" w:ascii="Times New Roman" w:eastAsia="宋体" w:cs="Times New Roman"/>
                <w:color w:val="auto"/>
                <w:sz w:val="24"/>
                <w:szCs w:val="24"/>
                <w:highlight w:val="none"/>
                <w:lang w:val="en-US" w:eastAsia="zh-CN"/>
              </w:rPr>
              <w:t>丁</w:t>
            </w:r>
            <w:r>
              <w:rPr>
                <w:rFonts w:hint="default" w:ascii="Times New Roman" w:hAnsi="Times New Roman" w:eastAsia="宋体" w:cs="Times New Roman"/>
                <w:color w:val="auto"/>
                <w:sz w:val="24"/>
                <w:szCs w:val="24"/>
                <w:highlight w:val="none"/>
                <w:lang w:val="en-US" w:eastAsia="zh-CN"/>
              </w:rPr>
              <w:t xml:space="preserve">类厂房的火灾延续时间按 </w:t>
            </w:r>
            <w:r>
              <w:rPr>
                <w:rFonts w:hint="eastAsia" w:asci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CN"/>
              </w:rPr>
              <w:t xml:space="preserve">h 计，根据消防用水量计算值，室外消防栓设计流量为 </w:t>
            </w:r>
            <w:r>
              <w:rPr>
                <w:rFonts w:hint="eastAsia" w:ascii="Times New Roman" w:eastAsia="宋体" w:cs="Times New Roman"/>
                <w:color w:val="auto"/>
                <w:sz w:val="24"/>
                <w:szCs w:val="24"/>
                <w:highlight w:val="none"/>
                <w:lang w:val="en-US" w:eastAsia="zh-CN"/>
              </w:rPr>
              <w:t>20</w:t>
            </w:r>
            <w:r>
              <w:rPr>
                <w:rFonts w:hint="default" w:ascii="Times New Roman" w:hAnsi="Times New Roman" w:eastAsia="宋体" w:cs="Times New Roman"/>
                <w:color w:val="auto"/>
                <w:sz w:val="24"/>
                <w:szCs w:val="24"/>
                <w:highlight w:val="none"/>
                <w:lang w:val="en-US" w:eastAsia="zh-CN"/>
              </w:rPr>
              <w:t xml:space="preserve">L/s，火灾延续时间为 </w:t>
            </w:r>
            <w:r>
              <w:rPr>
                <w:rFonts w:hint="eastAsia" w:asci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CN"/>
              </w:rPr>
              <w:t xml:space="preserve"> 小时；室内消防栓设计流量为25L/s，火灾延续时间为 3 小时，V</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（室外）=20/1000*</w:t>
            </w:r>
            <w:r>
              <w:rPr>
                <w:rFonts w:hint="eastAsia" w:asci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CN"/>
              </w:rPr>
              <w:t>*3600=</w:t>
            </w:r>
            <w:r>
              <w:rPr>
                <w:rFonts w:hint="eastAsia" w:ascii="Times New Roman" w:eastAsia="宋体" w:cs="Times New Roman"/>
                <w:color w:val="auto"/>
                <w:sz w:val="24"/>
                <w:szCs w:val="24"/>
                <w:highlight w:val="none"/>
                <w:lang w:val="en-US" w:eastAsia="zh-CN"/>
              </w:rPr>
              <w:t>216</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，V</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（室内）25/1000*3600*</w:t>
            </w:r>
            <w:r>
              <w:rPr>
                <w:rFonts w:hint="eastAsia" w:asci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CN"/>
              </w:rPr>
              <w:t>=</w:t>
            </w:r>
            <w:r>
              <w:rPr>
                <w:rFonts w:hint="eastAsia" w:ascii="Times New Roman" w:eastAsia="宋体" w:cs="Times New Roman"/>
                <w:color w:val="auto"/>
                <w:sz w:val="24"/>
                <w:szCs w:val="24"/>
                <w:highlight w:val="none"/>
                <w:lang w:val="en-US" w:eastAsia="zh-CN"/>
              </w:rPr>
              <w:t>27</w:t>
            </w:r>
            <w:r>
              <w:rPr>
                <w:rFonts w:hint="default" w:ascii="Times New Roman" w:hAnsi="Times New Roman" w:eastAsia="宋体" w:cs="Times New Roman"/>
                <w:color w:val="auto"/>
                <w:sz w:val="24"/>
                <w:szCs w:val="24"/>
                <w:highlight w:val="none"/>
                <w:lang w:val="en-US" w:eastAsia="zh-CN"/>
              </w:rPr>
              <w:t>0m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即</w:t>
            </w:r>
            <w:r>
              <w:rPr>
                <w:rFonts w:hint="default" w:ascii="Times New Roman" w:hAnsi="Times New Roman" w:eastAsia="宋体" w:cs="Times New Roman"/>
                <w:color w:val="auto"/>
                <w:sz w:val="24"/>
                <w:szCs w:val="24"/>
                <w:highlight w:val="none"/>
              </w:rPr>
              <w:t>V</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cs="Times New Roman"/>
                <w:color w:val="auto"/>
                <w:sz w:val="24"/>
                <w:szCs w:val="24"/>
                <w:highlight w:val="none"/>
                <w:lang w:eastAsia="zh-CN"/>
              </w:rPr>
              <w:t>=</w:t>
            </w:r>
            <w:r>
              <w:rPr>
                <w:rFonts w:hint="eastAsia" w:ascii="Times New Roman" w:cs="Times New Roman"/>
                <w:color w:val="auto"/>
                <w:sz w:val="24"/>
                <w:szCs w:val="24"/>
                <w:highlight w:val="none"/>
                <w:lang w:val="en-US" w:eastAsia="zh-CN"/>
              </w:rPr>
              <w:t>216+270=486</w:t>
            </w:r>
            <w:r>
              <w:rPr>
                <w:rFonts w:hint="default" w:ascii="Times New Roman" w:hAnsi="Times New Roman" w:cs="Times New Roman"/>
                <w:color w:val="auto"/>
                <w:sz w:val="24"/>
                <w:szCs w:val="24"/>
                <w:highlight w:val="none"/>
                <w:lang w:eastAsia="zh-CN"/>
              </w:rPr>
              <w:t>m</w:t>
            </w:r>
            <w:r>
              <w:rPr>
                <w:rFonts w:hint="default" w:ascii="Times New Roman" w:hAnsi="Times New Roman" w:cs="Times New Roman"/>
                <w:color w:val="auto"/>
                <w:sz w:val="24"/>
                <w:szCs w:val="24"/>
                <w:highlight w:val="none"/>
                <w:vertAlign w:val="superscript"/>
                <w:lang w:eastAsia="zh-CN"/>
              </w:rPr>
              <w:t>3</w:t>
            </w:r>
            <w:r>
              <w:rPr>
                <w:rFonts w:hint="eastAsia" w:ascii="Times New Roman" w:cs="Times New Roman"/>
                <w:color w:val="auto"/>
                <w:sz w:val="24"/>
                <w:szCs w:val="24"/>
                <w:highlight w:val="none"/>
                <w:lang w:val="en-US" w:eastAsia="zh-CN"/>
              </w:rPr>
              <w:t>。</w:t>
            </w:r>
          </w:p>
          <w:p w14:paraId="271E0C55">
            <w:pPr>
              <w:pStyle w:val="2"/>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V</w:t>
            </w:r>
            <w:r>
              <w:rPr>
                <w:rFonts w:hint="default" w:ascii="Times New Roman" w:hAnsi="Times New Roman" w:eastAsia="宋体" w:cs="Times New Roman"/>
                <w:color w:val="auto"/>
                <w:sz w:val="24"/>
                <w:szCs w:val="24"/>
                <w:highlight w:val="none"/>
                <w:vertAlign w:val="subscript"/>
              </w:rPr>
              <w:t>3</w:t>
            </w:r>
            <w:r>
              <w:rPr>
                <w:rFonts w:hint="default" w:ascii="Times New Roman" w:hAnsi="Times New Roman" w:eastAsia="宋体" w:cs="Times New Roman"/>
                <w:color w:val="auto"/>
                <w:sz w:val="24"/>
                <w:szCs w:val="24"/>
                <w:highlight w:val="none"/>
              </w:rPr>
              <w:t>—发生事故时可以转输到其他储存或处理设施的物料量，m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；①本项目生产车间设缓坡的方式对消防废水进行暂存，合计面积约</w:t>
            </w:r>
            <w:r>
              <w:rPr>
                <w:rFonts w:hint="eastAsia" w:ascii="Times New Roman" w:eastAsia="宋体" w:cs="Times New Roman"/>
                <w:color w:val="auto"/>
                <w:sz w:val="24"/>
                <w:szCs w:val="24"/>
                <w:highlight w:val="none"/>
                <w:lang w:val="en-US" w:eastAsia="zh-CN"/>
              </w:rPr>
              <w:t>3420</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2</w:t>
            </w:r>
            <w:r>
              <w:rPr>
                <w:rFonts w:hint="default" w:ascii="Times New Roman" w:hAnsi="Times New Roman" w:eastAsia="宋体" w:cs="Times New Roman"/>
                <w:color w:val="auto"/>
                <w:sz w:val="24"/>
                <w:szCs w:val="24"/>
                <w:highlight w:val="none"/>
              </w:rPr>
              <w:t>，取 80%为有效暂存面积（即</w:t>
            </w:r>
            <w:r>
              <w:rPr>
                <w:rFonts w:hint="eastAsia" w:ascii="Times New Roman" w:eastAsia="宋体" w:cs="Times New Roman"/>
                <w:color w:val="auto"/>
                <w:sz w:val="24"/>
                <w:szCs w:val="24"/>
                <w:highlight w:val="none"/>
                <w:lang w:val="en-US" w:eastAsia="zh-CN"/>
              </w:rPr>
              <w:t>2736</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2</w:t>
            </w:r>
            <w:r>
              <w:rPr>
                <w:rFonts w:hint="default" w:ascii="Times New Roman" w:hAnsi="Times New Roman" w:eastAsia="宋体" w:cs="Times New Roman"/>
                <w:color w:val="auto"/>
                <w:sz w:val="24"/>
                <w:szCs w:val="24"/>
                <w:highlight w:val="none"/>
              </w:rPr>
              <w:t>），缓坡高度为 10cm，则可容纳废水量约为</w:t>
            </w:r>
            <w:r>
              <w:rPr>
                <w:rFonts w:hint="eastAsia" w:ascii="Times New Roman" w:eastAsia="宋体" w:cs="Times New Roman"/>
                <w:color w:val="auto"/>
                <w:sz w:val="24"/>
                <w:szCs w:val="24"/>
                <w:highlight w:val="none"/>
                <w:lang w:val="en-US" w:eastAsia="zh-CN"/>
              </w:rPr>
              <w:t>273.6</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w:t>
            </w:r>
            <w:r>
              <w:rPr>
                <w:rFonts w:hint="default" w:ascii="Times New Roman" w:hAnsi="Times New Roman" w:cs="Times New Roman"/>
                <w:color w:val="auto"/>
                <w:kern w:val="0"/>
                <w:sz w:val="24"/>
                <w:szCs w:val="24"/>
                <w:highlight w:val="none"/>
                <w:lang w:val="en-US" w:eastAsia="zh-CN"/>
              </w:rPr>
              <w:t>本项目V</w:t>
            </w:r>
            <w:r>
              <w:rPr>
                <w:rFonts w:hint="default" w:ascii="Times New Roman" w:hAnsi="Times New Roman" w:cs="Times New Roman"/>
                <w:color w:val="auto"/>
                <w:kern w:val="0"/>
                <w:sz w:val="24"/>
                <w:szCs w:val="24"/>
                <w:highlight w:val="none"/>
                <w:vertAlign w:val="subscript"/>
                <w:lang w:val="en-US" w:eastAsia="zh-CN"/>
              </w:rPr>
              <w:t>3</w:t>
            </w:r>
            <w:r>
              <w:rPr>
                <w:rFonts w:hint="default" w:ascii="Times New Roman" w:hAnsi="Times New Roman" w:cs="Times New Roman"/>
                <w:color w:val="auto"/>
                <w:kern w:val="0"/>
                <w:sz w:val="24"/>
                <w:szCs w:val="24"/>
                <w:highlight w:val="none"/>
                <w:lang w:val="en-US" w:eastAsia="zh-CN"/>
              </w:rPr>
              <w:t>=</w:t>
            </w:r>
            <w:r>
              <w:rPr>
                <w:rFonts w:hint="eastAsia" w:ascii="Times New Roman" w:cs="Times New Roman"/>
                <w:color w:val="auto"/>
                <w:kern w:val="0"/>
                <w:sz w:val="24"/>
                <w:szCs w:val="24"/>
                <w:highlight w:val="none"/>
                <w:lang w:val="en-US" w:eastAsia="zh-CN"/>
              </w:rPr>
              <w:t>273.6</w:t>
            </w:r>
            <w:r>
              <w:rPr>
                <w:rFonts w:hint="default" w:ascii="Times New Roman" w:hAnsi="Times New Roman" w:cs="Times New Roman"/>
                <w:color w:val="auto"/>
                <w:kern w:val="0"/>
                <w:sz w:val="24"/>
                <w:szCs w:val="24"/>
                <w:highlight w:val="none"/>
                <w:lang w:val="en-US" w:eastAsia="zh-CN"/>
              </w:rPr>
              <w:t>m</w:t>
            </w:r>
            <w:r>
              <w:rPr>
                <w:rFonts w:hint="default" w:ascii="Times New Roman" w:hAnsi="Times New Roman" w:cs="Times New Roman"/>
                <w:color w:val="auto"/>
                <w:kern w:val="0"/>
                <w:sz w:val="24"/>
                <w:szCs w:val="24"/>
                <w:highlight w:val="none"/>
                <w:vertAlign w:val="superscript"/>
                <w:lang w:val="en-US" w:eastAsia="zh-CN"/>
              </w:rPr>
              <w:t>3</w:t>
            </w:r>
            <w:r>
              <w:rPr>
                <w:rFonts w:hint="default" w:ascii="Times New Roman" w:hAnsi="Times New Roman" w:cs="Times New Roman"/>
                <w:color w:val="auto"/>
                <w:kern w:val="0"/>
                <w:sz w:val="24"/>
                <w:szCs w:val="24"/>
                <w:highlight w:val="none"/>
                <w:vertAlign w:val="baseline"/>
                <w:lang w:val="en-US" w:eastAsia="zh-CN"/>
              </w:rPr>
              <w:t>。</w:t>
            </w:r>
          </w:p>
          <w:p w14:paraId="0186F9FC">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V</w:t>
            </w:r>
            <w:r>
              <w:rPr>
                <w:rFonts w:hint="default" w:ascii="Times New Roman" w:hAnsi="Times New Roman" w:eastAsia="宋体" w:cs="Times New Roman"/>
                <w:color w:val="auto"/>
                <w:sz w:val="24"/>
                <w:szCs w:val="24"/>
                <w:highlight w:val="none"/>
                <w:vertAlign w:val="subscript"/>
              </w:rPr>
              <w:t>4</w:t>
            </w:r>
            <w:r>
              <w:rPr>
                <w:rFonts w:hint="default" w:ascii="Times New Roman" w:hAnsi="Times New Roman" w:eastAsia="宋体" w:cs="Times New Roman"/>
                <w:color w:val="auto"/>
                <w:sz w:val="24"/>
                <w:szCs w:val="24"/>
                <w:highlight w:val="none"/>
              </w:rPr>
              <w:t>—发生事故时仍必须进入该收集系统的生产废水量，m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w:t>
            </w:r>
            <w:r>
              <w:rPr>
                <w:rFonts w:hint="eastAsia" w:cs="Times New Roman"/>
                <w:color w:val="auto"/>
                <w:sz w:val="24"/>
                <w:szCs w:val="24"/>
                <w:highlight w:val="none"/>
                <w:lang w:val="en-US" w:eastAsia="zh-CN"/>
              </w:rPr>
              <w:t>本项目无生产废水产生</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eastAsia="zh-CN"/>
              </w:rPr>
              <w:t>故</w:t>
            </w:r>
            <w:r>
              <w:rPr>
                <w:rFonts w:hint="default" w:ascii="Times New Roman" w:hAnsi="Times New Roman" w:cs="Times New Roman"/>
                <w:color w:val="auto"/>
                <w:sz w:val="24"/>
                <w:szCs w:val="24"/>
                <w:highlight w:val="none"/>
                <w:lang w:val="en-US" w:eastAsia="zh-CN"/>
              </w:rPr>
              <w:t>V</w:t>
            </w:r>
            <w:r>
              <w:rPr>
                <w:rFonts w:hint="default" w:ascii="Times New Roman" w:hAnsi="Times New Roman" w:cs="Times New Roman"/>
                <w:color w:val="auto"/>
                <w:sz w:val="24"/>
                <w:szCs w:val="24"/>
                <w:highlight w:val="none"/>
                <w:vertAlign w:val="subscript"/>
                <w:lang w:val="en-US" w:eastAsia="zh-CN"/>
              </w:rPr>
              <w:t>4</w:t>
            </w:r>
            <w:r>
              <w:rPr>
                <w:rFonts w:hint="default" w:ascii="Times New Roman" w:hAnsi="Times New Roman" w:cs="Times New Roman"/>
                <w:color w:val="auto"/>
                <w:sz w:val="24"/>
                <w:szCs w:val="24"/>
                <w:highlight w:val="none"/>
                <w:lang w:val="en-US" w:eastAsia="zh-CN"/>
              </w:rPr>
              <w:t>=0</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lang w:eastAsia="zh-CN"/>
              </w:rPr>
              <w:t>；</w:t>
            </w:r>
          </w:p>
          <w:p w14:paraId="122B953B">
            <w:pPr>
              <w:keepNext w:val="0"/>
              <w:keepLines w:val="0"/>
              <w:suppressLineNumbers w:val="0"/>
              <w:spacing w:before="0" w:beforeAutospacing="0" w:after="0" w:afterAutospacing="0" w:line="360" w:lineRule="auto"/>
              <w:ind w:left="0" w:right="0" w:firstLine="560"/>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V</w:t>
            </w:r>
            <w:r>
              <w:rPr>
                <w:rFonts w:hint="default" w:ascii="Times New Roman" w:hAnsi="Times New Roman" w:eastAsia="宋体" w:cs="Times New Roman"/>
                <w:color w:val="auto"/>
                <w:sz w:val="24"/>
                <w:szCs w:val="24"/>
                <w:highlight w:val="none"/>
                <w:vertAlign w:val="subscript"/>
              </w:rPr>
              <w:t>5</w:t>
            </w:r>
            <w:r>
              <w:rPr>
                <w:rFonts w:hint="default" w:ascii="Times New Roman" w:hAnsi="Times New Roman" w:eastAsia="宋体" w:cs="Times New Roman"/>
                <w:color w:val="auto"/>
                <w:sz w:val="24"/>
                <w:szCs w:val="24"/>
                <w:highlight w:val="none"/>
              </w:rPr>
              <w:t>—发生事故时可能进入该收集系统的降雨量，m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cs="Times New Roman"/>
                <w:color w:val="auto"/>
                <w:sz w:val="24"/>
                <w:szCs w:val="24"/>
                <w:highlight w:val="none"/>
                <w:lang w:eastAsia="zh-CN"/>
              </w:rPr>
              <w:t>。</w:t>
            </w:r>
          </w:p>
          <w:p w14:paraId="6DFE7C8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0" w:firstLineChars="0"/>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V</w:t>
            </w:r>
            <w:r>
              <w:rPr>
                <w:rFonts w:hint="default" w:ascii="Times New Roman" w:hAnsi="Times New Roman" w:eastAsia="宋体" w:cs="Times New Roman"/>
                <w:color w:val="auto"/>
                <w:kern w:val="0"/>
                <w:sz w:val="24"/>
                <w:szCs w:val="24"/>
                <w:highlight w:val="none"/>
                <w:vertAlign w:val="subscript"/>
              </w:rPr>
              <w:t>5</w:t>
            </w:r>
            <w:r>
              <w:rPr>
                <w:rFonts w:hint="default" w:ascii="Times New Roman" w:hAnsi="Times New Roman" w:eastAsia="宋体" w:cs="Times New Roman"/>
                <w:color w:val="auto"/>
                <w:kern w:val="0"/>
                <w:sz w:val="24"/>
                <w:szCs w:val="24"/>
                <w:highlight w:val="none"/>
              </w:rPr>
              <w:t>=10qF</w:t>
            </w:r>
            <w:r>
              <w:rPr>
                <w:rFonts w:hint="default" w:ascii="Times New Roman" w:hAnsi="Times New Roman" w:cs="Times New Roman"/>
                <w:color w:val="auto"/>
                <w:kern w:val="0"/>
                <w:sz w:val="24"/>
                <w:szCs w:val="24"/>
                <w:highlight w:val="none"/>
                <w:lang w:val="en-US" w:eastAsia="zh-CN"/>
              </w:rPr>
              <w:t>a</w:t>
            </w:r>
            <w:r>
              <w:rPr>
                <w:rFonts w:hint="default" w:ascii="Times New Roman" w:hAnsi="Times New Roman" w:eastAsia="宋体" w:cs="Times New Roman"/>
                <w:color w:val="auto"/>
                <w:kern w:val="0"/>
                <w:sz w:val="24"/>
                <w:szCs w:val="24"/>
                <w:highlight w:val="none"/>
              </w:rPr>
              <w:t>；</w:t>
            </w:r>
          </w:p>
          <w:p w14:paraId="33A98E4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rPr>
              <w:t>q——降雨强度，按平均日降雨量</w:t>
            </w:r>
            <w:r>
              <w:rPr>
                <w:rFonts w:hint="default" w:ascii="Times New Roman" w:hAnsi="Times New Roman" w:eastAsia="宋体" w:cs="Times New Roman"/>
                <w:color w:val="auto"/>
                <w:kern w:val="0"/>
                <w:sz w:val="24"/>
                <w:szCs w:val="24"/>
                <w:highlight w:val="none"/>
                <w:lang w:eastAsia="zh-CN"/>
              </w:rPr>
              <w:t>，mm；</w:t>
            </w:r>
            <w:r>
              <w:rPr>
                <w:rFonts w:hint="default" w:ascii="Times New Roman" w:hAnsi="Times New Roman" w:eastAsia="宋体" w:cs="Times New Roman"/>
                <w:color w:val="auto"/>
                <w:kern w:val="0"/>
                <w:sz w:val="24"/>
                <w:szCs w:val="24"/>
                <w:highlight w:val="none"/>
                <w:lang w:val="en-US" w:eastAsia="zh-CN"/>
              </w:rPr>
              <w:t>根据</w:t>
            </w:r>
            <w:r>
              <w:rPr>
                <w:rFonts w:hint="default" w:ascii="Times New Roman" w:hAnsi="Times New Roman" w:eastAsia="宋体" w:cs="Times New Roman"/>
                <w:color w:val="auto"/>
                <w:kern w:val="0"/>
                <w:sz w:val="24"/>
                <w:szCs w:val="24"/>
                <w:highlight w:val="none"/>
              </w:rPr>
              <w:t>《水体污染防控紧急措施设计导则》，降雨强度按一年内降雨天数内的平均日降雨强度计</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lang w:val="en-US" w:eastAsia="zh-CN"/>
              </w:rPr>
              <w:t>q=q</w:t>
            </w:r>
            <w:r>
              <w:rPr>
                <w:rFonts w:hint="default" w:ascii="Times New Roman" w:hAnsi="Times New Roman" w:eastAsia="宋体" w:cs="Times New Roman"/>
                <w:color w:val="auto"/>
                <w:kern w:val="0"/>
                <w:sz w:val="24"/>
                <w:szCs w:val="24"/>
                <w:highlight w:val="none"/>
                <w:vertAlign w:val="subscript"/>
                <w:lang w:val="en-US" w:eastAsia="zh-CN"/>
              </w:rPr>
              <w:t>a</w:t>
            </w:r>
            <w:r>
              <w:rPr>
                <w:rFonts w:hint="default" w:ascii="Times New Roman" w:hAnsi="Times New Roman" w:eastAsia="宋体" w:cs="Times New Roman"/>
                <w:color w:val="auto"/>
                <w:kern w:val="0"/>
                <w:sz w:val="24"/>
                <w:szCs w:val="24"/>
                <w:highlight w:val="none"/>
                <w:lang w:val="en-US" w:eastAsia="zh-CN"/>
              </w:rPr>
              <w:t>/n；</w:t>
            </w:r>
          </w:p>
          <w:p w14:paraId="349FC93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qa</w:t>
            </w:r>
            <w:r>
              <w:rPr>
                <w:rFonts w:hint="default" w:ascii="Times New Roman" w:hAnsi="Times New Roman" w:eastAsia="宋体" w:cs="Times New Roman"/>
                <w:color w:val="auto"/>
                <w:kern w:val="0"/>
                <w:sz w:val="24"/>
                <w:szCs w:val="24"/>
                <w:highlight w:val="none"/>
              </w:rPr>
              <w:t>——</w:t>
            </w:r>
            <w:r>
              <w:rPr>
                <w:rFonts w:hint="default" w:ascii="Times New Roman" w:hAnsi="Times New Roman" w:eastAsia="宋体" w:cs="Times New Roman"/>
                <w:color w:val="auto"/>
                <w:kern w:val="0"/>
                <w:sz w:val="24"/>
                <w:szCs w:val="24"/>
                <w:highlight w:val="none"/>
                <w:lang w:val="en-US" w:eastAsia="zh-CN"/>
              </w:rPr>
              <w:t>年平均降雨量，mm；</w:t>
            </w:r>
          </w:p>
          <w:p w14:paraId="3F421C2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n</w:t>
            </w:r>
            <w:r>
              <w:rPr>
                <w:rFonts w:hint="default" w:ascii="Times New Roman" w:hAnsi="Times New Roman" w:eastAsia="宋体" w:cs="Times New Roman"/>
                <w:color w:val="auto"/>
                <w:kern w:val="0"/>
                <w:sz w:val="24"/>
                <w:szCs w:val="24"/>
                <w:highlight w:val="none"/>
              </w:rPr>
              <w:t>——</w:t>
            </w:r>
            <w:r>
              <w:rPr>
                <w:rFonts w:hint="default" w:ascii="Times New Roman" w:hAnsi="Times New Roman" w:eastAsia="宋体" w:cs="Times New Roman"/>
                <w:color w:val="auto"/>
                <w:kern w:val="0"/>
                <w:sz w:val="24"/>
                <w:szCs w:val="24"/>
                <w:highlight w:val="none"/>
                <w:lang w:val="en-US" w:eastAsia="zh-CN"/>
              </w:rPr>
              <w:t>年平均降雨天数；</w:t>
            </w:r>
          </w:p>
          <w:p w14:paraId="16289E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F——必须进入事故废水收集系统的雨水汇水面积，ha；</w:t>
            </w:r>
          </w:p>
          <w:p w14:paraId="2014D1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a</w:t>
            </w:r>
            <w:r>
              <w:rPr>
                <w:rFonts w:hint="default" w:ascii="Times New Roman" w:hAnsi="Times New Roman" w:eastAsia="宋体" w:cs="Times New Roman"/>
                <w:color w:val="auto"/>
                <w:kern w:val="0"/>
                <w:sz w:val="24"/>
                <w:szCs w:val="24"/>
                <w:highlight w:val="none"/>
              </w:rPr>
              <w:t>——</w:t>
            </w:r>
            <w:r>
              <w:rPr>
                <w:rFonts w:hint="default" w:ascii="Times New Roman" w:hAnsi="Times New Roman" w:eastAsia="宋体" w:cs="Times New Roman"/>
                <w:color w:val="auto"/>
                <w:kern w:val="0"/>
                <w:sz w:val="24"/>
                <w:szCs w:val="24"/>
                <w:highlight w:val="none"/>
                <w:lang w:val="en-US" w:eastAsia="zh-CN"/>
              </w:rPr>
              <w:t>径流系数，取0.9。</w:t>
            </w:r>
          </w:p>
          <w:p w14:paraId="748F92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rPr>
              <w:t>根据</w:t>
            </w:r>
            <w:r>
              <w:rPr>
                <w:rFonts w:hint="default" w:ascii="Times New Roman" w:hAnsi="Times New Roman" w:eastAsia="宋体" w:cs="Times New Roman"/>
                <w:color w:val="auto"/>
                <w:kern w:val="0"/>
                <w:sz w:val="24"/>
                <w:szCs w:val="24"/>
                <w:highlight w:val="none"/>
                <w:lang w:val="en-US" w:eastAsia="zh-CN"/>
              </w:rPr>
              <w:t>可查询乐昌市生态环境状况公开数据</w:t>
            </w:r>
            <w:r>
              <w:rPr>
                <w:rFonts w:hint="default" w:ascii="Times New Roman" w:hAnsi="Times New Roman" w:eastAsia="宋体" w:cs="Times New Roman"/>
                <w:color w:val="auto"/>
                <w:kern w:val="0"/>
                <w:sz w:val="24"/>
                <w:szCs w:val="24"/>
                <w:highlight w:val="none"/>
              </w:rPr>
              <w:t>，</w:t>
            </w:r>
            <w:r>
              <w:rPr>
                <w:rFonts w:hint="default" w:ascii="Times New Roman" w:hAnsi="Times New Roman" w:eastAsia="宋体" w:cs="Times New Roman"/>
                <w:color w:val="auto"/>
                <w:kern w:val="0"/>
                <w:sz w:val="24"/>
                <w:szCs w:val="24"/>
                <w:highlight w:val="none"/>
                <w:lang w:val="en-US" w:eastAsia="zh-CN"/>
              </w:rPr>
              <w:t>乐昌市全市多年平均降雨量在1300</w:t>
            </w:r>
            <w:r>
              <w:rPr>
                <w:rFonts w:hint="default" w:ascii="Times New Roman" w:hAnsi="Times New Roman"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highlight w:val="none"/>
                <w:lang w:val="en-US" w:eastAsia="zh-CN"/>
              </w:rPr>
              <w:t>1550毫米之间，雨水多集中在4~6月。2023年全市一般年平均降雨量1531.9毫米，降雨天数为145天，本项目以此作为计算依据，</w:t>
            </w:r>
            <w:r>
              <w:rPr>
                <w:rFonts w:hint="eastAsia" w:cs="Times New Roman"/>
                <w:color w:val="auto"/>
                <w:kern w:val="0"/>
                <w:sz w:val="24"/>
                <w:szCs w:val="24"/>
                <w:highlight w:val="none"/>
                <w:lang w:val="en-US" w:eastAsia="zh-CN"/>
              </w:rPr>
              <w:t>项目已实施雨污分流，项目所有原辅材料和物料均存放在车间内，厂区外不设置物料暂存堆放区。本项目有屋面的雨水通过单独的管道进入雨水管网，事故时通过屋面的雨水未被污染，因此本次不计屋面面积，则V</w:t>
            </w:r>
            <w:r>
              <w:rPr>
                <w:rFonts w:hint="eastAsia" w:cs="Times New Roman"/>
                <w:color w:val="auto"/>
                <w:kern w:val="0"/>
                <w:sz w:val="24"/>
                <w:szCs w:val="24"/>
                <w:highlight w:val="none"/>
                <w:vertAlign w:val="subscript"/>
                <w:lang w:val="en-US" w:eastAsia="zh-CN"/>
              </w:rPr>
              <w:t>5</w:t>
            </w:r>
            <w:r>
              <w:rPr>
                <w:rFonts w:hint="eastAsia" w:cs="Times New Roman"/>
                <w:color w:val="auto"/>
                <w:kern w:val="0"/>
                <w:sz w:val="24"/>
                <w:szCs w:val="24"/>
                <w:highlight w:val="none"/>
                <w:lang w:val="en-US" w:eastAsia="zh-CN"/>
              </w:rPr>
              <w:t>≈0m</w:t>
            </w:r>
            <w:r>
              <w:rPr>
                <w:rFonts w:hint="eastAsia" w:cs="Times New Roman"/>
                <w:color w:val="auto"/>
                <w:kern w:val="0"/>
                <w:sz w:val="24"/>
                <w:szCs w:val="24"/>
                <w:highlight w:val="none"/>
                <w:vertAlign w:val="superscript"/>
                <w:lang w:val="en-US" w:eastAsia="zh-CN"/>
              </w:rPr>
              <w:t>3</w:t>
            </w:r>
            <w:r>
              <w:rPr>
                <w:rFonts w:hint="eastAsia" w:cs="Times New Roman"/>
                <w:color w:val="auto"/>
                <w:kern w:val="0"/>
                <w:sz w:val="24"/>
                <w:szCs w:val="24"/>
                <w:highlight w:val="none"/>
                <w:lang w:val="en-US" w:eastAsia="zh-CN"/>
              </w:rPr>
              <w:t>。</w:t>
            </w:r>
          </w:p>
          <w:p w14:paraId="5DDE56F1">
            <w:pPr>
              <w:pStyle w:val="28"/>
              <w:spacing w:line="360" w:lineRule="auto"/>
              <w:ind w:firstLine="480" w:firstLineChars="200"/>
              <w:rPr>
                <w:rFonts w:hint="default" w:ascii="Times New Roman" w:hAnsi="Times New Roman" w:eastAsia="宋体" w:cs="Times New Roman"/>
                <w:color w:val="auto"/>
                <w:sz w:val="24"/>
                <w:szCs w:val="24"/>
                <w:highlight w:val="none"/>
              </w:rPr>
            </w:pPr>
            <w:r>
              <w:rPr>
                <w:rFonts w:hint="eastAsia" w:cs="Times New Roman"/>
                <w:color w:val="auto"/>
                <w:sz w:val="24"/>
                <w:szCs w:val="24"/>
                <w:highlight w:val="none"/>
                <w:lang w:val="en-US" w:eastAsia="zh-CN"/>
              </w:rPr>
              <w:t>综上，</w:t>
            </w:r>
            <w:r>
              <w:rPr>
                <w:rFonts w:hint="default"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0</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486-</w:t>
            </w:r>
            <w:r>
              <w:rPr>
                <w:rFonts w:hint="eastAsia" w:ascii="Times New Roman" w:hAnsi="Times New Roman" w:cs="Times New Roman"/>
                <w:color w:val="auto"/>
                <w:sz w:val="24"/>
                <w:szCs w:val="24"/>
                <w:highlight w:val="none"/>
                <w:lang w:val="en-US" w:eastAsia="zh-CN"/>
              </w:rPr>
              <w:t>273.6</w:t>
            </w:r>
            <w:r>
              <w:rPr>
                <w:rFonts w:hint="default" w:ascii="Times New Roman" w:hAnsi="Times New Roman" w:cs="Times New Roman"/>
                <w:color w:val="auto"/>
                <w:sz w:val="24"/>
                <w:szCs w:val="24"/>
                <w:highlight w:val="none"/>
                <w:lang w:val="en-US" w:eastAsia="zh-CN"/>
              </w:rPr>
              <w:t>）max=212.4。</w:t>
            </w:r>
            <w:r>
              <w:rPr>
                <w:rFonts w:hint="default" w:ascii="Times New Roman" w:hAnsi="Times New Roman" w:eastAsia="宋体" w:cs="Times New Roman"/>
                <w:color w:val="auto"/>
                <w:sz w:val="24"/>
                <w:szCs w:val="24"/>
                <w:highlight w:val="none"/>
              </w:rPr>
              <w:t>为满足消防或其他事故时废水收集需要，</w:t>
            </w:r>
            <w:r>
              <w:rPr>
                <w:rFonts w:hint="default" w:ascii="Times New Roman" w:hAnsi="Times New Roman" w:eastAsia="宋体" w:cs="Times New Roman"/>
                <w:color w:val="auto"/>
                <w:sz w:val="24"/>
                <w:szCs w:val="24"/>
                <w:highlight w:val="none"/>
                <w:lang w:val="en-US" w:eastAsia="zh-CN"/>
              </w:rPr>
              <w:t>本项目</w:t>
            </w:r>
            <w:r>
              <w:rPr>
                <w:rFonts w:hint="default" w:ascii="Times New Roman" w:hAnsi="Times New Roman" w:eastAsia="宋体" w:cs="Times New Roman"/>
                <w:color w:val="auto"/>
                <w:sz w:val="24"/>
                <w:szCs w:val="24"/>
                <w:highlight w:val="none"/>
              </w:rPr>
              <w:t>所需的事故储存设施总有效容积V</w:t>
            </w:r>
            <w:r>
              <w:rPr>
                <w:rFonts w:hint="default" w:ascii="Times New Roman" w:hAnsi="Times New Roman" w:eastAsia="宋体" w:cs="Times New Roman"/>
                <w:color w:val="auto"/>
                <w:sz w:val="24"/>
                <w:szCs w:val="24"/>
                <w:highlight w:val="none"/>
                <w:vertAlign w:val="subscript"/>
              </w:rPr>
              <w:t>总</w:t>
            </w:r>
            <w:r>
              <w:rPr>
                <w:rFonts w:hint="default" w:ascii="Times New Roman" w:hAnsi="Times New Roman" w:eastAsia="宋体"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212.4</w:t>
            </w:r>
            <w:r>
              <w:rPr>
                <w:rFonts w:hint="default" w:ascii="Times New Roman" w:hAnsi="Times New Roman" w:eastAsia="宋体"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0+</w:t>
            </w:r>
            <w:r>
              <w:rPr>
                <w:rFonts w:hint="eastAsia" w:ascii="Times New Roman" w:hAnsi="Times New Roman" w:cs="Times New Roman"/>
                <w:color w:val="auto"/>
                <w:sz w:val="24"/>
                <w:szCs w:val="24"/>
                <w:highlight w:val="none"/>
                <w:lang w:val="en-US" w:eastAsia="zh-CN"/>
              </w:rPr>
              <w:t>0</w:t>
            </w:r>
            <w:r>
              <w:rPr>
                <w:rFonts w:hint="default" w:ascii="Times New Roman" w:hAnsi="Times New Roman" w:eastAsia="宋体"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212.4</w:t>
            </w:r>
            <w:r>
              <w:rPr>
                <w:rFonts w:hint="default" w:ascii="Times New Roman" w:hAnsi="Times New Roman" w:eastAsia="宋体" w:cs="Times New Roman"/>
                <w:color w:val="auto"/>
                <w:kern w:val="2"/>
                <w:sz w:val="24"/>
                <w:szCs w:val="24"/>
                <w:highlight w:val="none"/>
                <w:lang w:val="en-US" w:eastAsia="zh-CN" w:bidi="ar-SA"/>
              </w:rPr>
              <w:t>m</w:t>
            </w:r>
            <w:r>
              <w:rPr>
                <w:rFonts w:hint="default" w:ascii="Times New Roman" w:hAnsi="Times New Roman" w:eastAsia="宋体" w:cs="Times New Roman"/>
                <w:color w:val="auto"/>
                <w:kern w:val="2"/>
                <w:sz w:val="24"/>
                <w:szCs w:val="24"/>
                <w:highlight w:val="none"/>
                <w:vertAlign w:val="superscript"/>
                <w:lang w:val="en-US" w:eastAsia="zh-CN" w:bidi="ar-SA"/>
              </w:rPr>
              <w:t>3</w:t>
            </w:r>
            <w:r>
              <w:rPr>
                <w:rFonts w:hint="default" w:ascii="Times New Roman" w:hAnsi="Times New Roman" w:eastAsia="宋体" w:cs="Times New Roman"/>
                <w:color w:val="auto"/>
                <w:sz w:val="24"/>
                <w:szCs w:val="24"/>
                <w:highlight w:val="none"/>
              </w:rPr>
              <w:t>。</w:t>
            </w:r>
          </w:p>
          <w:p w14:paraId="248AF011">
            <w:pPr>
              <w:pStyle w:val="28"/>
              <w:spacing w:line="360" w:lineRule="auto"/>
              <w:ind w:firstLine="480" w:firstLineChars="200"/>
              <w:rPr>
                <w:color w:val="auto"/>
              </w:rPr>
            </w:pPr>
            <w:r>
              <w:rPr>
                <w:rFonts w:hint="default" w:ascii="Times New Roman" w:hAnsi="Times New Roman" w:cs="Times New Roman"/>
                <w:b w:val="0"/>
                <w:bCs w:val="0"/>
                <w:color w:val="auto"/>
                <w:sz w:val="24"/>
                <w:szCs w:val="24"/>
                <w:highlight w:val="none"/>
              </w:rPr>
              <w:t>本项目事故废水依托自建事故应急池，厂区设有1个有效容积为</w:t>
            </w:r>
            <w:r>
              <w:rPr>
                <w:rFonts w:hint="default" w:ascii="Times New Roman" w:hAnsi="Times New Roman" w:cs="Times New Roman"/>
                <w:b w:val="0"/>
                <w:bCs w:val="0"/>
                <w:color w:val="auto"/>
                <w:sz w:val="24"/>
                <w:szCs w:val="24"/>
                <w:highlight w:val="none"/>
                <w:lang w:val="en-US" w:eastAsia="zh-CN"/>
              </w:rPr>
              <w:t>220</w:t>
            </w:r>
            <w:r>
              <w:rPr>
                <w:rFonts w:hint="default" w:ascii="Times New Roman" w:hAnsi="Times New Roman" w:cs="Times New Roman"/>
                <w:b w:val="0"/>
                <w:bCs w:val="0"/>
                <w:color w:val="auto"/>
                <w:sz w:val="24"/>
                <w:szCs w:val="24"/>
                <w:highlight w:val="none"/>
              </w:rPr>
              <w:t>m</w:t>
            </w:r>
            <w:r>
              <w:rPr>
                <w:rFonts w:hint="default" w:ascii="Times New Roman" w:hAnsi="Times New Roman" w:cs="Times New Roman"/>
                <w:b w:val="0"/>
                <w:bCs w:val="0"/>
                <w:color w:val="auto"/>
                <w:sz w:val="24"/>
                <w:szCs w:val="24"/>
                <w:highlight w:val="none"/>
                <w:vertAlign w:val="superscript"/>
              </w:rPr>
              <w:t>3</w:t>
            </w:r>
            <w:r>
              <w:rPr>
                <w:rFonts w:hint="default" w:ascii="Times New Roman" w:hAnsi="Times New Roman" w:cs="Times New Roman"/>
                <w:b w:val="0"/>
                <w:bCs w:val="0"/>
                <w:color w:val="auto"/>
                <w:sz w:val="24"/>
                <w:szCs w:val="24"/>
                <w:highlight w:val="none"/>
              </w:rPr>
              <w:t>的事故应急池</w:t>
            </w:r>
            <w:r>
              <w:rPr>
                <w:rFonts w:hint="default" w:ascii="Times New Roman" w:hAnsi="Times New Roman" w:cs="Times New Roman"/>
                <w:b w:val="0"/>
                <w:bCs w:val="0"/>
                <w:color w:val="auto"/>
                <w:sz w:val="24"/>
                <w:szCs w:val="24"/>
                <w:highlight w:val="none"/>
                <w:lang w:eastAsia="zh-CN"/>
              </w:rPr>
              <w:t>，</w:t>
            </w:r>
            <w:r>
              <w:rPr>
                <w:rFonts w:hint="default" w:ascii="Times New Roman" w:hAnsi="Times New Roman" w:cs="Times New Roman"/>
                <w:b w:val="0"/>
                <w:bCs w:val="0"/>
                <w:color w:val="auto"/>
                <w:sz w:val="24"/>
                <w:szCs w:val="24"/>
                <w:highlight w:val="none"/>
              </w:rPr>
              <w:t>且本项目厂房设有围堰及沙包等应急措施及物资。当发生事故时，泄漏物料、消防废水等事故废水均能截留在厂区内。园区定期对事故应急系统进行排查，发现存在问题，马上进行检修，确保事故时能有效运行</w:t>
            </w:r>
            <w:r>
              <w:rPr>
                <w:rFonts w:hint="default" w:ascii="Times New Roman" w:hAnsi="Times New Roman" w:cs="Times New Roman"/>
                <w:b w:val="0"/>
                <w:bCs w:val="0"/>
                <w:color w:val="auto"/>
                <w:sz w:val="24"/>
                <w:szCs w:val="24"/>
                <w:highlight w:val="none"/>
                <w:lang w:eastAsia="zh-CN"/>
              </w:rPr>
              <w:t>。</w:t>
            </w:r>
          </w:p>
          <w:p w14:paraId="3163B4FF">
            <w:pPr>
              <w:pStyle w:val="10"/>
              <w:numPr>
                <w:ilvl w:val="0"/>
                <w:numId w:val="0"/>
              </w:numPr>
              <w:ind w:left="480" w:leftChars="200"/>
              <w:rPr>
                <w:rFonts w:hint="default" w:ascii="Times New Roman" w:hAnsi="Times New Roman" w:cs="Times New Roman"/>
                <w:color w:val="auto"/>
                <w:highlight w:val="none"/>
              </w:rPr>
            </w:pPr>
            <w:r>
              <w:rPr>
                <w:rFonts w:hint="default" w:ascii="Times New Roman" w:hAnsi="Times New Roman" w:cs="Times New Roman"/>
                <w:color w:val="auto"/>
                <w:highlight w:val="none"/>
              </w:rPr>
              <w:t>7、环境风险分析小结与建议</w:t>
            </w:r>
          </w:p>
          <w:p w14:paraId="502D5FA2">
            <w:pPr>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的风险物质数量较少，泄漏、火灾、爆炸等事故发生概率较低，物质泄漏、火灾、爆炸等事故下引发的伴生/次生污染物排放的风险隐患较低，环境风险潜势为Ⅰ，在落实上述防范措施后，生产过程的环境风险总体可控。</w:t>
            </w:r>
          </w:p>
          <w:p w14:paraId="78E08A8D">
            <w:pPr>
              <w:keepNext/>
              <w:keepLines/>
              <w:tabs>
                <w:tab w:val="left" w:pos="0"/>
              </w:tabs>
              <w:ind w:left="478"/>
              <w:outlineLvl w:val="2"/>
              <w:rPr>
                <w:rFonts w:hint="default" w:ascii="Times New Roman" w:hAnsi="Times New Roman" w:cs="Times New Roman"/>
                <w:b/>
                <w:bCs/>
                <w:color w:val="auto"/>
                <w:highlight w:val="none"/>
              </w:rPr>
            </w:pPr>
            <w:r>
              <w:rPr>
                <w:rFonts w:hint="eastAsia" w:cs="Times New Roman"/>
                <w:b/>
                <w:bCs/>
                <w:color w:val="auto"/>
                <w:highlight w:val="none"/>
                <w:lang w:val="en-US" w:eastAsia="zh-CN"/>
              </w:rPr>
              <w:t>8</w:t>
            </w:r>
            <w:r>
              <w:rPr>
                <w:rFonts w:hint="default" w:ascii="Times New Roman" w:hAnsi="Times New Roman" w:cs="Times New Roman"/>
                <w:b/>
                <w:bCs/>
                <w:color w:val="auto"/>
                <w:highlight w:val="none"/>
              </w:rPr>
              <w:t>、电磁辐射环境</w:t>
            </w:r>
          </w:p>
          <w:p w14:paraId="72E29C41">
            <w:pPr>
              <w:pStyle w:val="21"/>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本项目不存在电磁辐射影响。</w:t>
            </w:r>
          </w:p>
          <w:p w14:paraId="1EE40474">
            <w:pPr>
              <w:ind w:firstLine="480" w:firstLineChars="200"/>
              <w:rPr>
                <w:rFonts w:hint="default" w:ascii="Times New Roman" w:hAnsi="Times New Roman" w:cs="Times New Roman"/>
                <w:color w:val="auto"/>
                <w:highlight w:val="none"/>
              </w:rPr>
            </w:pPr>
          </w:p>
        </w:tc>
      </w:tr>
    </w:tbl>
    <w:p w14:paraId="3022D33E">
      <w:pPr>
        <w:rPr>
          <w:rFonts w:hint="default" w:ascii="Times New Roman" w:hAnsi="Times New Roman" w:cs="Times New Roman"/>
          <w:color w:val="auto"/>
          <w:highlight w:val="none"/>
        </w:rPr>
        <w:sectPr>
          <w:pgSz w:w="11906" w:h="16838"/>
          <w:pgMar w:top="1440" w:right="1417" w:bottom="1440" w:left="1417" w:header="851" w:footer="680" w:gutter="0"/>
          <w:pgBorders>
            <w:top w:val="none" w:sz="0" w:space="0"/>
            <w:left w:val="none" w:sz="0" w:space="0"/>
            <w:bottom w:val="none" w:sz="0" w:space="0"/>
            <w:right w:val="none" w:sz="0" w:space="0"/>
          </w:pgBorders>
          <w:pgNumType w:fmt="decimal"/>
          <w:cols w:space="720" w:num="1"/>
          <w:docGrid w:type="linesAndChars" w:linePitch="312" w:charSpace="0"/>
        </w:sectPr>
      </w:pPr>
    </w:p>
    <w:p w14:paraId="0DA571F4">
      <w:pPr>
        <w:pStyle w:val="7"/>
        <w:numPr>
          <w:ilvl w:val="0"/>
          <w:numId w:val="0"/>
        </w:numPr>
        <w:rPr>
          <w:rFonts w:hint="default" w:ascii="Times New Roman" w:hAnsi="Times New Roman" w:cs="Times New Roman"/>
          <w:color w:val="auto"/>
          <w:highlight w:val="none"/>
        </w:rPr>
      </w:pPr>
      <w:bookmarkStart w:id="114" w:name="_Toc3213"/>
      <w:bookmarkStart w:id="115" w:name="_Toc26895"/>
      <w:r>
        <w:rPr>
          <w:rFonts w:hint="default" w:ascii="Times New Roman" w:hAnsi="Times New Roman" w:cs="Times New Roman"/>
          <w:color w:val="auto"/>
          <w:highlight w:val="none"/>
        </w:rPr>
        <w:t>五、环境保护措施监督检查清单</w:t>
      </w:r>
      <w:bookmarkEnd w:id="111"/>
      <w:bookmarkEnd w:id="114"/>
      <w:bookmarkEnd w:id="115"/>
    </w:p>
    <w:tbl>
      <w:tblPr>
        <w:tblStyle w:val="4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998"/>
        <w:gridCol w:w="1121"/>
        <w:gridCol w:w="1544"/>
        <w:gridCol w:w="2417"/>
        <w:gridCol w:w="2422"/>
      </w:tblGrid>
      <w:tr w14:paraId="3F7F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single" w:color="auto" w:sz="4" w:space="0"/>
            </w:tcBorders>
            <w:vAlign w:val="center"/>
          </w:tcPr>
          <w:p w14:paraId="7E0BF26D">
            <w:pPr>
              <w:pStyle w:val="61"/>
              <w:jc w:val="center"/>
              <w:rPr>
                <w:rFonts w:hint="default" w:ascii="Times New Roman" w:hAnsi="Times New Roman" w:cs="Times New Roman"/>
                <w:b/>
                <w:bCs/>
                <w:color w:val="auto"/>
                <w:highlight w:val="none"/>
              </w:rPr>
            </w:pPr>
            <w:bookmarkStart w:id="116" w:name="_Toc15960"/>
            <w:bookmarkStart w:id="117" w:name="_Toc5989"/>
            <w:r>
              <w:rPr>
                <w:rFonts w:hint="default" w:ascii="Times New Roman" w:hAnsi="Times New Roman" w:cs="Times New Roman"/>
                <w:b/>
                <w:bCs/>
                <w:color w:val="auto"/>
                <w:highlight w:val="none"/>
              </w:rPr>
              <w:t>内容</w:t>
            </w:r>
          </w:p>
          <w:p w14:paraId="3480BFC1">
            <w:pPr>
              <w:pStyle w:val="61"/>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要素</w:t>
            </w:r>
          </w:p>
        </w:tc>
        <w:tc>
          <w:tcPr>
            <w:tcW w:w="1141" w:type="pct"/>
            <w:gridSpan w:val="2"/>
            <w:vAlign w:val="center"/>
          </w:tcPr>
          <w:p w14:paraId="4D2C31A6">
            <w:pPr>
              <w:pStyle w:val="61"/>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排放口（编号、名称）/污染源</w:t>
            </w:r>
          </w:p>
        </w:tc>
        <w:tc>
          <w:tcPr>
            <w:tcW w:w="831" w:type="pct"/>
            <w:vAlign w:val="center"/>
          </w:tcPr>
          <w:p w14:paraId="70C2D384">
            <w:pPr>
              <w:pStyle w:val="61"/>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污染物项目</w:t>
            </w:r>
          </w:p>
        </w:tc>
        <w:tc>
          <w:tcPr>
            <w:tcW w:w="1302" w:type="pct"/>
            <w:vAlign w:val="center"/>
          </w:tcPr>
          <w:p w14:paraId="6D2C7500">
            <w:pPr>
              <w:pStyle w:val="61"/>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环境保护措施</w:t>
            </w:r>
          </w:p>
        </w:tc>
        <w:tc>
          <w:tcPr>
            <w:tcW w:w="1304" w:type="pct"/>
            <w:vAlign w:val="center"/>
          </w:tcPr>
          <w:p w14:paraId="191F6D3B">
            <w:pPr>
              <w:pStyle w:val="61"/>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执行标准</w:t>
            </w:r>
          </w:p>
        </w:tc>
      </w:tr>
      <w:tr w14:paraId="2C83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419" w:type="pct"/>
            <w:vMerge w:val="restart"/>
            <w:vAlign w:val="center"/>
          </w:tcPr>
          <w:p w14:paraId="6D1DE79D">
            <w:pPr>
              <w:pStyle w:val="61"/>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大气环境</w:t>
            </w:r>
          </w:p>
        </w:tc>
        <w:tc>
          <w:tcPr>
            <w:tcW w:w="537" w:type="pct"/>
            <w:vMerge w:val="restart"/>
            <w:vAlign w:val="center"/>
          </w:tcPr>
          <w:p w14:paraId="7BA3EE9E">
            <w:pPr>
              <w:pStyle w:val="6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无组织排放</w:t>
            </w:r>
          </w:p>
        </w:tc>
        <w:tc>
          <w:tcPr>
            <w:tcW w:w="603" w:type="pct"/>
            <w:shd w:val="clear" w:color="auto" w:fill="auto"/>
            <w:vAlign w:val="center"/>
          </w:tcPr>
          <w:p w14:paraId="2F292821">
            <w:pPr>
              <w:pStyle w:val="61"/>
              <w:jc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cs="Times New Roman"/>
                <w:color w:val="auto"/>
                <w:highlight w:val="none"/>
              </w:rPr>
              <w:t>生产异味</w:t>
            </w:r>
          </w:p>
        </w:tc>
        <w:tc>
          <w:tcPr>
            <w:tcW w:w="831" w:type="pct"/>
            <w:shd w:val="clear" w:color="auto" w:fill="auto"/>
            <w:vAlign w:val="center"/>
          </w:tcPr>
          <w:p w14:paraId="23B2C3E3">
            <w:pPr>
              <w:pStyle w:val="61"/>
              <w:jc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cs="Times New Roman"/>
                <w:color w:val="auto"/>
                <w:highlight w:val="none"/>
              </w:rPr>
              <w:t>臭气浓度</w:t>
            </w:r>
          </w:p>
        </w:tc>
        <w:tc>
          <w:tcPr>
            <w:tcW w:w="1302" w:type="pct"/>
            <w:vMerge w:val="restart"/>
            <w:vAlign w:val="center"/>
          </w:tcPr>
          <w:p w14:paraId="76AB3C30">
            <w:pPr>
              <w:pStyle w:val="6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采取加强厂内通风、设备加盖密闭的措施后，于车间内无组织排放</w:t>
            </w:r>
          </w:p>
        </w:tc>
        <w:tc>
          <w:tcPr>
            <w:tcW w:w="1304" w:type="pct"/>
            <w:vAlign w:val="center"/>
          </w:tcPr>
          <w:p w14:paraId="5284174F">
            <w:pPr>
              <w:pStyle w:val="6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《恶臭污染物排放标准》（GB145</w:t>
            </w:r>
            <w:r>
              <w:rPr>
                <w:rFonts w:hint="eastAsia" w:cs="Times New Roman"/>
                <w:color w:val="auto"/>
                <w:highlight w:val="none"/>
                <w:lang w:val="en-US" w:eastAsia="zh-CN"/>
              </w:rPr>
              <w:t>5</w:t>
            </w:r>
            <w:r>
              <w:rPr>
                <w:rFonts w:hint="default" w:ascii="Times New Roman" w:hAnsi="Times New Roman" w:cs="Times New Roman"/>
                <w:color w:val="auto"/>
                <w:highlight w:val="none"/>
              </w:rPr>
              <w:t>4-93）表1新扩改建二级厂界标准值</w:t>
            </w:r>
          </w:p>
        </w:tc>
      </w:tr>
      <w:tr w14:paraId="0AF6F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8" w:hRule="atLeast"/>
          <w:jc w:val="center"/>
        </w:trPr>
        <w:tc>
          <w:tcPr>
            <w:tcW w:w="419" w:type="pct"/>
            <w:vMerge w:val="continue"/>
            <w:vAlign w:val="center"/>
          </w:tcPr>
          <w:p w14:paraId="74DCF104">
            <w:pPr>
              <w:pStyle w:val="61"/>
              <w:jc w:val="center"/>
              <w:rPr>
                <w:rFonts w:hint="default" w:ascii="Times New Roman" w:hAnsi="Times New Roman" w:cs="Times New Roman"/>
                <w:color w:val="auto"/>
                <w:highlight w:val="none"/>
              </w:rPr>
            </w:pPr>
          </w:p>
        </w:tc>
        <w:tc>
          <w:tcPr>
            <w:tcW w:w="537" w:type="pct"/>
            <w:vMerge w:val="continue"/>
            <w:vAlign w:val="center"/>
          </w:tcPr>
          <w:p w14:paraId="119FD372">
            <w:pPr>
              <w:pStyle w:val="61"/>
              <w:jc w:val="center"/>
              <w:rPr>
                <w:rFonts w:hint="default" w:ascii="Times New Roman" w:hAnsi="Times New Roman" w:cs="Times New Roman"/>
                <w:color w:val="auto"/>
                <w:highlight w:val="none"/>
              </w:rPr>
            </w:pPr>
          </w:p>
        </w:tc>
        <w:tc>
          <w:tcPr>
            <w:tcW w:w="603" w:type="pct"/>
            <w:vAlign w:val="center"/>
          </w:tcPr>
          <w:p w14:paraId="5D2F30E5">
            <w:pPr>
              <w:pStyle w:val="61"/>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卸料、分拣、压实打包、入库堆放</w:t>
            </w:r>
          </w:p>
        </w:tc>
        <w:tc>
          <w:tcPr>
            <w:tcW w:w="831" w:type="pct"/>
            <w:vAlign w:val="center"/>
          </w:tcPr>
          <w:p w14:paraId="1253979A">
            <w:pPr>
              <w:pStyle w:val="6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颗粒物</w:t>
            </w:r>
          </w:p>
        </w:tc>
        <w:tc>
          <w:tcPr>
            <w:tcW w:w="1302" w:type="pct"/>
            <w:vMerge w:val="continue"/>
            <w:vAlign w:val="center"/>
          </w:tcPr>
          <w:p w14:paraId="50755F90">
            <w:pPr>
              <w:pStyle w:val="61"/>
              <w:jc w:val="center"/>
              <w:rPr>
                <w:rFonts w:hint="default" w:ascii="Times New Roman" w:hAnsi="Times New Roman" w:cs="Times New Roman"/>
                <w:color w:val="auto"/>
                <w:highlight w:val="none"/>
              </w:rPr>
            </w:pPr>
          </w:p>
        </w:tc>
        <w:tc>
          <w:tcPr>
            <w:tcW w:w="1304" w:type="pct"/>
            <w:vAlign w:val="center"/>
          </w:tcPr>
          <w:p w14:paraId="2C903DF0">
            <w:pPr>
              <w:pStyle w:val="6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广东省《大气污染物排放限值》（DB44/27-2001）第二时段排放限值</w:t>
            </w:r>
          </w:p>
        </w:tc>
      </w:tr>
      <w:tr w14:paraId="7F01E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Align w:val="center"/>
          </w:tcPr>
          <w:p w14:paraId="0228EF9D">
            <w:pPr>
              <w:pStyle w:val="61"/>
              <w:keepNext w:val="0"/>
              <w:keepLines w:val="0"/>
              <w:pageBreakBefore w:val="0"/>
              <w:kinsoku/>
              <w:overflowPunct/>
              <w:topLinePunct w:val="0"/>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声环境</w:t>
            </w:r>
          </w:p>
        </w:tc>
        <w:tc>
          <w:tcPr>
            <w:tcW w:w="1141" w:type="pct"/>
            <w:gridSpan w:val="2"/>
            <w:vAlign w:val="center"/>
          </w:tcPr>
          <w:p w14:paraId="78967D6D">
            <w:pPr>
              <w:keepNext w:val="0"/>
              <w:keepLines w:val="0"/>
              <w:pageBreakBefore w:val="0"/>
              <w:kinsoku/>
              <w:overflowPunct/>
              <w:topLinePunct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机械设备</w:t>
            </w:r>
          </w:p>
        </w:tc>
        <w:tc>
          <w:tcPr>
            <w:tcW w:w="831" w:type="pct"/>
            <w:vAlign w:val="center"/>
          </w:tcPr>
          <w:p w14:paraId="64D18224">
            <w:pPr>
              <w:keepNext w:val="0"/>
              <w:keepLines w:val="0"/>
              <w:pageBreakBefore w:val="0"/>
              <w:kinsoku/>
              <w:overflowPunct/>
              <w:topLinePunct w:val="0"/>
              <w:bidi w:val="0"/>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噪声</w:t>
            </w:r>
          </w:p>
        </w:tc>
        <w:tc>
          <w:tcPr>
            <w:tcW w:w="1302" w:type="pct"/>
            <w:vAlign w:val="center"/>
          </w:tcPr>
          <w:p w14:paraId="58ADA770">
            <w:pPr>
              <w:pStyle w:val="61"/>
              <w:keepNext w:val="0"/>
              <w:keepLines w:val="0"/>
              <w:pageBreakBefore w:val="0"/>
              <w:kinsoku/>
              <w:overflowPunct/>
              <w:topLinePunct w:val="0"/>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采取</w:t>
            </w:r>
            <w:r>
              <w:rPr>
                <w:rFonts w:hint="eastAsia" w:cs="Times New Roman"/>
                <w:color w:val="auto"/>
                <w:highlight w:val="none"/>
                <w:lang w:eastAsia="zh-CN"/>
              </w:rPr>
              <w:t>防震</w:t>
            </w:r>
            <w:r>
              <w:rPr>
                <w:rFonts w:hint="default" w:ascii="Times New Roman" w:hAnsi="Times New Roman" w:cs="Times New Roman"/>
                <w:color w:val="auto"/>
                <w:highlight w:val="none"/>
              </w:rPr>
              <w:t>、隔声、降噪等措施</w:t>
            </w:r>
          </w:p>
        </w:tc>
        <w:tc>
          <w:tcPr>
            <w:tcW w:w="1304" w:type="pct"/>
            <w:vAlign w:val="center"/>
          </w:tcPr>
          <w:p w14:paraId="38A8C04A">
            <w:pPr>
              <w:pStyle w:val="61"/>
              <w:keepNext w:val="0"/>
              <w:keepLines w:val="0"/>
              <w:pageBreakBefore w:val="0"/>
              <w:kinsoku/>
              <w:overflowPunct/>
              <w:topLinePunct w:val="0"/>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厂界执行</w:t>
            </w:r>
            <w:r>
              <w:rPr>
                <w:rFonts w:hint="default" w:eastAsia="宋体"/>
                <w:color w:val="auto"/>
                <w:lang w:val="en-US" w:eastAsia="zh-CN"/>
              </w:rPr>
              <w:t>《工业企业厂界环境噪声排放标准》（GB12348-2008）</w:t>
            </w:r>
            <w:r>
              <w:rPr>
                <w:rFonts w:hint="eastAsia" w:cs="Times New Roman"/>
                <w:color w:val="auto"/>
                <w:highlight w:val="none"/>
                <w:lang w:val="en-US" w:eastAsia="zh-CN"/>
              </w:rPr>
              <w:t>3</w:t>
            </w:r>
            <w:r>
              <w:rPr>
                <w:rFonts w:hint="default" w:ascii="Times New Roman" w:hAnsi="Times New Roman" w:cs="Times New Roman"/>
                <w:color w:val="auto"/>
                <w:highlight w:val="none"/>
              </w:rPr>
              <w:t>类标准</w:t>
            </w:r>
          </w:p>
        </w:tc>
      </w:tr>
      <w:tr w14:paraId="53E35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419" w:type="pct"/>
            <w:vAlign w:val="center"/>
          </w:tcPr>
          <w:p w14:paraId="1E17FF55">
            <w:pPr>
              <w:pStyle w:val="6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电磁辐射</w:t>
            </w:r>
          </w:p>
        </w:tc>
        <w:tc>
          <w:tcPr>
            <w:tcW w:w="1141" w:type="pct"/>
            <w:gridSpan w:val="2"/>
            <w:vAlign w:val="center"/>
          </w:tcPr>
          <w:p w14:paraId="431C7747">
            <w:pPr>
              <w:pStyle w:val="6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831" w:type="pct"/>
            <w:vAlign w:val="center"/>
          </w:tcPr>
          <w:p w14:paraId="07D1296B">
            <w:pPr>
              <w:pStyle w:val="6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1302" w:type="pct"/>
            <w:vAlign w:val="center"/>
          </w:tcPr>
          <w:p w14:paraId="6A4BA2A7">
            <w:pPr>
              <w:pStyle w:val="6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1304" w:type="pct"/>
            <w:vAlign w:val="center"/>
          </w:tcPr>
          <w:p w14:paraId="1A4E081A">
            <w:pPr>
              <w:pStyle w:val="6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6D56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419" w:type="pct"/>
            <w:vMerge w:val="restart"/>
            <w:vAlign w:val="center"/>
          </w:tcPr>
          <w:p w14:paraId="29BAB3C5">
            <w:pPr>
              <w:pStyle w:val="6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固体废物</w:t>
            </w:r>
          </w:p>
        </w:tc>
        <w:tc>
          <w:tcPr>
            <w:tcW w:w="1141" w:type="pct"/>
            <w:gridSpan w:val="2"/>
            <w:vAlign w:val="center"/>
          </w:tcPr>
          <w:p w14:paraId="05549E5D">
            <w:pPr>
              <w:pStyle w:val="6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办公生活</w:t>
            </w:r>
          </w:p>
        </w:tc>
        <w:tc>
          <w:tcPr>
            <w:tcW w:w="831" w:type="pct"/>
            <w:vAlign w:val="center"/>
          </w:tcPr>
          <w:p w14:paraId="527BDD40">
            <w:pPr>
              <w:pStyle w:val="6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生活垃圾</w:t>
            </w:r>
          </w:p>
        </w:tc>
        <w:tc>
          <w:tcPr>
            <w:tcW w:w="1302" w:type="pct"/>
            <w:vAlign w:val="center"/>
          </w:tcPr>
          <w:p w14:paraId="45A33A17">
            <w:pPr>
              <w:pStyle w:val="6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交由环卫部门清运</w:t>
            </w:r>
          </w:p>
        </w:tc>
        <w:tc>
          <w:tcPr>
            <w:tcW w:w="1304" w:type="pct"/>
            <w:vAlign w:val="center"/>
          </w:tcPr>
          <w:p w14:paraId="198F0C16">
            <w:pPr>
              <w:pStyle w:val="6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《中华人民共和国固体废物污染环境防治法》、《广东省固体废物污染环境防治条例》</w:t>
            </w:r>
          </w:p>
        </w:tc>
      </w:tr>
      <w:tr w14:paraId="5BC49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jc w:val="center"/>
        </w:trPr>
        <w:tc>
          <w:tcPr>
            <w:tcW w:w="419" w:type="pct"/>
            <w:vMerge w:val="continue"/>
            <w:vAlign w:val="center"/>
          </w:tcPr>
          <w:p w14:paraId="1DC917BE">
            <w:pPr>
              <w:pStyle w:val="61"/>
              <w:jc w:val="center"/>
              <w:rPr>
                <w:rFonts w:hint="default" w:ascii="Times New Roman" w:hAnsi="Times New Roman" w:cs="Times New Roman"/>
                <w:color w:val="auto"/>
                <w:highlight w:val="none"/>
              </w:rPr>
            </w:pPr>
          </w:p>
        </w:tc>
        <w:tc>
          <w:tcPr>
            <w:tcW w:w="1141" w:type="pct"/>
            <w:gridSpan w:val="2"/>
            <w:vAlign w:val="center"/>
          </w:tcPr>
          <w:p w14:paraId="36D529BB">
            <w:pPr>
              <w:pStyle w:val="6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生产过程</w:t>
            </w:r>
          </w:p>
        </w:tc>
        <w:tc>
          <w:tcPr>
            <w:tcW w:w="831" w:type="pct"/>
            <w:vAlign w:val="center"/>
          </w:tcPr>
          <w:p w14:paraId="60B3418B">
            <w:pPr>
              <w:pStyle w:val="61"/>
              <w:keepNext w:val="0"/>
              <w:keepLines w:val="0"/>
              <w:pageBreakBefore w:val="0"/>
              <w:widowControl w:val="0"/>
              <w:kinsoku/>
              <w:wordWrap/>
              <w:overflowPunct/>
              <w:topLinePunct w:val="0"/>
              <w:autoSpaceDE w:val="0"/>
              <w:autoSpaceDN w:val="0"/>
              <w:bidi w:val="0"/>
              <w:adjustRightInd w:val="0"/>
              <w:snapToGrid/>
              <w:jc w:val="center"/>
              <w:textAlignment w:val="auto"/>
              <w:rPr>
                <w:rFonts w:hint="default" w:ascii="Times New Roman" w:hAnsi="Times New Roman" w:eastAsia="宋体" w:cs="Times New Roman"/>
                <w:color w:val="auto"/>
                <w:spacing w:val="-2"/>
                <w:sz w:val="21"/>
                <w:szCs w:val="21"/>
                <w:highlight w:val="none"/>
                <w:lang w:val="en-US" w:eastAsia="zh-CN"/>
              </w:rPr>
            </w:pPr>
            <w:r>
              <w:rPr>
                <w:rFonts w:hint="eastAsia" w:ascii="Times New Roman" w:cs="Times New Roman"/>
                <w:color w:val="auto"/>
                <w:spacing w:val="-2"/>
                <w:sz w:val="21"/>
                <w:szCs w:val="21"/>
                <w:highlight w:val="none"/>
                <w:lang w:val="en-US" w:eastAsia="zh-CN"/>
              </w:rPr>
              <w:t>不可回收利用固废</w:t>
            </w:r>
          </w:p>
        </w:tc>
        <w:tc>
          <w:tcPr>
            <w:tcW w:w="1302" w:type="pct"/>
            <w:vAlign w:val="center"/>
          </w:tcPr>
          <w:p w14:paraId="7404248C">
            <w:pPr>
              <w:pStyle w:val="6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统一收集后</w:t>
            </w:r>
            <w:r>
              <w:rPr>
                <w:rFonts w:hint="eastAsia" w:cs="Times New Roman"/>
                <w:color w:val="auto"/>
                <w:highlight w:val="none"/>
                <w:lang w:val="en-US" w:eastAsia="zh-CN"/>
              </w:rPr>
              <w:t>交由有资质的单位</w:t>
            </w:r>
            <w:r>
              <w:rPr>
                <w:rFonts w:hint="default" w:ascii="Times New Roman" w:hAnsi="Times New Roman" w:cs="Times New Roman"/>
                <w:color w:val="auto"/>
                <w:highlight w:val="none"/>
              </w:rPr>
              <w:t>处理</w:t>
            </w:r>
          </w:p>
        </w:tc>
        <w:tc>
          <w:tcPr>
            <w:tcW w:w="1304" w:type="pct"/>
            <w:vAlign w:val="center"/>
          </w:tcPr>
          <w:p w14:paraId="26FD7E8C">
            <w:pPr>
              <w:spacing w:line="27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在厂内采用库房或包装工具贮存，贮存过程应满足相应防渗漏、防雨淋、防扬尘等环境保护要求</w:t>
            </w:r>
          </w:p>
        </w:tc>
      </w:tr>
      <w:tr w14:paraId="4F874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19" w:type="pct"/>
            <w:vMerge w:val="continue"/>
            <w:vAlign w:val="center"/>
          </w:tcPr>
          <w:p w14:paraId="68A6A655">
            <w:pPr>
              <w:pStyle w:val="61"/>
              <w:jc w:val="center"/>
              <w:rPr>
                <w:rFonts w:hint="default" w:ascii="Times New Roman" w:hAnsi="Times New Roman" w:cs="Times New Roman"/>
                <w:color w:val="auto"/>
                <w:highlight w:val="none"/>
              </w:rPr>
            </w:pPr>
          </w:p>
        </w:tc>
        <w:tc>
          <w:tcPr>
            <w:tcW w:w="1141" w:type="pct"/>
            <w:gridSpan w:val="2"/>
            <w:shd w:val="clear" w:color="auto" w:fill="auto"/>
            <w:vAlign w:val="center"/>
          </w:tcPr>
          <w:p w14:paraId="5E1272A1">
            <w:pPr>
              <w:pStyle w:val="61"/>
              <w:jc w:val="center"/>
              <w:rPr>
                <w:rFonts w:hint="eastAsia"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cs="Times New Roman"/>
                <w:color w:val="auto"/>
                <w:highlight w:val="none"/>
              </w:rPr>
              <w:t>设备维保</w:t>
            </w:r>
          </w:p>
        </w:tc>
        <w:tc>
          <w:tcPr>
            <w:tcW w:w="831" w:type="pct"/>
            <w:shd w:val="clear" w:color="auto" w:fill="auto"/>
            <w:vAlign w:val="center"/>
          </w:tcPr>
          <w:p w14:paraId="1B96480A">
            <w:pPr>
              <w:pStyle w:val="61"/>
              <w:jc w:val="center"/>
              <w:rPr>
                <w:rFonts w:hint="default" w:ascii="Times New Roman" w:hAnsi="Times New Roman" w:eastAsia="宋体" w:cs="Times New Roman"/>
                <w:color w:val="auto"/>
                <w:position w:val="-10"/>
                <w:sz w:val="21"/>
                <w:szCs w:val="21"/>
                <w:highlight w:val="none"/>
                <w:lang w:val="en-US" w:eastAsia="zh-CN" w:bidi="ar-SA"/>
              </w:rPr>
            </w:pPr>
            <w:r>
              <w:rPr>
                <w:rFonts w:hint="default" w:ascii="Times New Roman" w:hAnsi="Times New Roman" w:cs="Times New Roman"/>
                <w:color w:val="auto"/>
                <w:highlight w:val="none"/>
              </w:rPr>
              <w:t>废矿物油及油桶</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含油废抹布及手套</w:t>
            </w:r>
          </w:p>
        </w:tc>
        <w:tc>
          <w:tcPr>
            <w:tcW w:w="1302" w:type="pct"/>
            <w:vAlign w:val="center"/>
          </w:tcPr>
          <w:p w14:paraId="183B5405">
            <w:pPr>
              <w:pStyle w:val="6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委托</w:t>
            </w:r>
            <w:r>
              <w:rPr>
                <w:rFonts w:hint="eastAsia" w:cs="Times New Roman"/>
                <w:color w:val="auto"/>
                <w:highlight w:val="none"/>
                <w:lang w:val="en-US" w:eastAsia="zh-CN"/>
              </w:rPr>
              <w:t>有</w:t>
            </w:r>
            <w:r>
              <w:rPr>
                <w:rFonts w:hint="default" w:ascii="Times New Roman" w:hAnsi="Times New Roman" w:cs="Times New Roman"/>
                <w:color w:val="auto"/>
                <w:highlight w:val="none"/>
              </w:rPr>
              <w:t>危险废物资质单位处理</w:t>
            </w:r>
          </w:p>
        </w:tc>
        <w:tc>
          <w:tcPr>
            <w:tcW w:w="1304" w:type="pct"/>
            <w:vAlign w:val="center"/>
          </w:tcPr>
          <w:p w14:paraId="201400EF">
            <w:pPr>
              <w:pStyle w:val="6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《危险废物贮存污染控制标准》（GB 18597-2023）</w:t>
            </w:r>
          </w:p>
        </w:tc>
      </w:tr>
      <w:tr w14:paraId="1DDAA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Align w:val="center"/>
          </w:tcPr>
          <w:p w14:paraId="713803D1">
            <w:pPr>
              <w:pStyle w:val="6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土壤及地下水污染防治措施</w:t>
            </w:r>
          </w:p>
        </w:tc>
        <w:tc>
          <w:tcPr>
            <w:tcW w:w="4580" w:type="pct"/>
            <w:gridSpan w:val="5"/>
            <w:vAlign w:val="center"/>
          </w:tcPr>
          <w:p w14:paraId="4D8E6D7D">
            <w:pPr>
              <w:pStyle w:val="61"/>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厂区地面已全部硬化，危废</w:t>
            </w:r>
            <w:r>
              <w:rPr>
                <w:rFonts w:hint="eastAsia" w:cs="Times New Roman"/>
                <w:color w:val="auto"/>
                <w:highlight w:val="none"/>
                <w:lang w:val="en-US" w:eastAsia="zh-CN"/>
              </w:rPr>
              <w:t>暂存</w:t>
            </w:r>
            <w:r>
              <w:rPr>
                <w:rFonts w:hint="default" w:ascii="Times New Roman" w:hAnsi="Times New Roman" w:cs="Times New Roman"/>
                <w:color w:val="auto"/>
                <w:highlight w:val="none"/>
              </w:rPr>
              <w:t>间在建筑物</w:t>
            </w:r>
            <w:r>
              <w:rPr>
                <w:rFonts w:hint="eastAsia" w:cs="Times New Roman"/>
                <w:color w:val="auto"/>
                <w:highlight w:val="none"/>
                <w:lang w:val="en-US" w:eastAsia="zh-CN"/>
              </w:rPr>
              <w:t>内部</w:t>
            </w:r>
            <w:r>
              <w:rPr>
                <w:rFonts w:hint="default" w:ascii="Times New Roman" w:hAnsi="Times New Roman" w:cs="Times New Roman"/>
                <w:color w:val="auto"/>
                <w:highlight w:val="none"/>
              </w:rPr>
              <w:t>，已达到防风防雨防晒要求，地面硬化良好并刷环氧树脂漆防渗，四周设置围堰，满足四防要求。</w:t>
            </w:r>
          </w:p>
        </w:tc>
      </w:tr>
      <w:tr w14:paraId="4336E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Align w:val="center"/>
          </w:tcPr>
          <w:p w14:paraId="493C55F8">
            <w:pPr>
              <w:pStyle w:val="6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生态保护措施</w:t>
            </w:r>
          </w:p>
        </w:tc>
        <w:tc>
          <w:tcPr>
            <w:tcW w:w="4580" w:type="pct"/>
            <w:gridSpan w:val="5"/>
            <w:vAlign w:val="center"/>
          </w:tcPr>
          <w:p w14:paraId="68B769BF">
            <w:pPr>
              <w:pStyle w:val="61"/>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厂房已建设安装完成，选址四周主要为厂房和道路，不存在建设期间的生态影响。项目</w:t>
            </w:r>
            <w:r>
              <w:rPr>
                <w:rFonts w:hint="eastAsia" w:cs="Times New Roman"/>
                <w:color w:val="auto"/>
                <w:highlight w:val="none"/>
                <w:lang w:val="en-US" w:eastAsia="zh-CN"/>
              </w:rPr>
              <w:t>运营</w:t>
            </w:r>
            <w:r>
              <w:rPr>
                <w:rFonts w:hint="default" w:ascii="Times New Roman" w:hAnsi="Times New Roman" w:cs="Times New Roman"/>
                <w:color w:val="auto"/>
                <w:highlight w:val="none"/>
              </w:rPr>
              <w:t>中产生的污染物通过采取以上环境保护治理措施并加强日常的管理和监督，同时搞好厂区绿化后，均可达标排放。因此，项目</w:t>
            </w:r>
            <w:r>
              <w:rPr>
                <w:rFonts w:hint="eastAsia" w:cs="Times New Roman"/>
                <w:color w:val="auto"/>
                <w:highlight w:val="none"/>
                <w:lang w:val="en-US" w:eastAsia="zh-CN"/>
              </w:rPr>
              <w:t>运营</w:t>
            </w:r>
            <w:r>
              <w:rPr>
                <w:rFonts w:hint="default" w:ascii="Times New Roman" w:hAnsi="Times New Roman" w:cs="Times New Roman"/>
                <w:color w:val="auto"/>
                <w:highlight w:val="none"/>
              </w:rPr>
              <w:t>期间不会对周边的生态环境造成明显的不利影响。</w:t>
            </w:r>
          </w:p>
        </w:tc>
      </w:tr>
      <w:tr w14:paraId="7F84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vAlign w:val="center"/>
          </w:tcPr>
          <w:p w14:paraId="2BD9905D">
            <w:pPr>
              <w:pStyle w:val="6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环境风险防范措施</w:t>
            </w:r>
          </w:p>
        </w:tc>
        <w:tc>
          <w:tcPr>
            <w:tcW w:w="4580" w:type="pct"/>
            <w:gridSpan w:val="5"/>
            <w:vAlign w:val="center"/>
          </w:tcPr>
          <w:p w14:paraId="3669787D">
            <w:pPr>
              <w:pStyle w:val="61"/>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1、严格执行应急管理、消防等相关规范，从总图布置和建筑安全方面进行风险防范，预留疏散通道或安置场所；</w:t>
            </w:r>
          </w:p>
          <w:p w14:paraId="38F51F46">
            <w:pPr>
              <w:pStyle w:val="61"/>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2、从优化改进生产工艺、减少储存量、改善储存条件等方面降低风险程度；</w:t>
            </w:r>
          </w:p>
          <w:p w14:paraId="25A8BEAC">
            <w:pPr>
              <w:pStyle w:val="61"/>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3、加强日常管理，降低管理失误而出现的风险事故，提高员工规范性操作水平，减少误操作引发的风险事故；</w:t>
            </w:r>
          </w:p>
          <w:p w14:paraId="32131C28">
            <w:pPr>
              <w:pStyle w:val="61"/>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4、按《危险废物贮存污染控制标准》（GB 18597-2023）的相关要求做好危废暂存间的防渗措施，加强管理，避免装卸或存储过程中危险物质发生泄漏。</w:t>
            </w:r>
          </w:p>
        </w:tc>
      </w:tr>
      <w:tr w14:paraId="40320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419" w:type="pct"/>
            <w:vAlign w:val="center"/>
          </w:tcPr>
          <w:p w14:paraId="18E08C92">
            <w:pPr>
              <w:pStyle w:val="6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其他环境管理要求</w:t>
            </w:r>
          </w:p>
        </w:tc>
        <w:tc>
          <w:tcPr>
            <w:tcW w:w="4580" w:type="pct"/>
            <w:gridSpan w:val="5"/>
            <w:vAlign w:val="center"/>
          </w:tcPr>
          <w:p w14:paraId="2297F3D0">
            <w:pPr>
              <w:keepNext w:val="0"/>
              <w:keepLines w:val="0"/>
              <w:pageBreakBefore w:val="0"/>
              <w:widowControl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（一）环境管理要求</w:t>
            </w:r>
          </w:p>
          <w:p w14:paraId="789EA02E">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360" w:lineRule="auto"/>
              <w:ind w:left="0" w:leftChars="0" w:firstLine="420" w:firstLineChars="20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2"/>
                <w:sz w:val="21"/>
                <w:szCs w:val="21"/>
                <w:lang w:val="en-US" w:eastAsia="zh-CN" w:bidi="ar-SA"/>
              </w:rPr>
              <w:t>1.</w:t>
            </w:r>
            <w:r>
              <w:rPr>
                <w:rFonts w:hint="default" w:ascii="Times New Roman" w:hAnsi="Times New Roman" w:eastAsia="宋体" w:cs="Times New Roman"/>
                <w:color w:val="auto"/>
                <w:sz w:val="21"/>
                <w:szCs w:val="21"/>
              </w:rPr>
              <w:t>企业要完善环境管理制度，首先必须建立相应的环境管理机构，明确环境管理机构的职责。</w:t>
            </w:r>
          </w:p>
          <w:p w14:paraId="12758324">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360" w:lineRule="auto"/>
              <w:ind w:left="0" w:leftChars="0" w:firstLine="420" w:firstLineChars="20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2"/>
                <w:sz w:val="21"/>
                <w:szCs w:val="21"/>
                <w:lang w:val="en-US" w:eastAsia="zh-CN" w:bidi="ar-SA"/>
              </w:rPr>
              <w:t>2.</w:t>
            </w:r>
            <w:r>
              <w:rPr>
                <w:rFonts w:hint="default" w:ascii="Times New Roman" w:hAnsi="Times New Roman" w:eastAsia="宋体" w:cs="Times New Roman"/>
                <w:color w:val="auto"/>
                <w:sz w:val="21"/>
                <w:szCs w:val="21"/>
              </w:rPr>
              <w:t>落实各项环境保护措施，环保设施运行的管理和维护，日常的监测及污染事故的防范和应急处理。</w:t>
            </w:r>
          </w:p>
          <w:p w14:paraId="1EE6F96F">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360" w:lineRule="auto"/>
              <w:ind w:left="0" w:leftChars="0" w:firstLine="420" w:firstLineChars="20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2"/>
                <w:sz w:val="21"/>
                <w:szCs w:val="21"/>
                <w:lang w:val="en-US" w:eastAsia="zh-CN" w:bidi="ar-SA"/>
              </w:rPr>
              <w:t>3.</w:t>
            </w:r>
            <w:r>
              <w:rPr>
                <w:rFonts w:hint="default" w:ascii="Times New Roman" w:hAnsi="Times New Roman" w:eastAsia="宋体" w:cs="Times New Roman"/>
                <w:color w:val="auto"/>
                <w:sz w:val="21"/>
                <w:szCs w:val="21"/>
              </w:rPr>
              <w:t>环境管理机构的职责</w:t>
            </w:r>
          </w:p>
          <w:p w14:paraId="28CE73C9">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before="0" w:beforeLines="15" w:after="0" w:afterLines="15" w:line="360" w:lineRule="auto"/>
              <w:ind w:firstLine="420" w:firstLineChars="200"/>
              <w:jc w:val="left"/>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（1）建设单位应向国家排污许可系统提交《固定污染源排污登记表》，取得《固定污染源排污登记回执》；超标排放或未符合总量指标，应限期治理。</w:t>
            </w:r>
          </w:p>
          <w:p w14:paraId="0EC97772">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before="0" w:beforeLines="15" w:after="0" w:afterLines="15" w:line="360" w:lineRule="auto"/>
              <w:ind w:left="0" w:leftChars="0" w:firstLine="420" w:firstLineChars="200"/>
              <w:jc w:val="left"/>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（2）根据</w:t>
            </w:r>
            <w:r>
              <w:rPr>
                <w:rFonts w:hint="eastAsia" w:ascii="Times New Roman" w:hAnsi="Times New Roman" w:eastAsia="宋体" w:cs="Times New Roman"/>
                <w:color w:val="auto"/>
                <w:kern w:val="0"/>
                <w:sz w:val="21"/>
                <w:szCs w:val="21"/>
                <w:lang w:val="en-US" w:eastAsia="zh-CN" w:bidi="ar-SA"/>
              </w:rPr>
              <w:t>生态环境主管部门</w:t>
            </w:r>
            <w:r>
              <w:rPr>
                <w:rFonts w:hint="default" w:ascii="Times New Roman" w:hAnsi="Times New Roman" w:eastAsia="宋体" w:cs="Times New Roman"/>
                <w:color w:val="auto"/>
                <w:kern w:val="0"/>
                <w:sz w:val="21"/>
                <w:szCs w:val="21"/>
                <w:lang w:val="en-US" w:eastAsia="zh-CN" w:bidi="ar-SA"/>
              </w:rPr>
              <w:t>、安全部门对环保设施验收报告的批复意见进行补充完善。</w:t>
            </w:r>
          </w:p>
          <w:p w14:paraId="4D481C09">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before="0" w:beforeLines="15" w:after="0" w:afterLines="15" w:line="360" w:lineRule="auto"/>
              <w:ind w:left="0" w:leftChars="0" w:firstLine="420" w:firstLineChars="200"/>
              <w:jc w:val="left"/>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3）根据企业的环境保护目标考核计划，结合生产过程各环节的不同环境要求，把资源和能源消耗、资源回收利用、污染物排放量的反映环保工作水平的生产环境质量等环保指标，纳入各级生产作业计划，同其他生产指标一同组织实施和考核。</w:t>
            </w:r>
          </w:p>
          <w:p w14:paraId="700282FE">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before="0" w:beforeLines="15" w:after="0" w:afterLines="15" w:line="360" w:lineRule="auto"/>
              <w:ind w:left="0" w:leftChars="0" w:firstLine="420" w:firstLineChars="200"/>
              <w:jc w:val="left"/>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4）按环保设施的操作规程，定期对环保设施进行保养和检修，保证环保设施的正常运行和污染物的达标排放。一旦环保设施出现故障，应立即停产检修，并上报环保法定责任人，严禁环保设施带病运行和事故性排放。建立运行记录并制定考核指标。</w:t>
            </w:r>
          </w:p>
          <w:p w14:paraId="4A5F07FC">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before="0" w:beforeLines="15" w:after="0" w:afterLines="15" w:line="360" w:lineRule="auto"/>
              <w:ind w:left="0" w:leftChars="0" w:firstLine="420" w:firstLineChars="200"/>
              <w:jc w:val="left"/>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（5）要加强设备、仪器、仪表的检查、维护、检修，保证设备完好运行，防止跑、冒、滴、漏对环境的污染。</w:t>
            </w:r>
          </w:p>
          <w:p w14:paraId="31C17B1D">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before="0" w:beforeLines="15" w:after="0" w:afterLines="15" w:line="360" w:lineRule="auto"/>
              <w:ind w:left="0" w:leftChars="0" w:firstLine="420" w:firstLineChars="200"/>
              <w:jc w:val="left"/>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6）加强各生产车间、工段的环境卫生管理：①督促有关工段及时清理废弃的渣料等，以免大风天气时形成扬尘，造成二次污染，影响周围环境。②保持工场的通风、整洁和宽敞。开工时废气净化、除尘装置必须正常运转，确保操作工人有安全生产的环境。操作工人还应做好个人防护工作，避免粉尘、废气经呼吸道和皮肤吸收，引起急性中毒事件或职业病的发生。</w:t>
            </w:r>
          </w:p>
          <w:p w14:paraId="51BFDD72">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before="0" w:beforeLines="15" w:after="0" w:afterLines="15" w:line="360" w:lineRule="auto"/>
              <w:ind w:left="0" w:leftChars="0" w:firstLine="420" w:firstLineChars="200"/>
              <w:jc w:val="left"/>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（7）做好绿化的建设和维护工作。绿色植物不仅能涵养水分，保持水土，而且能挡尘降噪，调节小气候，有利于改善生态环境。</w:t>
            </w:r>
          </w:p>
          <w:p w14:paraId="1CF97531">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before="0" w:beforeLines="15" w:after="0" w:afterLines="15" w:line="360" w:lineRule="auto"/>
              <w:ind w:left="0" w:leftChars="0" w:firstLine="420" w:firstLineChars="200"/>
              <w:jc w:val="left"/>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（8）建立环境管理体系，提高环境管理水平。定期进行清洁生产审计，不断采用无污染和少污染的新工艺和新技术。</w:t>
            </w:r>
          </w:p>
          <w:p w14:paraId="6E4EF38E">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before="0" w:beforeLines="15" w:after="0" w:afterLines="15" w:line="360" w:lineRule="auto"/>
              <w:ind w:left="0" w:leftChars="0" w:firstLine="420" w:firstLineChars="200"/>
              <w:jc w:val="left"/>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（9）接受</w:t>
            </w:r>
            <w:r>
              <w:rPr>
                <w:rFonts w:hint="eastAsia" w:ascii="Times New Roman" w:hAnsi="Times New Roman" w:eastAsia="宋体" w:cs="Times New Roman"/>
                <w:color w:val="auto"/>
                <w:kern w:val="0"/>
                <w:sz w:val="21"/>
                <w:szCs w:val="21"/>
                <w:lang w:val="en-US" w:eastAsia="zh-CN" w:bidi="ar-SA"/>
              </w:rPr>
              <w:t>生态环境主管部门</w:t>
            </w:r>
            <w:r>
              <w:rPr>
                <w:rFonts w:hint="default" w:ascii="Times New Roman" w:hAnsi="Times New Roman" w:eastAsia="宋体" w:cs="Times New Roman"/>
                <w:color w:val="auto"/>
                <w:kern w:val="0"/>
                <w:sz w:val="21"/>
                <w:szCs w:val="21"/>
                <w:lang w:val="en-US" w:eastAsia="zh-CN" w:bidi="ar-SA"/>
              </w:rPr>
              <w:t>的监督检查。主要内容有：污染物排放情况、环保设施运行管理情况、环境监测及污染物监测情况、环境事故的调查和有关记录、污染源建档记录等。</w:t>
            </w:r>
          </w:p>
          <w:p w14:paraId="47AA8509">
            <w:pPr>
              <w:keepNext w:val="0"/>
              <w:keepLines w:val="0"/>
              <w:pageBreakBefore w:val="0"/>
              <w:widowControl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 xml:space="preserve">（二）排污口规范化 </w:t>
            </w:r>
          </w:p>
          <w:p w14:paraId="3EB8775D">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360" w:lineRule="auto"/>
              <w:ind w:left="0" w:leftChars="0" w:firstLine="420" w:firstLineChars="20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2"/>
                <w:sz w:val="21"/>
                <w:szCs w:val="21"/>
                <w:lang w:val="en-US" w:eastAsia="zh-CN" w:bidi="ar-SA"/>
              </w:rPr>
              <w:t>1.</w:t>
            </w:r>
            <w:r>
              <w:rPr>
                <w:rFonts w:hint="default" w:ascii="Times New Roman" w:hAnsi="Times New Roman" w:eastAsia="宋体" w:cs="Times New Roman"/>
                <w:color w:val="auto"/>
                <w:sz w:val="21"/>
                <w:szCs w:val="21"/>
              </w:rPr>
              <w:t>排污口规范化必要性：排污口规范化管理是实施污染物总量控制的基础性工作之一，也是总量控制不可缺少的一部分内容，此项工作可强化污染物的现场监督检查，促进企业加强管理和污染治理，实施污染物排放科学化、定量化管理。</w:t>
            </w:r>
          </w:p>
          <w:p w14:paraId="43E62E0F">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360" w:lineRule="auto"/>
              <w:ind w:left="0" w:leftChars="0" w:firstLine="420" w:firstLineChars="20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2"/>
                <w:sz w:val="21"/>
                <w:szCs w:val="21"/>
                <w:lang w:val="en-US" w:eastAsia="zh-CN" w:bidi="ar-SA"/>
              </w:rPr>
              <w:t>2.</w:t>
            </w:r>
            <w:r>
              <w:rPr>
                <w:rFonts w:hint="default" w:ascii="Times New Roman" w:hAnsi="Times New Roman" w:eastAsia="宋体" w:cs="Times New Roman"/>
                <w:color w:val="auto"/>
                <w:sz w:val="21"/>
                <w:szCs w:val="21"/>
              </w:rPr>
              <w:t>排污口规范化的范围和时间：一切新建、扩建、技改、改建的排污单位以及限期治理的排污单位，必须在建设污染治理设施的同时，建设规范化排污口。因此，排污口必须规范化设置和管理。规范化工作应</w:t>
            </w:r>
            <w:r>
              <w:rPr>
                <w:rFonts w:hint="eastAsia" w:ascii="Times New Roman" w:hAnsi="Times New Roman" w:eastAsia="宋体" w:cs="Times New Roman"/>
                <w:color w:val="auto"/>
                <w:sz w:val="21"/>
                <w:szCs w:val="21"/>
                <w:lang w:val="en-US" w:eastAsia="zh-CN"/>
              </w:rPr>
              <w:t>与</w:t>
            </w:r>
            <w:r>
              <w:rPr>
                <w:rFonts w:hint="default" w:ascii="Times New Roman" w:hAnsi="Times New Roman" w:eastAsia="宋体" w:cs="Times New Roman"/>
                <w:color w:val="auto"/>
                <w:sz w:val="21"/>
                <w:szCs w:val="21"/>
              </w:rPr>
              <w:t>污染治理同步实施，即治理设施完工时，规范化工作必须同时完成，并列入污染治理设施的验收内容。</w:t>
            </w:r>
          </w:p>
          <w:p w14:paraId="27D0321D">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360" w:lineRule="auto"/>
              <w:ind w:left="0" w:leftChars="0" w:firstLine="420" w:firstLineChars="20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2"/>
                <w:sz w:val="21"/>
                <w:szCs w:val="21"/>
                <w:lang w:val="en-US" w:eastAsia="zh-CN" w:bidi="ar-SA"/>
              </w:rPr>
              <w:t>3.</w:t>
            </w:r>
            <w:r>
              <w:rPr>
                <w:rFonts w:hint="default" w:ascii="Times New Roman" w:hAnsi="Times New Roman" w:eastAsia="宋体" w:cs="Times New Roman"/>
                <w:color w:val="auto"/>
                <w:sz w:val="21"/>
                <w:szCs w:val="21"/>
              </w:rPr>
              <w:t xml:space="preserve">排污口规范化内容 </w:t>
            </w:r>
          </w:p>
          <w:p w14:paraId="6F82CDB3">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before="0" w:beforeLines="15" w:after="0" w:afterLines="15" w:line="360" w:lineRule="auto"/>
              <w:ind w:left="0" w:leftChars="0" w:firstLine="420" w:firstLineChars="200"/>
              <w:jc w:val="left"/>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（1）需规范化排放口：排放口应预留监测口，做到便于采样和测定流量，并设立标志。</w:t>
            </w:r>
          </w:p>
          <w:p w14:paraId="60CB48B9">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before="0" w:beforeLines="15" w:after="0" w:afterLines="15" w:line="360" w:lineRule="auto"/>
              <w:ind w:left="0" w:leftChars="0" w:firstLine="420" w:firstLineChars="200"/>
              <w:jc w:val="left"/>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（2）排污口的管理：建设单位应在各排污口处设置较明显的排污口标志牌，其上应注明主要排污污染物的名称。建设单位应如实填写《中华人民共和国规范化排污口标志登记证》的有关内容，由</w:t>
            </w:r>
            <w:r>
              <w:rPr>
                <w:rFonts w:hint="eastAsia" w:ascii="Times New Roman" w:hAnsi="Times New Roman" w:eastAsia="宋体" w:cs="Times New Roman"/>
                <w:color w:val="auto"/>
                <w:kern w:val="0"/>
                <w:sz w:val="21"/>
                <w:szCs w:val="21"/>
                <w:lang w:val="en-US" w:eastAsia="zh-CN" w:bidi="ar-SA"/>
              </w:rPr>
              <w:t>生态环境主管部门</w:t>
            </w:r>
            <w:r>
              <w:rPr>
                <w:rFonts w:hint="default" w:ascii="Times New Roman" w:hAnsi="Times New Roman" w:eastAsia="宋体" w:cs="Times New Roman"/>
                <w:color w:val="auto"/>
                <w:kern w:val="0"/>
                <w:sz w:val="21"/>
                <w:szCs w:val="21"/>
                <w:lang w:val="en-US" w:eastAsia="zh-CN" w:bidi="ar-SA"/>
              </w:rPr>
              <w:t>签发登记证。建设单位应将有关排污口的情况如：排污口的性质、编号、排污口的位置；主要排放的污染物种类、数量、浓度、排放规律、排放去向；污染治理措施的运行情况等进行建档管理，并报送</w:t>
            </w:r>
            <w:r>
              <w:rPr>
                <w:rFonts w:hint="eastAsia" w:ascii="Times New Roman" w:hAnsi="Times New Roman" w:eastAsia="宋体" w:cs="Times New Roman"/>
                <w:color w:val="auto"/>
                <w:kern w:val="0"/>
                <w:sz w:val="21"/>
                <w:szCs w:val="21"/>
                <w:lang w:val="en-US" w:eastAsia="zh-CN" w:bidi="ar-SA"/>
              </w:rPr>
              <w:t>生态环境主管部门</w:t>
            </w:r>
            <w:r>
              <w:rPr>
                <w:rFonts w:hint="default" w:ascii="Times New Roman" w:hAnsi="Times New Roman" w:eastAsia="宋体" w:cs="Times New Roman"/>
                <w:color w:val="auto"/>
                <w:kern w:val="0"/>
                <w:sz w:val="21"/>
                <w:szCs w:val="21"/>
                <w:lang w:val="en-US" w:eastAsia="zh-CN" w:bidi="ar-SA"/>
              </w:rPr>
              <w:t>备案。排污口规范化标识详见下表。</w:t>
            </w:r>
          </w:p>
          <w:p w14:paraId="7E5538F0">
            <w:pPr>
              <w:keepNext w:val="0"/>
              <w:keepLines w:val="0"/>
              <w:pageBreakBefore w:val="0"/>
              <w:widowControl w:val="0"/>
              <w:kinsoku/>
              <w:overflowPunct/>
              <w:topLinePunct w:val="0"/>
              <w:autoSpaceDE/>
              <w:autoSpaceDN/>
              <w:bidi w:val="0"/>
              <w:snapToGrid w:val="0"/>
              <w:spacing w:before="60" w:after="160" w:line="240" w:lineRule="auto"/>
              <w:ind w:right="0" w:firstLine="482"/>
              <w:jc w:val="center"/>
              <w:textAlignment w:val="auto"/>
              <w:rPr>
                <w:rFonts w:hint="default" w:ascii="Times New Roman" w:hAnsi="Times New Roman" w:eastAsia="宋体" w:cs="Times New Roman"/>
                <w:b/>
                <w:color w:val="auto"/>
                <w:kern w:val="0"/>
                <w:sz w:val="21"/>
                <w:szCs w:val="21"/>
                <w:lang w:val="en-US" w:eastAsia="zh-CN" w:bidi="ar-SA"/>
              </w:rPr>
            </w:pPr>
            <w:r>
              <w:rPr>
                <w:rFonts w:hint="default" w:ascii="Times New Roman" w:hAnsi="Times New Roman" w:eastAsia="宋体" w:cs="Times New Roman"/>
                <w:b/>
                <w:color w:val="auto"/>
                <w:kern w:val="0"/>
                <w:sz w:val="21"/>
                <w:szCs w:val="21"/>
                <w:lang w:val="en-US" w:eastAsia="zh-CN" w:bidi="ar-SA"/>
              </w:rPr>
              <w:t>表5-1排污口规范化标识示意图表</w:t>
            </w:r>
          </w:p>
          <w:tbl>
            <w:tblPr>
              <w:tblStyle w:val="44"/>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8"/>
              <w:gridCol w:w="1693"/>
              <w:gridCol w:w="1472"/>
              <w:gridCol w:w="1472"/>
              <w:gridCol w:w="2121"/>
            </w:tblGrid>
            <w:tr w14:paraId="1879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5" w:type="dxa"/>
                  <w:noWrap w:val="0"/>
                  <w:vAlign w:val="top"/>
                </w:tcPr>
                <w:p w14:paraId="03AEE3AE">
                  <w:pPr>
                    <w:keepNext w:val="0"/>
                    <w:keepLines w:val="0"/>
                    <w:pageBreakBefore w:val="0"/>
                    <w:widowControl w:val="0"/>
                    <w:kinsoku/>
                    <w:overflowPunct/>
                    <w:topLinePunct w:val="0"/>
                    <w:autoSpaceDE/>
                    <w:autoSpaceDN/>
                    <w:bidi w:val="0"/>
                    <w:adjustRightInd w:val="0"/>
                    <w:snapToGrid w:val="0"/>
                    <w:spacing w:before="0" w:beforeLines="15" w:after="0" w:afterLines="15" w:line="240" w:lineRule="auto"/>
                    <w:jc w:val="center"/>
                    <w:textAlignment w:val="auto"/>
                    <w:rPr>
                      <w:rFonts w:hint="default" w:ascii="Times New Roman" w:hAnsi="Times New Roman" w:eastAsia="宋体" w:cs="Times New Roman"/>
                      <w:b/>
                      <w:color w:val="auto"/>
                      <w:kern w:val="0"/>
                      <w:sz w:val="21"/>
                      <w:szCs w:val="21"/>
                      <w:lang w:val="en-US" w:eastAsia="zh-CN" w:bidi="ar-SA"/>
                    </w:rPr>
                  </w:pPr>
                  <w:r>
                    <w:rPr>
                      <w:rFonts w:hint="default" w:ascii="Times New Roman" w:hAnsi="Times New Roman" w:eastAsia="宋体" w:cs="Times New Roman"/>
                      <w:b/>
                      <w:color w:val="auto"/>
                      <w:kern w:val="0"/>
                      <w:sz w:val="21"/>
                      <w:szCs w:val="21"/>
                      <w:lang w:val="en-US" w:eastAsia="zh-CN" w:bidi="ar-SA"/>
                    </w:rPr>
                    <w:t>废水排放口</w:t>
                  </w:r>
                </w:p>
              </w:tc>
              <w:tc>
                <w:tcPr>
                  <w:tcW w:w="1444" w:type="dxa"/>
                  <w:noWrap w:val="0"/>
                  <w:vAlign w:val="top"/>
                </w:tcPr>
                <w:p w14:paraId="783C68E8">
                  <w:pPr>
                    <w:keepNext w:val="0"/>
                    <w:keepLines w:val="0"/>
                    <w:pageBreakBefore w:val="0"/>
                    <w:widowControl w:val="0"/>
                    <w:kinsoku/>
                    <w:overflowPunct/>
                    <w:topLinePunct w:val="0"/>
                    <w:autoSpaceDE/>
                    <w:autoSpaceDN/>
                    <w:bidi w:val="0"/>
                    <w:adjustRightInd w:val="0"/>
                    <w:snapToGrid w:val="0"/>
                    <w:spacing w:before="0" w:beforeLines="15" w:after="0" w:afterLines="15" w:line="240" w:lineRule="auto"/>
                    <w:jc w:val="center"/>
                    <w:textAlignment w:val="auto"/>
                    <w:rPr>
                      <w:rFonts w:hint="default" w:ascii="Times New Roman" w:hAnsi="Times New Roman" w:eastAsia="宋体" w:cs="Times New Roman"/>
                      <w:b/>
                      <w:color w:val="auto"/>
                      <w:kern w:val="0"/>
                      <w:sz w:val="21"/>
                      <w:szCs w:val="21"/>
                      <w:lang w:val="en-US" w:eastAsia="zh-CN" w:bidi="ar-SA"/>
                    </w:rPr>
                  </w:pPr>
                  <w:r>
                    <w:rPr>
                      <w:rFonts w:hint="default" w:ascii="Times New Roman" w:hAnsi="Times New Roman" w:eastAsia="宋体" w:cs="Times New Roman"/>
                      <w:b/>
                      <w:color w:val="auto"/>
                      <w:kern w:val="0"/>
                      <w:sz w:val="21"/>
                      <w:szCs w:val="21"/>
                      <w:lang w:val="en-US" w:eastAsia="zh-CN" w:bidi="ar-SA"/>
                    </w:rPr>
                    <w:t>废气排放口</w:t>
                  </w:r>
                </w:p>
              </w:tc>
              <w:tc>
                <w:tcPr>
                  <w:tcW w:w="1256" w:type="dxa"/>
                  <w:noWrap w:val="0"/>
                  <w:vAlign w:val="top"/>
                </w:tcPr>
                <w:p w14:paraId="585B8EFA">
                  <w:pPr>
                    <w:keepNext w:val="0"/>
                    <w:keepLines w:val="0"/>
                    <w:pageBreakBefore w:val="0"/>
                    <w:widowControl w:val="0"/>
                    <w:kinsoku/>
                    <w:overflowPunct/>
                    <w:topLinePunct w:val="0"/>
                    <w:autoSpaceDE/>
                    <w:autoSpaceDN/>
                    <w:bidi w:val="0"/>
                    <w:adjustRightInd w:val="0"/>
                    <w:snapToGrid w:val="0"/>
                    <w:spacing w:before="0" w:beforeLines="15" w:after="0" w:afterLines="15" w:line="240" w:lineRule="auto"/>
                    <w:jc w:val="center"/>
                    <w:textAlignment w:val="auto"/>
                    <w:rPr>
                      <w:rFonts w:hint="default" w:ascii="Times New Roman" w:hAnsi="Times New Roman" w:eastAsia="宋体" w:cs="Times New Roman"/>
                      <w:b/>
                      <w:color w:val="auto"/>
                      <w:kern w:val="0"/>
                      <w:sz w:val="21"/>
                      <w:szCs w:val="21"/>
                      <w:lang w:val="en-US" w:eastAsia="zh-CN" w:bidi="ar-SA"/>
                    </w:rPr>
                  </w:pPr>
                  <w:r>
                    <w:rPr>
                      <w:rFonts w:hint="default" w:ascii="Times New Roman" w:hAnsi="Times New Roman" w:eastAsia="宋体" w:cs="Times New Roman"/>
                      <w:b/>
                      <w:color w:val="auto"/>
                      <w:kern w:val="0"/>
                      <w:sz w:val="21"/>
                      <w:szCs w:val="21"/>
                      <w:lang w:val="en-US" w:eastAsia="zh-CN" w:bidi="ar-SA"/>
                    </w:rPr>
                    <w:t>噪声源</w:t>
                  </w:r>
                </w:p>
              </w:tc>
              <w:tc>
                <w:tcPr>
                  <w:tcW w:w="1256" w:type="dxa"/>
                  <w:noWrap w:val="0"/>
                  <w:vAlign w:val="top"/>
                </w:tcPr>
                <w:p w14:paraId="11F8F28A">
                  <w:pPr>
                    <w:keepNext w:val="0"/>
                    <w:keepLines w:val="0"/>
                    <w:pageBreakBefore w:val="0"/>
                    <w:widowControl w:val="0"/>
                    <w:kinsoku/>
                    <w:overflowPunct/>
                    <w:topLinePunct w:val="0"/>
                    <w:autoSpaceDE/>
                    <w:autoSpaceDN/>
                    <w:bidi w:val="0"/>
                    <w:adjustRightInd w:val="0"/>
                    <w:snapToGrid w:val="0"/>
                    <w:spacing w:before="0" w:beforeLines="15" w:after="0" w:afterLines="15" w:line="240" w:lineRule="auto"/>
                    <w:jc w:val="center"/>
                    <w:textAlignment w:val="auto"/>
                    <w:rPr>
                      <w:rFonts w:hint="default" w:ascii="Times New Roman" w:hAnsi="Times New Roman" w:eastAsia="宋体" w:cs="Times New Roman"/>
                      <w:b/>
                      <w:color w:val="auto"/>
                      <w:kern w:val="0"/>
                      <w:sz w:val="21"/>
                      <w:szCs w:val="21"/>
                      <w:lang w:val="en-US" w:eastAsia="zh-CN" w:bidi="ar-SA"/>
                    </w:rPr>
                  </w:pPr>
                  <w:r>
                    <w:rPr>
                      <w:rFonts w:hint="default" w:ascii="Times New Roman" w:hAnsi="Times New Roman" w:eastAsia="宋体" w:cs="Times New Roman"/>
                      <w:b/>
                      <w:color w:val="auto"/>
                      <w:kern w:val="0"/>
                      <w:sz w:val="21"/>
                      <w:szCs w:val="21"/>
                      <w:lang w:val="en-US" w:eastAsia="zh-CN" w:bidi="ar-SA"/>
                    </w:rPr>
                    <w:t>固体废弃物堆场</w:t>
                  </w:r>
                </w:p>
              </w:tc>
              <w:tc>
                <w:tcPr>
                  <w:tcW w:w="1810" w:type="dxa"/>
                  <w:noWrap w:val="0"/>
                  <w:vAlign w:val="top"/>
                </w:tcPr>
                <w:p w14:paraId="0AA9FFDD">
                  <w:pPr>
                    <w:keepNext w:val="0"/>
                    <w:keepLines w:val="0"/>
                    <w:pageBreakBefore w:val="0"/>
                    <w:widowControl w:val="0"/>
                    <w:kinsoku/>
                    <w:overflowPunct/>
                    <w:topLinePunct w:val="0"/>
                    <w:autoSpaceDE/>
                    <w:autoSpaceDN/>
                    <w:bidi w:val="0"/>
                    <w:adjustRightInd w:val="0"/>
                    <w:snapToGrid w:val="0"/>
                    <w:spacing w:before="0" w:beforeLines="15" w:after="0" w:afterLines="15" w:line="240" w:lineRule="auto"/>
                    <w:jc w:val="center"/>
                    <w:textAlignment w:val="auto"/>
                    <w:rPr>
                      <w:rFonts w:hint="default" w:ascii="Times New Roman" w:hAnsi="Times New Roman" w:eastAsia="宋体" w:cs="Times New Roman"/>
                      <w:b/>
                      <w:color w:val="auto"/>
                      <w:kern w:val="0"/>
                      <w:sz w:val="21"/>
                      <w:szCs w:val="21"/>
                      <w:lang w:val="en-US" w:eastAsia="zh-CN" w:bidi="ar-SA"/>
                    </w:rPr>
                  </w:pPr>
                  <w:r>
                    <w:rPr>
                      <w:rFonts w:hint="default" w:ascii="Times New Roman" w:hAnsi="Times New Roman" w:eastAsia="宋体" w:cs="Times New Roman"/>
                      <w:b/>
                      <w:color w:val="auto"/>
                      <w:kern w:val="0"/>
                      <w:sz w:val="21"/>
                      <w:szCs w:val="21"/>
                      <w:lang w:val="en-US" w:eastAsia="zh-CN" w:bidi="ar-SA"/>
                    </w:rPr>
                    <w:t>危险废物暂存</w:t>
                  </w:r>
                </w:p>
              </w:tc>
            </w:tr>
            <w:tr w14:paraId="23853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1295" w:type="dxa"/>
                  <w:noWrap w:val="0"/>
                  <w:vAlign w:val="center"/>
                </w:tcPr>
                <w:p w14:paraId="4B41522E">
                  <w:pPr>
                    <w:keepNext w:val="0"/>
                    <w:keepLines w:val="0"/>
                    <w:pageBreakBefore w:val="0"/>
                    <w:widowControl w:val="0"/>
                    <w:kinsoku/>
                    <w:overflowPunct/>
                    <w:topLinePunct w:val="0"/>
                    <w:autoSpaceDE/>
                    <w:autoSpaceDN/>
                    <w:bidi w:val="0"/>
                    <w:adjustRightInd w:val="0"/>
                    <w:snapToGrid w:val="0"/>
                    <w:spacing w:before="0" w:beforeLines="15" w:after="0" w:afterLines="15" w:line="240" w:lineRule="auto"/>
                    <w:jc w:val="both"/>
                    <w:textAlignment w:val="auto"/>
                    <w:rPr>
                      <w:rFonts w:hint="default" w:ascii="Times New Roman" w:hAnsi="Times New Roman" w:eastAsia="宋体" w:cs="Times New Roman"/>
                      <w:b/>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drawing>
                      <wp:inline distT="0" distB="0" distL="114300" distR="114300">
                        <wp:extent cx="640715" cy="647700"/>
                        <wp:effectExtent l="0" t="0" r="6985" b="0"/>
                        <wp:docPr id="178" name="图片 12" descr="排放口"/>
                        <wp:cNvGraphicFramePr/>
                        <a:graphic xmlns:a="http://schemas.openxmlformats.org/drawingml/2006/main">
                          <a:graphicData uri="http://schemas.openxmlformats.org/drawingml/2006/picture">
                            <pic:pic xmlns:pic="http://schemas.openxmlformats.org/drawingml/2006/picture">
                              <pic:nvPicPr>
                                <pic:cNvPr id="178" name="图片 12" descr="排放口"/>
                                <pic:cNvPicPr/>
                              </pic:nvPicPr>
                              <pic:blipFill>
                                <a:blip r:embed="rId27"/>
                                <a:srcRect l="66771" t="5846" r="3780" b="55385"/>
                                <a:stretch>
                                  <a:fillRect/>
                                </a:stretch>
                              </pic:blipFill>
                              <pic:spPr>
                                <a:xfrm>
                                  <a:off x="0" y="0"/>
                                  <a:ext cx="640715" cy="647700"/>
                                </a:xfrm>
                                <a:prstGeom prst="rect">
                                  <a:avLst/>
                                </a:prstGeom>
                                <a:noFill/>
                                <a:ln>
                                  <a:noFill/>
                                </a:ln>
                              </pic:spPr>
                            </pic:pic>
                          </a:graphicData>
                        </a:graphic>
                      </wp:inline>
                    </w:drawing>
                  </w:r>
                </w:p>
              </w:tc>
              <w:tc>
                <w:tcPr>
                  <w:tcW w:w="1444" w:type="dxa"/>
                  <w:noWrap w:val="0"/>
                  <w:vAlign w:val="top"/>
                </w:tcPr>
                <w:p w14:paraId="6A5BB2A0">
                  <w:pPr>
                    <w:keepNext w:val="0"/>
                    <w:keepLines w:val="0"/>
                    <w:pageBreakBefore w:val="0"/>
                    <w:widowControl w:val="0"/>
                    <w:kinsoku/>
                    <w:overflowPunct/>
                    <w:topLinePunct w:val="0"/>
                    <w:autoSpaceDE/>
                    <w:autoSpaceDN/>
                    <w:bidi w:val="0"/>
                    <w:adjustRightInd w:val="0"/>
                    <w:snapToGrid w:val="0"/>
                    <w:spacing w:before="0" w:beforeLines="15" w:after="0" w:afterLines="15" w:line="240" w:lineRule="auto"/>
                    <w:jc w:val="center"/>
                    <w:textAlignment w:val="auto"/>
                    <w:rPr>
                      <w:rFonts w:hint="default" w:ascii="Times New Roman" w:hAnsi="Times New Roman" w:eastAsia="宋体" w:cs="Times New Roman"/>
                      <w:b/>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drawing>
                      <wp:inline distT="0" distB="0" distL="114300" distR="114300">
                        <wp:extent cx="637540" cy="647700"/>
                        <wp:effectExtent l="0" t="0" r="10160" b="0"/>
                        <wp:docPr id="190" name="图片 13" descr="排放口"/>
                        <wp:cNvGraphicFramePr/>
                        <a:graphic xmlns:a="http://schemas.openxmlformats.org/drawingml/2006/main">
                          <a:graphicData uri="http://schemas.openxmlformats.org/drawingml/2006/picture">
                            <pic:pic xmlns:pic="http://schemas.openxmlformats.org/drawingml/2006/picture">
                              <pic:nvPicPr>
                                <pic:cNvPr id="190" name="图片 13" descr="排放口"/>
                                <pic:cNvPicPr/>
                              </pic:nvPicPr>
                              <pic:blipFill>
                                <a:blip r:embed="rId28"/>
                                <a:srcRect l="19153" t="6250" r="51726" b="55122"/>
                                <a:stretch>
                                  <a:fillRect/>
                                </a:stretch>
                              </pic:blipFill>
                              <pic:spPr>
                                <a:xfrm>
                                  <a:off x="0" y="0"/>
                                  <a:ext cx="637540" cy="647700"/>
                                </a:xfrm>
                                <a:prstGeom prst="rect">
                                  <a:avLst/>
                                </a:prstGeom>
                                <a:noFill/>
                                <a:ln>
                                  <a:noFill/>
                                </a:ln>
                              </pic:spPr>
                            </pic:pic>
                          </a:graphicData>
                        </a:graphic>
                      </wp:inline>
                    </w:drawing>
                  </w:r>
                </w:p>
              </w:tc>
              <w:tc>
                <w:tcPr>
                  <w:tcW w:w="1256" w:type="dxa"/>
                  <w:noWrap w:val="0"/>
                  <w:vAlign w:val="top"/>
                </w:tcPr>
                <w:p w14:paraId="3AF6071D">
                  <w:pPr>
                    <w:keepNext w:val="0"/>
                    <w:keepLines w:val="0"/>
                    <w:pageBreakBefore w:val="0"/>
                    <w:widowControl w:val="0"/>
                    <w:kinsoku/>
                    <w:overflowPunct/>
                    <w:topLinePunct w:val="0"/>
                    <w:autoSpaceDE/>
                    <w:autoSpaceDN/>
                    <w:bidi w:val="0"/>
                    <w:adjustRightInd w:val="0"/>
                    <w:snapToGrid w:val="0"/>
                    <w:spacing w:before="0" w:beforeLines="15" w:after="0" w:afterLines="15" w:line="240" w:lineRule="auto"/>
                    <w:jc w:val="both"/>
                    <w:textAlignment w:val="auto"/>
                    <w:rPr>
                      <w:rFonts w:hint="default" w:ascii="Times New Roman" w:hAnsi="Times New Roman" w:eastAsia="宋体" w:cs="Times New Roman"/>
                      <w:b/>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drawing>
                      <wp:inline distT="0" distB="0" distL="114300" distR="114300">
                        <wp:extent cx="638810" cy="647700"/>
                        <wp:effectExtent l="0" t="0" r="8890" b="0"/>
                        <wp:docPr id="195" name="图片 14" descr="排放口"/>
                        <wp:cNvGraphicFramePr/>
                        <a:graphic xmlns:a="http://schemas.openxmlformats.org/drawingml/2006/main">
                          <a:graphicData uri="http://schemas.openxmlformats.org/drawingml/2006/picture">
                            <pic:pic xmlns:pic="http://schemas.openxmlformats.org/drawingml/2006/picture">
                              <pic:nvPicPr>
                                <pic:cNvPr id="195" name="图片 14" descr="排放口"/>
                                <pic:cNvPicPr/>
                              </pic:nvPicPr>
                              <pic:blipFill>
                                <a:blip r:embed="rId29"/>
                                <a:srcRect l="51723" t="47942" r="27068" b="13129"/>
                                <a:stretch>
                                  <a:fillRect/>
                                </a:stretch>
                              </pic:blipFill>
                              <pic:spPr>
                                <a:xfrm>
                                  <a:off x="0" y="0"/>
                                  <a:ext cx="638810" cy="647700"/>
                                </a:xfrm>
                                <a:prstGeom prst="rect">
                                  <a:avLst/>
                                </a:prstGeom>
                                <a:noFill/>
                                <a:ln>
                                  <a:noFill/>
                                </a:ln>
                              </pic:spPr>
                            </pic:pic>
                          </a:graphicData>
                        </a:graphic>
                      </wp:inline>
                    </w:drawing>
                  </w:r>
                </w:p>
              </w:tc>
              <w:tc>
                <w:tcPr>
                  <w:tcW w:w="1256" w:type="dxa"/>
                  <w:noWrap w:val="0"/>
                  <w:vAlign w:val="top"/>
                </w:tcPr>
                <w:p w14:paraId="6EF24399">
                  <w:pPr>
                    <w:keepNext w:val="0"/>
                    <w:keepLines w:val="0"/>
                    <w:pageBreakBefore w:val="0"/>
                    <w:widowControl w:val="0"/>
                    <w:kinsoku/>
                    <w:overflowPunct/>
                    <w:topLinePunct w:val="0"/>
                    <w:autoSpaceDE/>
                    <w:autoSpaceDN/>
                    <w:bidi w:val="0"/>
                    <w:adjustRightInd w:val="0"/>
                    <w:snapToGrid w:val="0"/>
                    <w:spacing w:before="0" w:beforeLines="15" w:after="0" w:afterLines="15" w:line="240" w:lineRule="auto"/>
                    <w:jc w:val="both"/>
                    <w:textAlignment w:val="auto"/>
                    <w:rPr>
                      <w:rFonts w:hint="default" w:ascii="Times New Roman" w:hAnsi="Times New Roman" w:eastAsia="宋体" w:cs="Times New Roman"/>
                      <w:b/>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drawing>
                      <wp:inline distT="0" distB="0" distL="114300" distR="114300">
                        <wp:extent cx="652145" cy="647700"/>
                        <wp:effectExtent l="0" t="0" r="14605" b="0"/>
                        <wp:docPr id="196" name="图片 15" descr="排放口"/>
                        <wp:cNvGraphicFramePr/>
                        <a:graphic xmlns:a="http://schemas.openxmlformats.org/drawingml/2006/main">
                          <a:graphicData uri="http://schemas.openxmlformats.org/drawingml/2006/picture">
                            <pic:pic xmlns:pic="http://schemas.openxmlformats.org/drawingml/2006/picture">
                              <pic:nvPicPr>
                                <pic:cNvPr id="196" name="图片 15" descr="排放口"/>
                                <pic:cNvPicPr/>
                              </pic:nvPicPr>
                              <pic:blipFill>
                                <a:blip r:embed="rId30"/>
                                <a:srcRect l="18872" t="47525" r="51678" b="14359"/>
                                <a:stretch>
                                  <a:fillRect/>
                                </a:stretch>
                              </pic:blipFill>
                              <pic:spPr>
                                <a:xfrm>
                                  <a:off x="0" y="0"/>
                                  <a:ext cx="652145" cy="647700"/>
                                </a:xfrm>
                                <a:prstGeom prst="rect">
                                  <a:avLst/>
                                </a:prstGeom>
                                <a:noFill/>
                                <a:ln>
                                  <a:noFill/>
                                </a:ln>
                              </pic:spPr>
                            </pic:pic>
                          </a:graphicData>
                        </a:graphic>
                      </wp:inline>
                    </w:drawing>
                  </w:r>
                </w:p>
              </w:tc>
              <w:tc>
                <w:tcPr>
                  <w:tcW w:w="1810" w:type="dxa"/>
                  <w:noWrap w:val="0"/>
                  <w:vAlign w:val="top"/>
                </w:tcPr>
                <w:p w14:paraId="182493AD">
                  <w:pPr>
                    <w:keepNext w:val="0"/>
                    <w:keepLines w:val="0"/>
                    <w:pageBreakBefore w:val="0"/>
                    <w:widowControl w:val="0"/>
                    <w:kinsoku/>
                    <w:overflowPunct/>
                    <w:topLinePunct w:val="0"/>
                    <w:autoSpaceDE/>
                    <w:autoSpaceDN/>
                    <w:bidi w:val="0"/>
                    <w:adjustRightInd w:val="0"/>
                    <w:snapToGrid w:val="0"/>
                    <w:spacing w:before="0" w:beforeLines="15" w:after="0" w:afterLines="15" w:line="240" w:lineRule="auto"/>
                    <w:jc w:val="center"/>
                    <w:textAlignment w:val="auto"/>
                    <w:rPr>
                      <w:rFonts w:hint="default" w:ascii="Times New Roman" w:hAnsi="Times New Roman" w:eastAsia="宋体" w:cs="Times New Roman"/>
                      <w:b/>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drawing>
                      <wp:inline distT="0" distB="0" distL="114300" distR="114300">
                        <wp:extent cx="673735" cy="687070"/>
                        <wp:effectExtent l="0" t="0" r="12065" b="17780"/>
                        <wp:docPr id="205" name="图片 16"/>
                        <wp:cNvGraphicFramePr/>
                        <a:graphic xmlns:a="http://schemas.openxmlformats.org/drawingml/2006/main">
                          <a:graphicData uri="http://schemas.openxmlformats.org/drawingml/2006/picture">
                            <pic:pic xmlns:pic="http://schemas.openxmlformats.org/drawingml/2006/picture">
                              <pic:nvPicPr>
                                <pic:cNvPr id="205" name="图片 16"/>
                                <pic:cNvPicPr/>
                              </pic:nvPicPr>
                              <pic:blipFill>
                                <a:blip r:embed="rId31"/>
                                <a:srcRect l="15968" t="5974" r="13557" b="48367"/>
                                <a:stretch>
                                  <a:fillRect/>
                                </a:stretch>
                              </pic:blipFill>
                              <pic:spPr>
                                <a:xfrm>
                                  <a:off x="0" y="0"/>
                                  <a:ext cx="673735" cy="687070"/>
                                </a:xfrm>
                                <a:prstGeom prst="rect">
                                  <a:avLst/>
                                </a:prstGeom>
                                <a:noFill/>
                                <a:ln>
                                  <a:noFill/>
                                </a:ln>
                              </pic:spPr>
                            </pic:pic>
                          </a:graphicData>
                        </a:graphic>
                      </wp:inline>
                    </w:drawing>
                  </w:r>
                </w:p>
              </w:tc>
            </w:tr>
            <w:tr w14:paraId="2C2DE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1" w:type="dxa"/>
                  <w:gridSpan w:val="4"/>
                  <w:noWrap w:val="0"/>
                  <w:vAlign w:val="top"/>
                </w:tcPr>
                <w:p w14:paraId="5F373588">
                  <w:pPr>
                    <w:keepNext w:val="0"/>
                    <w:keepLines w:val="0"/>
                    <w:pageBreakBefore w:val="0"/>
                    <w:widowControl w:val="0"/>
                    <w:kinsoku/>
                    <w:overflowPunct/>
                    <w:topLinePunct w:val="0"/>
                    <w:autoSpaceDE/>
                    <w:autoSpaceDN/>
                    <w:bidi w:val="0"/>
                    <w:adjustRightInd w:val="0"/>
                    <w:snapToGrid w:val="0"/>
                    <w:spacing w:before="0" w:beforeLines="15" w:after="0" w:afterLines="15" w:line="240" w:lineRule="auto"/>
                    <w:ind w:firstLine="420" w:firstLineChars="200"/>
                    <w:jc w:val="center"/>
                    <w:textAlignment w:val="auto"/>
                    <w:rPr>
                      <w:rFonts w:hint="default" w:ascii="Times New Roman" w:hAnsi="Times New Roman" w:eastAsia="宋体" w:cs="Times New Roman"/>
                      <w:b/>
                      <w:color w:val="auto"/>
                      <w:kern w:val="0"/>
                      <w:sz w:val="21"/>
                      <w:szCs w:val="21"/>
                      <w:lang w:val="en-US" w:eastAsia="zh-CN" w:bidi="ar-SA"/>
                    </w:rPr>
                  </w:pPr>
                  <w:r>
                    <w:rPr>
                      <w:rFonts w:hint="default" w:ascii="Times New Roman" w:hAnsi="Times New Roman" w:eastAsia="宋体" w:cs="Times New Roman"/>
                      <w:b/>
                      <w:color w:val="auto"/>
                      <w:kern w:val="0"/>
                      <w:sz w:val="21"/>
                      <w:szCs w:val="21"/>
                      <w:lang w:val="en-US" w:eastAsia="zh-CN" w:bidi="ar-SA"/>
                    </w:rPr>
                    <w:t>背景颜色：绿色            图形颜色：白色</w:t>
                  </w:r>
                </w:p>
              </w:tc>
              <w:tc>
                <w:tcPr>
                  <w:tcW w:w="1810" w:type="dxa"/>
                  <w:noWrap w:val="0"/>
                  <w:vAlign w:val="top"/>
                </w:tcPr>
                <w:p w14:paraId="6A4EE3F8">
                  <w:pPr>
                    <w:keepNext w:val="0"/>
                    <w:keepLines w:val="0"/>
                    <w:pageBreakBefore w:val="0"/>
                    <w:widowControl w:val="0"/>
                    <w:kinsoku/>
                    <w:overflowPunct/>
                    <w:topLinePunct w:val="0"/>
                    <w:autoSpaceDE/>
                    <w:autoSpaceDN/>
                    <w:bidi w:val="0"/>
                    <w:adjustRightInd w:val="0"/>
                    <w:snapToGrid w:val="0"/>
                    <w:spacing w:before="0" w:beforeLines="15" w:after="0" w:afterLines="15" w:line="240" w:lineRule="auto"/>
                    <w:jc w:val="both"/>
                    <w:textAlignment w:val="auto"/>
                    <w:rPr>
                      <w:rFonts w:hint="default" w:ascii="Times New Roman" w:hAnsi="Times New Roman" w:eastAsia="宋体" w:cs="Times New Roman"/>
                      <w:b/>
                      <w:color w:val="auto"/>
                      <w:kern w:val="0"/>
                      <w:sz w:val="21"/>
                      <w:szCs w:val="21"/>
                      <w:lang w:val="en-US" w:eastAsia="zh-CN" w:bidi="ar-SA"/>
                    </w:rPr>
                  </w:pPr>
                  <w:r>
                    <w:rPr>
                      <w:rFonts w:hint="eastAsia" w:ascii="Times New Roman" w:hAnsi="Times New Roman" w:eastAsia="宋体" w:cs="Times New Roman"/>
                      <w:b/>
                      <w:color w:val="auto"/>
                      <w:kern w:val="0"/>
                      <w:sz w:val="21"/>
                      <w:szCs w:val="21"/>
                      <w:lang w:val="en-US" w:eastAsia="zh-CN" w:bidi="ar-SA"/>
                    </w:rPr>
                    <w:t>底色为黄色，图形字体边框为黑色</w:t>
                  </w:r>
                </w:p>
              </w:tc>
            </w:tr>
          </w:tbl>
          <w:p w14:paraId="0F64AAB7">
            <w:pPr>
              <w:keepNext w:val="0"/>
              <w:keepLines w:val="0"/>
              <w:pageBreakBefore w:val="0"/>
              <w:widowControl w:val="0"/>
              <w:numPr>
                <w:ilvl w:val="0"/>
                <w:numId w:val="0"/>
              </w:numPr>
              <w:kinsoku/>
              <w:overflowPunct/>
              <w:topLinePunct w:val="0"/>
              <w:autoSpaceDE/>
              <w:autoSpaceDN/>
              <w:bidi w:val="0"/>
              <w:spacing w:line="360" w:lineRule="auto"/>
              <w:jc w:val="left"/>
              <w:textAlignment w:val="auto"/>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（三）</w:t>
            </w:r>
            <w:r>
              <w:rPr>
                <w:rFonts w:hint="default" w:ascii="Times New Roman" w:hAnsi="Times New Roman" w:eastAsia="宋体" w:cs="Times New Roman"/>
                <w:b/>
                <w:color w:val="auto"/>
                <w:kern w:val="2"/>
                <w:sz w:val="21"/>
                <w:szCs w:val="21"/>
                <w:lang w:val="en-US" w:eastAsia="zh-CN" w:bidi="ar-SA"/>
              </w:rPr>
              <w:t>排污许可</w:t>
            </w:r>
          </w:p>
          <w:p w14:paraId="4323CF19">
            <w:pPr>
              <w:keepNext w:val="0"/>
              <w:keepLines w:val="0"/>
              <w:pageBreakBefore w:val="0"/>
              <w:widowControl w:val="0"/>
              <w:kinsoku/>
              <w:overflowPunct/>
              <w:topLinePunct w:val="0"/>
              <w:autoSpaceDE/>
              <w:autoSpaceDN/>
              <w:bidi w:val="0"/>
              <w:adjustRightInd w:val="0"/>
              <w:snapToGrid w:val="0"/>
              <w:spacing w:line="360" w:lineRule="auto"/>
              <w:ind w:firstLine="420" w:firstLineChars="20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根据《固定污染源排污许可分类管理名录（2019版）》，对本项目排污许可分类进行判定，具体如下：</w:t>
            </w:r>
          </w:p>
          <w:p w14:paraId="7A57D2D2">
            <w:pPr>
              <w:keepNext w:val="0"/>
              <w:keepLines w:val="0"/>
              <w:pageBreakBefore w:val="0"/>
              <w:widowControl w:val="0"/>
              <w:kinsoku/>
              <w:overflowPunct/>
              <w:topLinePunct w:val="0"/>
              <w:autoSpaceDE/>
              <w:autoSpaceDN/>
              <w:bidi w:val="0"/>
              <w:snapToGrid w:val="0"/>
              <w:spacing w:before="60" w:after="160" w:line="240" w:lineRule="auto"/>
              <w:ind w:right="0" w:firstLine="482"/>
              <w:jc w:val="center"/>
              <w:textAlignment w:val="auto"/>
              <w:rPr>
                <w:rFonts w:hint="default" w:ascii="Times New Roman" w:hAnsi="Times New Roman" w:eastAsia="宋体" w:cs="Times New Roman"/>
                <w:b/>
                <w:color w:val="auto"/>
                <w:kern w:val="0"/>
                <w:sz w:val="21"/>
                <w:szCs w:val="21"/>
                <w:lang w:val="en-US" w:eastAsia="zh-CN" w:bidi="ar-SA"/>
              </w:rPr>
            </w:pPr>
            <w:r>
              <w:rPr>
                <w:rFonts w:hint="default" w:ascii="Times New Roman" w:hAnsi="Times New Roman" w:eastAsia="宋体" w:cs="Times New Roman"/>
                <w:b/>
                <w:color w:val="auto"/>
                <w:kern w:val="0"/>
                <w:sz w:val="21"/>
                <w:szCs w:val="21"/>
                <w:lang w:val="en-US" w:eastAsia="zh-CN" w:bidi="ar-SA"/>
              </w:rPr>
              <w:t>表5-2 项目排污许可类别判定表</w:t>
            </w:r>
          </w:p>
          <w:tbl>
            <w:tblPr>
              <w:tblStyle w:val="4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4"/>
              <w:gridCol w:w="1592"/>
              <w:gridCol w:w="1695"/>
              <w:gridCol w:w="1496"/>
              <w:gridCol w:w="1162"/>
              <w:gridCol w:w="1214"/>
            </w:tblGrid>
            <w:tr w14:paraId="75546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pct"/>
                  <w:vMerge w:val="restart"/>
                  <w:tcBorders>
                    <w:tl2br w:val="nil"/>
                    <w:tr2bl w:val="nil"/>
                  </w:tcBorders>
                  <w:noWrap w:val="0"/>
                  <w:vAlign w:val="center"/>
                </w:tcPr>
                <w:p w14:paraId="753C1EDF">
                  <w:pPr>
                    <w:keepNext w:val="0"/>
                    <w:keepLines w:val="0"/>
                    <w:pageBreakBefore w:val="0"/>
                    <w:widowControl w:val="0"/>
                    <w:numPr>
                      <w:ilvl w:val="0"/>
                      <w:numId w:val="0"/>
                    </w:numPr>
                    <w:tabs>
                      <w:tab w:val="left" w:pos="2040"/>
                    </w:tabs>
                    <w:kinsoku/>
                    <w:overflowPunct/>
                    <w:topLinePunct w:val="0"/>
                    <w:autoSpaceDE/>
                    <w:autoSpaceDN/>
                    <w:bidi w:val="0"/>
                    <w:spacing w:line="240" w:lineRule="auto"/>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国民经济行业类别</w:t>
                  </w:r>
                </w:p>
              </w:tc>
              <w:tc>
                <w:tcPr>
                  <w:tcW w:w="962" w:type="pct"/>
                  <w:vMerge w:val="restart"/>
                  <w:tcBorders>
                    <w:tl2br w:val="nil"/>
                    <w:tr2bl w:val="nil"/>
                  </w:tcBorders>
                  <w:noWrap w:val="0"/>
                  <w:vAlign w:val="center"/>
                </w:tcPr>
                <w:p w14:paraId="710FA9A5">
                  <w:pPr>
                    <w:keepNext w:val="0"/>
                    <w:keepLines w:val="0"/>
                    <w:pageBreakBefore w:val="0"/>
                    <w:widowControl w:val="0"/>
                    <w:numPr>
                      <w:ilvl w:val="0"/>
                      <w:numId w:val="0"/>
                    </w:numPr>
                    <w:tabs>
                      <w:tab w:val="left" w:pos="2040"/>
                    </w:tabs>
                    <w:kinsoku/>
                    <w:overflowPunct/>
                    <w:topLinePunct w:val="0"/>
                    <w:autoSpaceDE/>
                    <w:autoSpaceDN/>
                    <w:bidi w:val="0"/>
                    <w:spacing w:line="240" w:lineRule="auto"/>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建设项目行业类别</w:t>
                  </w:r>
                </w:p>
              </w:tc>
              <w:tc>
                <w:tcPr>
                  <w:tcW w:w="3364" w:type="pct"/>
                  <w:gridSpan w:val="4"/>
                  <w:tcBorders>
                    <w:tl2br w:val="nil"/>
                    <w:tr2bl w:val="nil"/>
                  </w:tcBorders>
                  <w:noWrap w:val="0"/>
                  <w:vAlign w:val="center"/>
                </w:tcPr>
                <w:p w14:paraId="7134BED8">
                  <w:pPr>
                    <w:keepNext w:val="0"/>
                    <w:keepLines w:val="0"/>
                    <w:pageBreakBefore w:val="0"/>
                    <w:widowControl w:val="0"/>
                    <w:numPr>
                      <w:ilvl w:val="0"/>
                      <w:numId w:val="0"/>
                    </w:numPr>
                    <w:tabs>
                      <w:tab w:val="left" w:pos="2040"/>
                    </w:tabs>
                    <w:kinsoku/>
                    <w:overflowPunct/>
                    <w:topLinePunct w:val="0"/>
                    <w:autoSpaceDE/>
                    <w:autoSpaceDN/>
                    <w:bidi w:val="0"/>
                    <w:spacing w:line="240" w:lineRule="auto"/>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排污许可类别判定</w:t>
                  </w:r>
                </w:p>
              </w:tc>
            </w:tr>
            <w:tr w14:paraId="38296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pct"/>
                  <w:vMerge w:val="continue"/>
                  <w:tcBorders>
                    <w:tl2br w:val="nil"/>
                    <w:tr2bl w:val="nil"/>
                  </w:tcBorders>
                  <w:noWrap w:val="0"/>
                  <w:vAlign w:val="center"/>
                </w:tcPr>
                <w:p w14:paraId="14D48CAC">
                  <w:pPr>
                    <w:keepNext w:val="0"/>
                    <w:keepLines w:val="0"/>
                    <w:pageBreakBefore w:val="0"/>
                    <w:widowControl w:val="0"/>
                    <w:numPr>
                      <w:ilvl w:val="0"/>
                      <w:numId w:val="0"/>
                    </w:numPr>
                    <w:tabs>
                      <w:tab w:val="left" w:pos="2040"/>
                    </w:tabs>
                    <w:kinsoku/>
                    <w:overflowPunct/>
                    <w:topLinePunct w:val="0"/>
                    <w:autoSpaceDE/>
                    <w:autoSpaceDN/>
                    <w:bidi w:val="0"/>
                    <w:spacing w:line="240" w:lineRule="auto"/>
                    <w:jc w:val="center"/>
                    <w:textAlignment w:val="auto"/>
                    <w:rPr>
                      <w:rFonts w:hint="default" w:ascii="Times New Roman" w:hAnsi="Times New Roman" w:eastAsia="宋体" w:cs="Times New Roman"/>
                      <w:b/>
                      <w:bCs/>
                      <w:color w:val="auto"/>
                      <w:kern w:val="2"/>
                      <w:sz w:val="21"/>
                      <w:szCs w:val="21"/>
                      <w:lang w:val="en-US" w:eastAsia="zh-CN" w:bidi="ar-SA"/>
                    </w:rPr>
                  </w:pPr>
                </w:p>
              </w:tc>
              <w:tc>
                <w:tcPr>
                  <w:tcW w:w="962" w:type="pct"/>
                  <w:vMerge w:val="continue"/>
                  <w:tcBorders>
                    <w:tl2br w:val="nil"/>
                    <w:tr2bl w:val="nil"/>
                  </w:tcBorders>
                  <w:noWrap w:val="0"/>
                  <w:vAlign w:val="center"/>
                </w:tcPr>
                <w:p w14:paraId="167EC0EE">
                  <w:pPr>
                    <w:keepNext w:val="0"/>
                    <w:keepLines w:val="0"/>
                    <w:pageBreakBefore w:val="0"/>
                    <w:widowControl w:val="0"/>
                    <w:numPr>
                      <w:ilvl w:val="0"/>
                      <w:numId w:val="0"/>
                    </w:numPr>
                    <w:tabs>
                      <w:tab w:val="left" w:pos="2040"/>
                    </w:tabs>
                    <w:kinsoku/>
                    <w:overflowPunct/>
                    <w:topLinePunct w:val="0"/>
                    <w:autoSpaceDE/>
                    <w:autoSpaceDN/>
                    <w:bidi w:val="0"/>
                    <w:spacing w:line="240" w:lineRule="auto"/>
                    <w:jc w:val="center"/>
                    <w:textAlignment w:val="auto"/>
                    <w:rPr>
                      <w:rFonts w:hint="default" w:ascii="Times New Roman" w:hAnsi="Times New Roman" w:eastAsia="宋体" w:cs="Times New Roman"/>
                      <w:b/>
                      <w:bCs/>
                      <w:color w:val="auto"/>
                      <w:kern w:val="2"/>
                      <w:sz w:val="21"/>
                      <w:szCs w:val="21"/>
                      <w:lang w:val="en-US" w:eastAsia="zh-CN" w:bidi="ar-SA"/>
                    </w:rPr>
                  </w:pPr>
                </w:p>
              </w:tc>
              <w:tc>
                <w:tcPr>
                  <w:tcW w:w="1024" w:type="pct"/>
                  <w:tcBorders>
                    <w:tl2br w:val="nil"/>
                    <w:tr2bl w:val="nil"/>
                  </w:tcBorders>
                  <w:noWrap w:val="0"/>
                  <w:vAlign w:val="center"/>
                </w:tcPr>
                <w:p w14:paraId="7CCEC9D2">
                  <w:pPr>
                    <w:keepNext w:val="0"/>
                    <w:keepLines w:val="0"/>
                    <w:pageBreakBefore w:val="0"/>
                    <w:widowControl w:val="0"/>
                    <w:numPr>
                      <w:ilvl w:val="0"/>
                      <w:numId w:val="0"/>
                    </w:numPr>
                    <w:tabs>
                      <w:tab w:val="left" w:pos="2040"/>
                    </w:tabs>
                    <w:kinsoku/>
                    <w:overflowPunct/>
                    <w:topLinePunct w:val="0"/>
                    <w:autoSpaceDE/>
                    <w:autoSpaceDN/>
                    <w:bidi w:val="0"/>
                    <w:spacing w:line="240" w:lineRule="auto"/>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重点管理</w:t>
                  </w:r>
                </w:p>
              </w:tc>
              <w:tc>
                <w:tcPr>
                  <w:tcW w:w="904" w:type="pct"/>
                  <w:tcBorders>
                    <w:tl2br w:val="nil"/>
                    <w:tr2bl w:val="nil"/>
                  </w:tcBorders>
                  <w:noWrap w:val="0"/>
                  <w:vAlign w:val="center"/>
                </w:tcPr>
                <w:p w14:paraId="7892A5BF">
                  <w:pPr>
                    <w:keepNext w:val="0"/>
                    <w:keepLines w:val="0"/>
                    <w:pageBreakBefore w:val="0"/>
                    <w:widowControl w:val="0"/>
                    <w:numPr>
                      <w:ilvl w:val="0"/>
                      <w:numId w:val="0"/>
                    </w:numPr>
                    <w:tabs>
                      <w:tab w:val="left" w:pos="2040"/>
                    </w:tabs>
                    <w:kinsoku/>
                    <w:overflowPunct/>
                    <w:topLinePunct w:val="0"/>
                    <w:autoSpaceDE/>
                    <w:autoSpaceDN/>
                    <w:bidi w:val="0"/>
                    <w:spacing w:line="240" w:lineRule="auto"/>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简化管理</w:t>
                  </w:r>
                </w:p>
              </w:tc>
              <w:tc>
                <w:tcPr>
                  <w:tcW w:w="702" w:type="pct"/>
                  <w:tcBorders>
                    <w:tl2br w:val="nil"/>
                    <w:tr2bl w:val="nil"/>
                  </w:tcBorders>
                  <w:noWrap w:val="0"/>
                  <w:vAlign w:val="center"/>
                </w:tcPr>
                <w:p w14:paraId="0F8B6E0A">
                  <w:pPr>
                    <w:keepNext w:val="0"/>
                    <w:keepLines w:val="0"/>
                    <w:pageBreakBefore w:val="0"/>
                    <w:widowControl w:val="0"/>
                    <w:numPr>
                      <w:ilvl w:val="0"/>
                      <w:numId w:val="0"/>
                    </w:numPr>
                    <w:tabs>
                      <w:tab w:val="left" w:pos="2040"/>
                    </w:tabs>
                    <w:kinsoku/>
                    <w:overflowPunct/>
                    <w:topLinePunct w:val="0"/>
                    <w:autoSpaceDE/>
                    <w:autoSpaceDN/>
                    <w:bidi w:val="0"/>
                    <w:spacing w:line="240" w:lineRule="auto"/>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登记管理</w:t>
                  </w:r>
                </w:p>
              </w:tc>
              <w:tc>
                <w:tcPr>
                  <w:tcW w:w="733" w:type="pct"/>
                  <w:tcBorders>
                    <w:tl2br w:val="nil"/>
                    <w:tr2bl w:val="nil"/>
                  </w:tcBorders>
                  <w:noWrap w:val="0"/>
                  <w:vAlign w:val="center"/>
                </w:tcPr>
                <w:p w14:paraId="40DA30D6">
                  <w:pPr>
                    <w:keepNext w:val="0"/>
                    <w:keepLines w:val="0"/>
                    <w:pageBreakBefore w:val="0"/>
                    <w:widowControl w:val="0"/>
                    <w:numPr>
                      <w:ilvl w:val="0"/>
                      <w:numId w:val="0"/>
                    </w:numPr>
                    <w:tabs>
                      <w:tab w:val="left" w:pos="2040"/>
                    </w:tabs>
                    <w:kinsoku/>
                    <w:overflowPunct/>
                    <w:topLinePunct w:val="0"/>
                    <w:autoSpaceDE/>
                    <w:autoSpaceDN/>
                    <w:bidi w:val="0"/>
                    <w:spacing w:line="240" w:lineRule="auto"/>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本项目</w:t>
                  </w:r>
                </w:p>
              </w:tc>
            </w:tr>
            <w:tr w14:paraId="3DF8F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pct"/>
                  <w:tcBorders>
                    <w:tl2br w:val="nil"/>
                    <w:tr2bl w:val="nil"/>
                  </w:tcBorders>
                  <w:noWrap w:val="0"/>
                  <w:vAlign w:val="center"/>
                </w:tcPr>
                <w:p w14:paraId="5D719C13">
                  <w:pPr>
                    <w:keepNext w:val="0"/>
                    <w:keepLines w:val="0"/>
                    <w:pageBreakBefore w:val="0"/>
                    <w:widowControl w:val="0"/>
                    <w:numPr>
                      <w:ilvl w:val="0"/>
                      <w:numId w:val="0"/>
                    </w:numPr>
                    <w:tabs>
                      <w:tab w:val="left" w:pos="2040"/>
                    </w:tabs>
                    <w:kinsoku/>
                    <w:overflowPunct/>
                    <w:topLinePunct w:val="0"/>
                    <w:autoSpaceDE/>
                    <w:autoSpaceDN/>
                    <w:bidi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N7723 固体废物治理</w:t>
                  </w:r>
                </w:p>
              </w:tc>
              <w:tc>
                <w:tcPr>
                  <w:tcW w:w="962" w:type="pct"/>
                  <w:tcBorders>
                    <w:tl2br w:val="nil"/>
                    <w:tr2bl w:val="nil"/>
                  </w:tcBorders>
                  <w:noWrap w:val="0"/>
                  <w:vAlign w:val="center"/>
                </w:tcPr>
                <w:p w14:paraId="6BC5B72C">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四十七、生态保护和环境治理业-103一般工业固体废物（含污水处理污泥）、建筑施工废弃物处置及综合利用-其他</w:t>
                  </w:r>
                </w:p>
              </w:tc>
              <w:tc>
                <w:tcPr>
                  <w:tcW w:w="1024" w:type="pct"/>
                  <w:tcBorders>
                    <w:tl2br w:val="nil"/>
                    <w:tr2bl w:val="nil"/>
                  </w:tcBorders>
                  <w:noWrap w:val="0"/>
                  <w:vAlign w:val="center"/>
                </w:tcPr>
                <w:p w14:paraId="3EDD6C44">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专业从事危险废物贮存、利用、处理、处置（含焚烧发电）的，专业从事一般工业固体废物贮存、处置（含焚烧发电）的</w:t>
                  </w:r>
                </w:p>
              </w:tc>
              <w:tc>
                <w:tcPr>
                  <w:tcW w:w="904" w:type="pct"/>
                  <w:tcBorders>
                    <w:tl2br w:val="nil"/>
                    <w:tr2bl w:val="nil"/>
                  </w:tcBorders>
                  <w:noWrap w:val="0"/>
                  <w:vAlign w:val="center"/>
                </w:tcPr>
                <w:p w14:paraId="1F4062CA">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702" w:type="pct"/>
                  <w:tcBorders>
                    <w:tl2br w:val="nil"/>
                    <w:tr2bl w:val="nil"/>
                  </w:tcBorders>
                  <w:noWrap w:val="0"/>
                  <w:vAlign w:val="center"/>
                </w:tcPr>
                <w:p w14:paraId="6C3B6303">
                  <w:pPr>
                    <w:keepNext w:val="0"/>
                    <w:keepLines w:val="0"/>
                    <w:pageBreakBefore w:val="0"/>
                    <w:widowControl w:val="0"/>
                    <w:numPr>
                      <w:ilvl w:val="0"/>
                      <w:numId w:val="0"/>
                    </w:numPr>
                    <w:tabs>
                      <w:tab w:val="left" w:pos="2040"/>
                    </w:tabs>
                    <w:kinsoku/>
                    <w:overflowPunct/>
                    <w:topLinePunct w:val="0"/>
                    <w:autoSpaceDE/>
                    <w:autoSpaceDN/>
                    <w:bidi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w:t>
                  </w:r>
                </w:p>
              </w:tc>
              <w:tc>
                <w:tcPr>
                  <w:tcW w:w="733" w:type="pct"/>
                  <w:tcBorders>
                    <w:tl2br w:val="nil"/>
                    <w:tr2bl w:val="nil"/>
                  </w:tcBorders>
                  <w:noWrap w:val="0"/>
                  <w:vAlign w:val="center"/>
                </w:tcPr>
                <w:p w14:paraId="03E33780">
                  <w:pPr>
                    <w:keepNext w:val="0"/>
                    <w:keepLines w:val="0"/>
                    <w:pageBreakBefore w:val="0"/>
                    <w:widowControl w:val="0"/>
                    <w:numPr>
                      <w:ilvl w:val="0"/>
                      <w:numId w:val="0"/>
                    </w:numPr>
                    <w:tabs>
                      <w:tab w:val="left" w:pos="2040"/>
                    </w:tabs>
                    <w:kinsoku/>
                    <w:overflowPunct/>
                    <w:topLinePunct w:val="0"/>
                    <w:autoSpaceDE/>
                    <w:autoSpaceDN/>
                    <w:bidi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本项目</w:t>
                  </w:r>
                  <w:r>
                    <w:rPr>
                      <w:rFonts w:hint="eastAsia" w:cs="Times New Roman"/>
                      <w:color w:val="auto"/>
                      <w:kern w:val="2"/>
                      <w:sz w:val="21"/>
                      <w:szCs w:val="21"/>
                      <w:lang w:val="en-US" w:eastAsia="zh-CN" w:bidi="ar-SA"/>
                    </w:rPr>
                    <w:t>从事一般工业固体废物贮存</w:t>
                  </w:r>
                  <w:r>
                    <w:rPr>
                      <w:rFonts w:hint="default" w:ascii="Times New Roman" w:hAnsi="Times New Roman" w:eastAsia="宋体" w:cs="Times New Roman"/>
                      <w:color w:val="auto"/>
                      <w:kern w:val="2"/>
                      <w:sz w:val="21"/>
                      <w:szCs w:val="21"/>
                      <w:lang w:val="en-US" w:eastAsia="zh-CN" w:bidi="ar-SA"/>
                    </w:rPr>
                    <w:t>，实行</w:t>
                  </w:r>
                  <w:r>
                    <w:rPr>
                      <w:rFonts w:hint="eastAsia" w:cs="Times New Roman"/>
                      <w:color w:val="auto"/>
                      <w:kern w:val="2"/>
                      <w:sz w:val="21"/>
                      <w:szCs w:val="21"/>
                      <w:lang w:val="en-US" w:eastAsia="zh-CN" w:bidi="ar-SA"/>
                    </w:rPr>
                    <w:t>重点</w:t>
                  </w:r>
                  <w:r>
                    <w:rPr>
                      <w:rFonts w:hint="default" w:ascii="Times New Roman" w:hAnsi="Times New Roman" w:eastAsia="宋体" w:cs="Times New Roman"/>
                      <w:color w:val="auto"/>
                      <w:kern w:val="2"/>
                      <w:sz w:val="21"/>
                      <w:szCs w:val="21"/>
                      <w:lang w:val="en-US" w:eastAsia="zh-CN" w:bidi="ar-SA"/>
                    </w:rPr>
                    <w:t>管理</w:t>
                  </w:r>
                </w:p>
              </w:tc>
            </w:tr>
          </w:tbl>
          <w:p w14:paraId="2660EA52">
            <w:pPr>
              <w:keepNext w:val="0"/>
              <w:keepLines w:val="0"/>
              <w:pageBreakBefore w:val="0"/>
              <w:widowControl w:val="0"/>
              <w:numPr>
                <w:ilvl w:val="0"/>
                <w:numId w:val="0"/>
              </w:numPr>
              <w:tabs>
                <w:tab w:val="left" w:pos="2040"/>
              </w:tabs>
              <w:kinsoku/>
              <w:overflowPunct/>
              <w:topLinePunct w:val="0"/>
              <w:autoSpaceDE/>
              <w:autoSpaceDN/>
              <w:bidi w:val="0"/>
              <w:spacing w:line="360" w:lineRule="auto"/>
              <w:ind w:firstLine="420" w:firstLineChars="200"/>
              <w:jc w:val="left"/>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对照名录分析，本项目属于</w:t>
            </w:r>
            <w:r>
              <w:rPr>
                <w:rFonts w:hint="eastAsia" w:cs="Times New Roman"/>
                <w:color w:val="auto"/>
                <w:kern w:val="2"/>
                <w:sz w:val="21"/>
                <w:szCs w:val="21"/>
                <w:lang w:val="en-US" w:eastAsia="zh-CN" w:bidi="ar-SA"/>
              </w:rPr>
              <w:t>重点</w:t>
            </w:r>
            <w:r>
              <w:rPr>
                <w:rFonts w:hint="default" w:ascii="Times New Roman" w:hAnsi="Times New Roman" w:eastAsia="宋体" w:cs="Times New Roman"/>
                <w:color w:val="auto"/>
                <w:kern w:val="2"/>
                <w:sz w:val="21"/>
                <w:szCs w:val="21"/>
                <w:lang w:val="en-US" w:eastAsia="zh-CN" w:bidi="ar-SA"/>
              </w:rPr>
              <w:t>管理。建设单位应在启动生产设施或者实际排污之前，依法向韶关市生态环境局申请取得排污许可证，并按照排污许可证的规定排放污染物。</w:t>
            </w:r>
          </w:p>
          <w:p w14:paraId="43ED8AD1">
            <w:pPr>
              <w:keepNext w:val="0"/>
              <w:keepLines w:val="0"/>
              <w:pageBreakBefore w:val="0"/>
              <w:widowControl w:val="0"/>
              <w:kinsoku/>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（四）竣工验收要求</w:t>
            </w:r>
          </w:p>
          <w:p w14:paraId="5F8F8828">
            <w:pPr>
              <w:keepNext w:val="0"/>
              <w:keepLines w:val="0"/>
              <w:pageBreakBefore w:val="0"/>
              <w:widowControl w:val="0"/>
              <w:kinsoku/>
              <w:overflowPunct/>
              <w:topLinePunct w:val="0"/>
              <w:autoSpaceDE/>
              <w:autoSpaceDN/>
              <w:bidi w:val="0"/>
              <w:adjustRightInd w:val="0"/>
              <w:snapToGrid w:val="0"/>
              <w:spacing w:before="0" w:beforeLines="15" w:after="0" w:afterLines="15" w:line="360" w:lineRule="auto"/>
              <w:ind w:firstLine="420" w:firstLineChars="200"/>
              <w:jc w:val="left"/>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 xml:space="preserve">根据《建设项目竣工环境保护验收暂行办法》（国环规环评〔2017〕4号），建设单位自行验收。本项目自行验收要求如下： </w:t>
            </w:r>
          </w:p>
          <w:p w14:paraId="4598ECE1">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360" w:lineRule="auto"/>
              <w:ind w:left="0" w:leftChars="0" w:firstLine="420" w:firstLineChars="20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2"/>
                <w:sz w:val="21"/>
                <w:szCs w:val="21"/>
                <w:lang w:val="en-US" w:eastAsia="zh-CN" w:bidi="ar-SA"/>
              </w:rPr>
              <w:t>1.</w:t>
            </w:r>
            <w:r>
              <w:rPr>
                <w:rFonts w:hint="default" w:ascii="Times New Roman" w:hAnsi="Times New Roman" w:eastAsia="宋体" w:cs="Times New Roman"/>
                <w:color w:val="auto"/>
                <w:sz w:val="21"/>
                <w:szCs w:val="21"/>
              </w:rPr>
              <w:t>建设单位是建设项目竣工环境保护验收的责任主体，应当按照暂行办法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过程中弄虚作假。针对本项目，应参照《建设项目竣工环境保护验收技术指南污染影响类》编制验收监测报告。</w:t>
            </w:r>
          </w:p>
          <w:p w14:paraId="3B623E15">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360" w:lineRule="auto"/>
              <w:ind w:left="0" w:leftChars="0" w:firstLine="420" w:firstLineChars="20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2"/>
                <w:sz w:val="21"/>
                <w:szCs w:val="21"/>
                <w:lang w:val="en-US" w:eastAsia="zh-CN" w:bidi="ar-SA"/>
              </w:rPr>
              <w:t>2.</w:t>
            </w:r>
            <w:r>
              <w:rPr>
                <w:rFonts w:hint="default" w:ascii="Times New Roman" w:hAnsi="Times New Roman" w:eastAsia="宋体" w:cs="Times New Roman"/>
                <w:color w:val="auto"/>
                <w:sz w:val="21"/>
                <w:szCs w:val="21"/>
              </w:rPr>
              <w:t>验收监测报告编制完成后，建设单位应当根据验收监测报告结论，逐一检查是否存在暂行办法第八条所列验收不合格的情形，提出验收意见。存在问题的，建设单位应当进行整改，整改完成后方可提出验收意见。验收意见包括工程建设基本情况、工程变动情况、环境保护设施落实情况、环境保护设施调试效果、工程建设对环境的影响、验收结论和后续要求等内容，验收结论应当明确该建设项目环境保护设施是否验收合格。建设项目配套建设的环境保护设施经验收合格后，其主体工程方可投入生产或者使用；未经验收或者验收不合格的，不得投入生产或者使用。</w:t>
            </w:r>
          </w:p>
          <w:p w14:paraId="369B1076">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360" w:lineRule="auto"/>
              <w:ind w:left="0" w:leftChars="0" w:firstLine="420" w:firstLineChars="20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2"/>
                <w:sz w:val="21"/>
                <w:szCs w:val="21"/>
                <w:lang w:val="en-US" w:eastAsia="zh-CN" w:bidi="ar-SA"/>
              </w:rPr>
              <w:t>3.</w:t>
            </w:r>
            <w:r>
              <w:rPr>
                <w:rFonts w:hint="default" w:ascii="Times New Roman" w:hAnsi="Times New Roman" w:eastAsia="宋体" w:cs="Times New Roman"/>
                <w:color w:val="auto"/>
                <w:sz w:val="21"/>
                <w:szCs w:val="21"/>
              </w:rPr>
              <w:t xml:space="preserve">存在下列情形之一的建设项目，不得通过竣工环境保护验收： </w:t>
            </w:r>
          </w:p>
          <w:p w14:paraId="4F00D2A9">
            <w:pPr>
              <w:keepNext w:val="0"/>
              <w:keepLines w:val="0"/>
              <w:pageBreakBefore w:val="0"/>
              <w:widowControl w:val="0"/>
              <w:numPr>
                <w:ilvl w:val="0"/>
                <w:numId w:val="0"/>
              </w:numPr>
              <w:kinsoku/>
              <w:overflowPunct/>
              <w:topLinePunct w:val="0"/>
              <w:autoSpaceDE/>
              <w:autoSpaceDN/>
              <w:bidi w:val="0"/>
              <w:adjustRightInd w:val="0"/>
              <w:snapToGrid w:val="0"/>
              <w:spacing w:before="0" w:beforeLines="15" w:after="0" w:afterLines="15" w:line="360" w:lineRule="auto"/>
              <w:ind w:leftChars="200"/>
              <w:jc w:val="left"/>
              <w:textAlignment w:val="auto"/>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kern w:val="0"/>
                <w:sz w:val="21"/>
                <w:szCs w:val="21"/>
                <w:lang w:val="en-US" w:eastAsia="zh-CN" w:bidi="ar-SA"/>
              </w:rPr>
              <w:t>（1）</w:t>
            </w:r>
            <w:r>
              <w:rPr>
                <w:rFonts w:hint="default" w:ascii="Times New Roman" w:hAnsi="Times New Roman" w:eastAsia="宋体" w:cs="Times New Roman"/>
                <w:color w:val="auto"/>
                <w:kern w:val="0"/>
                <w:sz w:val="21"/>
                <w:szCs w:val="21"/>
                <w:lang w:val="en-US" w:eastAsia="zh-CN" w:bidi="ar-SA"/>
              </w:rPr>
              <w:t>未按环境影响报告表及其审批部门审批决定要求建成环境保护设施，或者环境保护设施不能与主体工程同时投产或者使用的；</w:t>
            </w:r>
          </w:p>
          <w:p w14:paraId="559AA57A">
            <w:pPr>
              <w:keepNext w:val="0"/>
              <w:keepLines w:val="0"/>
              <w:pageBreakBefore w:val="0"/>
              <w:widowControl w:val="0"/>
              <w:numPr>
                <w:ilvl w:val="0"/>
                <w:numId w:val="0"/>
              </w:numPr>
              <w:kinsoku/>
              <w:overflowPunct/>
              <w:topLinePunct w:val="0"/>
              <w:autoSpaceDE/>
              <w:autoSpaceDN/>
              <w:bidi w:val="0"/>
              <w:adjustRightInd w:val="0"/>
              <w:snapToGrid w:val="0"/>
              <w:spacing w:before="0" w:beforeLines="15" w:after="0" w:afterLines="15" w:line="360" w:lineRule="auto"/>
              <w:ind w:leftChars="200"/>
              <w:jc w:val="left"/>
              <w:textAlignment w:val="auto"/>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kern w:val="0"/>
                <w:sz w:val="21"/>
                <w:szCs w:val="21"/>
                <w:lang w:val="en-US" w:eastAsia="zh-CN" w:bidi="ar-SA"/>
              </w:rPr>
              <w:t>（2）</w:t>
            </w:r>
            <w:r>
              <w:rPr>
                <w:rFonts w:hint="default" w:ascii="Times New Roman" w:hAnsi="Times New Roman" w:eastAsia="宋体" w:cs="Times New Roman"/>
                <w:color w:val="auto"/>
                <w:kern w:val="0"/>
                <w:sz w:val="21"/>
                <w:szCs w:val="21"/>
                <w:lang w:val="en-US" w:eastAsia="zh-CN" w:bidi="ar-SA"/>
              </w:rPr>
              <w:t>污染物排放不符合国家和地方相关标准、环境影响报告书及其审批部门审批决定或者重点污染物排放总量控制指标要求的；</w:t>
            </w:r>
          </w:p>
          <w:p w14:paraId="36E26B7A">
            <w:pPr>
              <w:keepNext w:val="0"/>
              <w:keepLines w:val="0"/>
              <w:pageBreakBefore w:val="0"/>
              <w:widowControl w:val="0"/>
              <w:numPr>
                <w:ilvl w:val="0"/>
                <w:numId w:val="0"/>
              </w:numPr>
              <w:kinsoku/>
              <w:overflowPunct/>
              <w:topLinePunct w:val="0"/>
              <w:autoSpaceDE/>
              <w:autoSpaceDN/>
              <w:bidi w:val="0"/>
              <w:adjustRightInd w:val="0"/>
              <w:snapToGrid w:val="0"/>
              <w:spacing w:before="0" w:beforeLines="15" w:after="0" w:afterLines="15" w:line="360" w:lineRule="auto"/>
              <w:ind w:leftChars="200"/>
              <w:jc w:val="left"/>
              <w:textAlignment w:val="auto"/>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kern w:val="0"/>
                <w:sz w:val="21"/>
                <w:szCs w:val="21"/>
                <w:lang w:val="en-US" w:eastAsia="zh-CN" w:bidi="ar-SA"/>
              </w:rPr>
              <w:t>（3）</w:t>
            </w:r>
            <w:r>
              <w:rPr>
                <w:rFonts w:hint="default" w:ascii="Times New Roman" w:hAnsi="Times New Roman" w:eastAsia="宋体" w:cs="Times New Roman"/>
                <w:color w:val="auto"/>
                <w:kern w:val="0"/>
                <w:sz w:val="21"/>
                <w:szCs w:val="21"/>
                <w:lang w:val="en-US" w:eastAsia="zh-CN" w:bidi="ar-SA"/>
              </w:rPr>
              <w:t xml:space="preserve">环境影响报告表经批准后，该建设项目的性质、规模、地点、采用的生产工艺或者防治污染、防止生态破坏的措施发生重大变动，建设单位未重新报批环境影响报告书或者环境影响报告书未经批准的； </w:t>
            </w:r>
          </w:p>
          <w:p w14:paraId="17F51485">
            <w:pPr>
              <w:keepNext w:val="0"/>
              <w:keepLines w:val="0"/>
              <w:pageBreakBefore w:val="0"/>
              <w:widowControl w:val="0"/>
              <w:numPr>
                <w:ilvl w:val="0"/>
                <w:numId w:val="0"/>
              </w:numPr>
              <w:kinsoku/>
              <w:overflowPunct/>
              <w:topLinePunct w:val="0"/>
              <w:autoSpaceDE/>
              <w:autoSpaceDN/>
              <w:bidi w:val="0"/>
              <w:adjustRightInd w:val="0"/>
              <w:snapToGrid w:val="0"/>
              <w:spacing w:before="0" w:beforeLines="15" w:after="0" w:afterLines="15" w:line="360" w:lineRule="auto"/>
              <w:ind w:leftChars="200"/>
              <w:jc w:val="left"/>
              <w:textAlignment w:val="auto"/>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kern w:val="0"/>
                <w:sz w:val="21"/>
                <w:szCs w:val="21"/>
                <w:lang w:val="en-US" w:eastAsia="zh-CN" w:bidi="ar-SA"/>
              </w:rPr>
              <w:t>（4）</w:t>
            </w:r>
            <w:r>
              <w:rPr>
                <w:rFonts w:hint="default" w:ascii="Times New Roman" w:hAnsi="Times New Roman" w:eastAsia="宋体" w:cs="Times New Roman"/>
                <w:color w:val="auto"/>
                <w:kern w:val="0"/>
                <w:sz w:val="21"/>
                <w:szCs w:val="21"/>
                <w:lang w:val="en-US" w:eastAsia="zh-CN" w:bidi="ar-SA"/>
              </w:rPr>
              <w:t xml:space="preserve">建设过程中造成重大环境污染未治理完成，或者造成重大生态破坏未恢复的； </w:t>
            </w:r>
          </w:p>
          <w:p w14:paraId="385C836A">
            <w:pPr>
              <w:keepNext w:val="0"/>
              <w:keepLines w:val="0"/>
              <w:pageBreakBefore w:val="0"/>
              <w:widowControl w:val="0"/>
              <w:numPr>
                <w:ilvl w:val="0"/>
                <w:numId w:val="0"/>
              </w:numPr>
              <w:kinsoku/>
              <w:overflowPunct/>
              <w:topLinePunct w:val="0"/>
              <w:autoSpaceDE/>
              <w:autoSpaceDN/>
              <w:bidi w:val="0"/>
              <w:adjustRightInd w:val="0"/>
              <w:snapToGrid w:val="0"/>
              <w:spacing w:before="0" w:beforeLines="15" w:after="0" w:afterLines="15" w:line="360" w:lineRule="auto"/>
              <w:ind w:leftChars="200"/>
              <w:jc w:val="left"/>
              <w:textAlignment w:val="auto"/>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kern w:val="0"/>
                <w:sz w:val="21"/>
                <w:szCs w:val="21"/>
                <w:lang w:val="en-US" w:eastAsia="zh-CN" w:bidi="ar-SA"/>
              </w:rPr>
              <w:t>（5）</w:t>
            </w:r>
            <w:r>
              <w:rPr>
                <w:rFonts w:hint="default" w:ascii="Times New Roman" w:hAnsi="Times New Roman" w:eastAsia="宋体" w:cs="Times New Roman"/>
                <w:color w:val="auto"/>
                <w:kern w:val="0"/>
                <w:sz w:val="21"/>
                <w:szCs w:val="21"/>
                <w:lang w:val="en-US" w:eastAsia="zh-CN" w:bidi="ar-SA"/>
              </w:rPr>
              <w:t>纳入排污许可管理的建设项目，无证排污或者不按证排污的；</w:t>
            </w:r>
          </w:p>
          <w:p w14:paraId="53769954">
            <w:pPr>
              <w:keepNext w:val="0"/>
              <w:keepLines w:val="0"/>
              <w:pageBreakBefore w:val="0"/>
              <w:widowControl w:val="0"/>
              <w:numPr>
                <w:ilvl w:val="0"/>
                <w:numId w:val="0"/>
              </w:numPr>
              <w:kinsoku/>
              <w:overflowPunct/>
              <w:topLinePunct w:val="0"/>
              <w:autoSpaceDE/>
              <w:autoSpaceDN/>
              <w:bidi w:val="0"/>
              <w:adjustRightInd w:val="0"/>
              <w:snapToGrid w:val="0"/>
              <w:spacing w:before="0" w:beforeLines="15" w:after="0" w:afterLines="15" w:line="360" w:lineRule="auto"/>
              <w:ind w:leftChars="200"/>
              <w:jc w:val="left"/>
              <w:textAlignment w:val="auto"/>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kern w:val="0"/>
                <w:sz w:val="21"/>
                <w:szCs w:val="21"/>
                <w:lang w:val="en-US" w:eastAsia="zh-CN" w:bidi="ar-SA"/>
              </w:rPr>
              <w:t>（6）</w:t>
            </w:r>
            <w:r>
              <w:rPr>
                <w:rFonts w:hint="default" w:ascii="Times New Roman" w:hAnsi="Times New Roman" w:eastAsia="宋体" w:cs="Times New Roman"/>
                <w:color w:val="auto"/>
                <w:kern w:val="0"/>
                <w:sz w:val="21"/>
                <w:szCs w:val="21"/>
                <w:lang w:val="en-US" w:eastAsia="zh-CN" w:bidi="ar-SA"/>
              </w:rPr>
              <w:t>建设单位因该建设项目违反国家和地方环境保护法律法规受到处罚，被责令改正，尚未改正完成的；</w:t>
            </w:r>
          </w:p>
          <w:p w14:paraId="13E0DFB7">
            <w:pPr>
              <w:keepNext w:val="0"/>
              <w:keepLines w:val="0"/>
              <w:pageBreakBefore w:val="0"/>
              <w:widowControl w:val="0"/>
              <w:numPr>
                <w:ilvl w:val="0"/>
                <w:numId w:val="0"/>
              </w:numPr>
              <w:kinsoku/>
              <w:overflowPunct/>
              <w:topLinePunct w:val="0"/>
              <w:autoSpaceDE/>
              <w:autoSpaceDN/>
              <w:bidi w:val="0"/>
              <w:adjustRightInd w:val="0"/>
              <w:snapToGrid w:val="0"/>
              <w:spacing w:before="0" w:beforeLines="15" w:after="0" w:afterLines="15" w:line="360" w:lineRule="auto"/>
              <w:ind w:leftChars="200"/>
              <w:jc w:val="left"/>
              <w:textAlignment w:val="auto"/>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kern w:val="0"/>
                <w:sz w:val="21"/>
                <w:szCs w:val="21"/>
                <w:lang w:val="en-US" w:eastAsia="zh-CN" w:bidi="ar-SA"/>
              </w:rPr>
              <w:t>（7）</w:t>
            </w:r>
            <w:r>
              <w:rPr>
                <w:rFonts w:hint="default" w:ascii="Times New Roman" w:hAnsi="Times New Roman" w:eastAsia="宋体" w:cs="Times New Roman"/>
                <w:color w:val="auto"/>
                <w:kern w:val="0"/>
                <w:sz w:val="21"/>
                <w:szCs w:val="21"/>
                <w:lang w:val="en-US" w:eastAsia="zh-CN" w:bidi="ar-SA"/>
              </w:rPr>
              <w:t>验收报告的基础资料数据明显不实，内容存在重大缺项、遗漏，或者验收结论不明确、不合理的。</w:t>
            </w:r>
          </w:p>
          <w:p w14:paraId="2E5CB13A">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360" w:lineRule="auto"/>
              <w:ind w:left="0" w:leftChars="0" w:firstLine="420" w:firstLineChars="20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2"/>
                <w:sz w:val="21"/>
                <w:szCs w:val="21"/>
                <w:lang w:val="en-US" w:eastAsia="zh-CN" w:bidi="ar-SA"/>
              </w:rPr>
              <w:t>4.</w:t>
            </w:r>
            <w:r>
              <w:rPr>
                <w:rFonts w:hint="default" w:ascii="Times New Roman" w:hAnsi="Times New Roman" w:eastAsia="宋体" w:cs="Times New Roman"/>
                <w:color w:val="auto"/>
                <w:sz w:val="21"/>
                <w:szCs w:val="21"/>
              </w:rPr>
              <w:t>为提高验收的有效性，在提出验收意见的过程中，建设单位可以组织成立验收工作组，采取现场检查、资料查阅、召开验收会议等方式，协助开展验收工作。验收工作组可以由设计单位、施工单位、环境影响报告书编制机构、验收监测（调查）报告编制机构等单位代表以及专业技术专家等组成，代表范围和人数自定。除按照国家需要保密的情形外，建设单位应当通过其网站或其他便于公众知晓的方式，向社会公开下列信息：</w:t>
            </w:r>
          </w:p>
          <w:p w14:paraId="44B565E8">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before="0" w:beforeLines="15" w:after="0" w:afterLines="15" w:line="360" w:lineRule="auto"/>
              <w:ind w:left="0" w:leftChars="0" w:firstLine="420" w:firstLineChars="200"/>
              <w:jc w:val="left"/>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①</w:t>
            </w:r>
            <w:r>
              <w:rPr>
                <w:rFonts w:hint="default" w:ascii="Times New Roman" w:hAnsi="Times New Roman" w:eastAsia="宋体" w:cs="Times New Roman"/>
                <w:color w:val="auto"/>
                <w:kern w:val="0"/>
                <w:sz w:val="21"/>
                <w:szCs w:val="21"/>
                <w:lang w:val="en-US" w:eastAsia="zh-CN" w:bidi="ar-SA"/>
              </w:rPr>
              <w:t>建设项目配套建设的环境保护设施竣工后，公开竣工日期；</w:t>
            </w:r>
          </w:p>
          <w:p w14:paraId="00086867">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before="0" w:beforeLines="15" w:after="0" w:afterLines="15" w:line="360" w:lineRule="auto"/>
              <w:ind w:left="0" w:leftChars="0" w:firstLine="420" w:firstLineChars="200"/>
              <w:jc w:val="left"/>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②</w:t>
            </w:r>
            <w:r>
              <w:rPr>
                <w:rFonts w:hint="default" w:ascii="Times New Roman" w:hAnsi="Times New Roman" w:eastAsia="宋体" w:cs="Times New Roman"/>
                <w:color w:val="auto"/>
                <w:kern w:val="0"/>
                <w:sz w:val="21"/>
                <w:szCs w:val="21"/>
                <w:lang w:val="en-US" w:eastAsia="zh-CN" w:bidi="ar-SA"/>
              </w:rPr>
              <w:t>对建设项目配套建设的环境保护设施进行调试前，公开调试的起止日期；</w:t>
            </w:r>
          </w:p>
          <w:p w14:paraId="580B1067">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before="0" w:beforeLines="15" w:after="0" w:afterLines="15" w:line="360" w:lineRule="auto"/>
              <w:ind w:left="0" w:leftChars="0" w:firstLine="420" w:firstLineChars="200"/>
              <w:jc w:val="left"/>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③</w:t>
            </w:r>
            <w:r>
              <w:rPr>
                <w:rFonts w:hint="default" w:ascii="Times New Roman" w:hAnsi="Times New Roman" w:eastAsia="宋体" w:cs="Times New Roman"/>
                <w:color w:val="auto"/>
                <w:kern w:val="0"/>
                <w:sz w:val="21"/>
                <w:szCs w:val="21"/>
                <w:lang w:val="en-US" w:eastAsia="zh-CN" w:bidi="ar-SA"/>
              </w:rPr>
              <w:t>验收报告编制完成后5个工作日内，公开验收报告，公示的期限不得少于20个工作日。</w:t>
            </w:r>
          </w:p>
          <w:p w14:paraId="14086EA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2"/>
                <w:sz w:val="21"/>
                <w:szCs w:val="21"/>
                <w:lang w:val="en-US" w:eastAsia="zh-CN" w:bidi="ar-SA"/>
              </w:rPr>
              <w:t>5.</w:t>
            </w:r>
            <w:r>
              <w:rPr>
                <w:rFonts w:hint="default" w:ascii="Times New Roman" w:hAnsi="Times New Roman" w:eastAsia="宋体" w:cs="Times New Roman"/>
                <w:color w:val="auto"/>
                <w:sz w:val="21"/>
                <w:szCs w:val="21"/>
              </w:rPr>
              <w:t>验收期限是指自建设项目环境保护设施竣工之日起至建设单位向社会公开验收报告之日止的时间。验收报告公示期满后5个工作日内，建设单位应当登录全国建设项目竣工环境保护验收信息平台，填报建设项目基本信息、环境保护设施验收情况等相关信息，环境保护主管部门对上述信息予以公开。建设单位应当将验收报告以及其他档案资料存档备查。</w:t>
            </w:r>
          </w:p>
          <w:p w14:paraId="4E063552">
            <w:pPr>
              <w:pStyle w:val="2"/>
              <w:rPr>
                <w:rFonts w:hint="default"/>
                <w:color w:val="auto"/>
              </w:rPr>
            </w:pPr>
          </w:p>
        </w:tc>
      </w:tr>
    </w:tbl>
    <w:p w14:paraId="3D2AD152">
      <w:pPr>
        <w:pStyle w:val="7"/>
        <w:numPr>
          <w:ilvl w:val="0"/>
          <w:numId w:val="0"/>
        </w:numPr>
        <w:rPr>
          <w:rFonts w:hint="default" w:ascii="Times New Roman" w:hAnsi="Times New Roman" w:cs="Times New Roman"/>
          <w:color w:val="auto"/>
          <w:highlight w:val="none"/>
        </w:rPr>
      </w:pPr>
      <w:bookmarkStart w:id="118" w:name="_Toc8623"/>
      <w:r>
        <w:rPr>
          <w:rFonts w:hint="default" w:ascii="Times New Roman" w:hAnsi="Times New Roman" w:cs="Times New Roman"/>
          <w:color w:val="auto"/>
          <w:highlight w:val="none"/>
        </w:rPr>
        <w:t>六、结论</w:t>
      </w:r>
      <w:bookmarkEnd w:id="116"/>
      <w:bookmarkEnd w:id="117"/>
      <w:bookmarkEnd w:id="118"/>
    </w:p>
    <w:tbl>
      <w:tblPr>
        <w:tblStyle w:val="4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8"/>
      </w:tblGrid>
      <w:tr w14:paraId="32B27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4" w:hRule="atLeast"/>
        </w:trPr>
        <w:tc>
          <w:tcPr>
            <w:tcW w:w="5000" w:type="pct"/>
          </w:tcPr>
          <w:p w14:paraId="20E9A56D">
            <w:pPr>
              <w:adjustRightInd w:val="0"/>
              <w:ind w:firstLine="480" w:firstLineChars="200"/>
              <w:rPr>
                <w:rFonts w:hint="default" w:ascii="Times New Roman" w:hAnsi="Times New Roman" w:cs="Times New Roman"/>
                <w:bCs/>
                <w:color w:val="auto"/>
                <w:kern w:val="0"/>
                <w:highlight w:val="none"/>
              </w:rPr>
            </w:pPr>
          </w:p>
          <w:p w14:paraId="48045B3A">
            <w:pPr>
              <w:adjustRightInd w:val="0"/>
              <w:ind w:firstLine="480" w:firstLineChars="200"/>
              <w:rPr>
                <w:rFonts w:hint="default" w:ascii="Times New Roman" w:hAnsi="Times New Roman" w:cs="Times New Roman"/>
                <w:bCs/>
                <w:color w:val="auto"/>
                <w:kern w:val="0"/>
                <w:highlight w:val="none"/>
              </w:rPr>
            </w:pPr>
          </w:p>
          <w:p w14:paraId="1FFA828D">
            <w:pPr>
              <w:adjustRightInd w:val="0"/>
              <w:ind w:firstLine="480" w:firstLineChars="200"/>
              <w:rPr>
                <w:rFonts w:hint="default" w:ascii="Times New Roman" w:hAnsi="Times New Roman" w:cs="Times New Roman"/>
                <w:bCs/>
                <w:color w:val="auto"/>
                <w:kern w:val="0"/>
                <w:highlight w:val="none"/>
              </w:rPr>
            </w:pPr>
          </w:p>
          <w:p w14:paraId="16904AD3">
            <w:pPr>
              <w:adjustRightInd w:val="0"/>
              <w:ind w:firstLine="480" w:firstLineChars="200"/>
              <w:rPr>
                <w:rFonts w:hint="default" w:ascii="Times New Roman" w:hAnsi="Times New Roman" w:cs="Times New Roman"/>
                <w:bCs/>
                <w:color w:val="auto"/>
                <w:kern w:val="0"/>
                <w:highlight w:val="none"/>
              </w:rPr>
            </w:pPr>
          </w:p>
          <w:p w14:paraId="3178D62D">
            <w:pPr>
              <w:adjustRightInd w:val="0"/>
              <w:ind w:firstLine="480" w:firstLineChars="200"/>
              <w:rPr>
                <w:rFonts w:hint="default" w:ascii="Times New Roman" w:hAnsi="Times New Roman" w:cs="Times New Roman"/>
                <w:bCs/>
                <w:color w:val="auto"/>
                <w:kern w:val="0"/>
                <w:highlight w:val="none"/>
              </w:rPr>
            </w:pPr>
          </w:p>
          <w:p w14:paraId="05CCEE8A">
            <w:pPr>
              <w:adjustRightInd w:val="0"/>
              <w:ind w:firstLine="480" w:firstLineChars="200"/>
              <w:rPr>
                <w:rFonts w:hint="default" w:ascii="Times New Roman" w:hAnsi="Times New Roman" w:cs="Times New Roman"/>
                <w:bCs/>
                <w:color w:val="auto"/>
                <w:kern w:val="0"/>
                <w:highlight w:val="none"/>
              </w:rPr>
            </w:pPr>
          </w:p>
          <w:p w14:paraId="2A1951E5">
            <w:pPr>
              <w:rPr>
                <w:rFonts w:hint="default" w:ascii="Times New Roman" w:hAnsi="Times New Roman" w:cs="Times New Roman"/>
                <w:color w:val="auto"/>
                <w:highlight w:val="none"/>
              </w:rPr>
            </w:pPr>
          </w:p>
          <w:p w14:paraId="4EB3303C">
            <w:pPr>
              <w:adjustRightInd w:val="0"/>
              <w:ind w:firstLine="480" w:firstLineChars="200"/>
              <w:rPr>
                <w:rFonts w:hint="default" w:ascii="Times New Roman" w:hAnsi="Times New Roman" w:cs="Times New Roman"/>
                <w:bCs/>
                <w:color w:val="auto"/>
                <w:kern w:val="0"/>
                <w:highlight w:val="none"/>
              </w:rPr>
            </w:pPr>
          </w:p>
          <w:p w14:paraId="0CE7DC56">
            <w:pPr>
              <w:adjustRightInd w:val="0"/>
              <w:ind w:firstLine="480" w:firstLineChars="200"/>
              <w:rPr>
                <w:rFonts w:hint="default" w:ascii="Times New Roman" w:hAnsi="Times New Roman" w:cs="Times New Roman"/>
                <w:bCs/>
                <w:color w:val="auto"/>
                <w:kern w:val="0"/>
                <w:highlight w:val="none"/>
              </w:rPr>
            </w:pPr>
            <w:r>
              <w:rPr>
                <w:rFonts w:hint="default" w:ascii="Times New Roman" w:hAnsi="Times New Roman" w:cs="Times New Roman"/>
                <w:bCs/>
                <w:color w:val="auto"/>
                <w:kern w:val="0"/>
                <w:highlight w:val="none"/>
              </w:rPr>
              <w:t>按照本次评价，在严格落实前文提出的各项环境保护措施，并加强污染防治设施维护管理的情况下，本项目产生的污染物及不良环境影响能够得到有效控制，</w:t>
            </w:r>
            <w:r>
              <w:rPr>
                <w:rFonts w:hint="default" w:ascii="Times New Roman" w:hAnsi="Times New Roman" w:cs="Times New Roman"/>
                <w:b/>
                <w:color w:val="auto"/>
                <w:kern w:val="0"/>
                <w:highlight w:val="none"/>
              </w:rPr>
              <w:t>从环境保护角度分析，项目的建设是可行的</w:t>
            </w:r>
            <w:r>
              <w:rPr>
                <w:rFonts w:hint="default" w:ascii="Times New Roman" w:hAnsi="Times New Roman" w:cs="Times New Roman"/>
                <w:bCs/>
                <w:color w:val="auto"/>
                <w:kern w:val="0"/>
                <w:highlight w:val="none"/>
              </w:rPr>
              <w:t>。</w:t>
            </w:r>
          </w:p>
          <w:p w14:paraId="3F3FC1A9">
            <w:pPr>
              <w:ind w:firstLine="480"/>
              <w:rPr>
                <w:rFonts w:hint="default" w:ascii="Times New Roman" w:hAnsi="Times New Roman" w:cs="Times New Roman"/>
                <w:color w:val="auto"/>
                <w:highlight w:val="none"/>
              </w:rPr>
            </w:pPr>
            <w:r>
              <w:rPr>
                <w:rFonts w:hint="default" w:ascii="Times New Roman" w:hAnsi="Times New Roman" w:cs="Times New Roman"/>
                <w:bCs/>
                <w:color w:val="auto"/>
                <w:highlight w:val="none"/>
              </w:rPr>
              <w:t>本环境影响报告表通过审批后</w:t>
            </w:r>
            <w:r>
              <w:rPr>
                <w:rFonts w:hint="default" w:ascii="Times New Roman" w:hAnsi="Times New Roman" w:cs="Times New Roman"/>
                <w:color w:val="auto"/>
                <w:highlight w:val="none"/>
              </w:rPr>
              <w:t>，建设内容如发生重大变动，建设单位需要重新组织编制和报批环境影响评价文件。建设单位应当严格执行配套建设的环境保护设施与主体工程同时设计、同时施工、同时投产使用的环境保护“三同时”制度。本项目竣工后，建设单位应当按照国家和地方规定的标准和程序，对配套建设的环境保护设施进行验收，编制验收报告，提出验收意见，并依法向社会公开。本项目配套建设的环境保护设施经验收合格后，主体工程方可正式投入生产。</w:t>
            </w:r>
          </w:p>
          <w:p w14:paraId="6202B31F">
            <w:pPr>
              <w:rPr>
                <w:rFonts w:hint="default" w:ascii="Times New Roman" w:hAnsi="Times New Roman" w:cs="Times New Roman"/>
                <w:color w:val="auto"/>
                <w:highlight w:val="none"/>
              </w:rPr>
            </w:pPr>
          </w:p>
          <w:p w14:paraId="12DDF19C">
            <w:pPr>
              <w:rPr>
                <w:rFonts w:hint="default" w:ascii="Times New Roman" w:hAnsi="Times New Roman" w:cs="Times New Roman"/>
                <w:color w:val="auto"/>
                <w:highlight w:val="none"/>
              </w:rPr>
            </w:pPr>
          </w:p>
          <w:p w14:paraId="6C7B5380">
            <w:pPr>
              <w:rPr>
                <w:rFonts w:hint="default" w:ascii="Times New Roman" w:hAnsi="Times New Roman" w:cs="Times New Roman"/>
                <w:color w:val="auto"/>
                <w:highlight w:val="none"/>
              </w:rPr>
            </w:pPr>
          </w:p>
          <w:p w14:paraId="0F6A577F">
            <w:pPr>
              <w:rPr>
                <w:rFonts w:hint="default" w:ascii="Times New Roman" w:hAnsi="Times New Roman" w:cs="Times New Roman"/>
                <w:color w:val="auto"/>
                <w:highlight w:val="none"/>
              </w:rPr>
            </w:pPr>
          </w:p>
          <w:p w14:paraId="4DBF3827">
            <w:pPr>
              <w:rPr>
                <w:rFonts w:hint="default" w:ascii="Times New Roman" w:hAnsi="Times New Roman" w:cs="Times New Roman"/>
                <w:color w:val="auto"/>
                <w:highlight w:val="none"/>
              </w:rPr>
            </w:pPr>
          </w:p>
          <w:p w14:paraId="78B51E91">
            <w:pPr>
              <w:rPr>
                <w:rFonts w:hint="default" w:ascii="Times New Roman" w:hAnsi="Times New Roman" w:cs="Times New Roman"/>
                <w:color w:val="auto"/>
                <w:highlight w:val="none"/>
              </w:rPr>
            </w:pPr>
          </w:p>
        </w:tc>
      </w:tr>
    </w:tbl>
    <w:p w14:paraId="4666C19F">
      <w:pPr>
        <w:rPr>
          <w:rFonts w:hint="default" w:ascii="Times New Roman" w:hAnsi="Times New Roman" w:eastAsia="黑体" w:cs="Times New Roman"/>
          <w:snapToGrid w:val="0"/>
          <w:color w:val="auto"/>
          <w:sz w:val="32"/>
          <w:szCs w:val="32"/>
          <w:highlight w:val="none"/>
        </w:rPr>
        <w:sectPr>
          <w:pgSz w:w="11906" w:h="16838"/>
          <w:pgMar w:top="1440" w:right="1417" w:bottom="1440" w:left="1417" w:header="851" w:footer="680" w:gutter="0"/>
          <w:pgBorders>
            <w:top w:val="none" w:sz="0" w:space="0"/>
            <w:left w:val="none" w:sz="0" w:space="0"/>
            <w:bottom w:val="none" w:sz="0" w:space="0"/>
            <w:right w:val="none" w:sz="0" w:space="0"/>
          </w:pgBorders>
          <w:pgNumType w:fmt="decimal"/>
          <w:cols w:space="720" w:num="1"/>
          <w:docGrid w:type="linesAndChars" w:linePitch="312" w:charSpace="0"/>
        </w:sectPr>
      </w:pPr>
    </w:p>
    <w:p w14:paraId="561C3BDE">
      <w:pPr>
        <w:jc w:val="left"/>
        <w:outlineLvl w:val="0"/>
        <w:rPr>
          <w:rFonts w:hint="default" w:ascii="Times New Roman" w:hAnsi="Times New Roman" w:eastAsia="宋体" w:cs="Times New Roman"/>
          <w:color w:val="auto"/>
          <w:sz w:val="28"/>
          <w:szCs w:val="28"/>
          <w:highlight w:val="none"/>
          <w:lang w:val="en-US" w:eastAsia="zh-CN"/>
        </w:rPr>
      </w:pPr>
      <w:bookmarkStart w:id="119" w:name="_Toc11777"/>
      <w:bookmarkStart w:id="120" w:name="_Toc19930"/>
      <w:bookmarkStart w:id="121" w:name="_Toc19831"/>
      <w:r>
        <w:rPr>
          <w:rFonts w:hint="default" w:ascii="Times New Roman" w:hAnsi="Times New Roman" w:eastAsia="宋体" w:cs="Times New Roman"/>
          <w:color w:val="auto"/>
          <w:sz w:val="28"/>
          <w:szCs w:val="28"/>
          <w:highlight w:val="none"/>
          <w:lang w:val="en-US" w:eastAsia="zh-CN"/>
        </w:rPr>
        <w:t>附表</w:t>
      </w:r>
      <w:bookmarkEnd w:id="119"/>
      <w:bookmarkEnd w:id="120"/>
    </w:p>
    <w:p w14:paraId="657A7C77">
      <w:pPr>
        <w:jc w:val="center"/>
        <w:outlineLvl w:val="9"/>
        <w:rPr>
          <w:rFonts w:hint="default" w:ascii="Times New Roman" w:hAnsi="Times New Roman" w:eastAsia="黑体" w:cs="Times New Roman"/>
          <w:color w:val="auto"/>
          <w:sz w:val="40"/>
          <w:szCs w:val="40"/>
          <w:highlight w:val="none"/>
        </w:rPr>
      </w:pPr>
      <w:r>
        <w:rPr>
          <w:rFonts w:hint="default" w:ascii="Times New Roman" w:hAnsi="Times New Roman" w:eastAsia="黑体" w:cs="Times New Roman"/>
          <w:color w:val="auto"/>
          <w:sz w:val="40"/>
          <w:szCs w:val="40"/>
          <w:highlight w:val="none"/>
        </w:rPr>
        <w:t>建设项目污染物排放量汇总表</w:t>
      </w:r>
      <w:bookmarkEnd w:id="121"/>
    </w:p>
    <w:tbl>
      <w:tblPr>
        <w:tblStyle w:val="4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6"/>
        <w:gridCol w:w="2221"/>
        <w:gridCol w:w="1396"/>
        <w:gridCol w:w="1572"/>
        <w:gridCol w:w="1489"/>
        <w:gridCol w:w="1662"/>
        <w:gridCol w:w="1575"/>
        <w:gridCol w:w="1731"/>
        <w:gridCol w:w="1416"/>
      </w:tblGrid>
      <w:tr w14:paraId="6DC37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tcBorders>
              <w:tl2br w:val="single" w:color="auto" w:sz="4" w:space="0"/>
            </w:tcBorders>
            <w:vAlign w:val="center"/>
          </w:tcPr>
          <w:p w14:paraId="67580B03">
            <w:pPr>
              <w:spacing w:line="240" w:lineRule="auto"/>
              <w:jc w:val="center"/>
              <w:rPr>
                <w:rFonts w:hint="default" w:ascii="Times New Roman" w:hAnsi="Times New Roman" w:eastAsia="黑体" w:cs="Times New Roman"/>
                <w:color w:val="auto"/>
                <w:sz w:val="21"/>
                <w:szCs w:val="21"/>
                <w:highlight w:val="none"/>
              </w:rPr>
            </w:pPr>
            <w:r>
              <w:rPr>
                <w:rFonts w:hint="default" w:ascii="Times New Roman" w:hAnsi="Times New Roman" w:eastAsia="黑体" w:cs="Times New Roman"/>
                <w:color w:val="auto"/>
                <w:sz w:val="21"/>
                <w:szCs w:val="21"/>
                <w:highlight w:val="none"/>
                <w:lang w:val="en-US" w:eastAsia="zh-CN"/>
              </w:rPr>
              <w:t xml:space="preserve">    </w:t>
            </w:r>
            <w:r>
              <w:rPr>
                <w:rFonts w:hint="default" w:ascii="Times New Roman" w:hAnsi="Times New Roman" w:eastAsia="黑体" w:cs="Times New Roman"/>
                <w:color w:val="auto"/>
                <w:sz w:val="21"/>
                <w:szCs w:val="21"/>
                <w:highlight w:val="none"/>
              </w:rPr>
              <w:t>项目</w:t>
            </w:r>
          </w:p>
          <w:p w14:paraId="5EA254AD">
            <w:pPr>
              <w:spacing w:line="240" w:lineRule="auto"/>
              <w:jc w:val="both"/>
              <w:rPr>
                <w:rFonts w:hint="default" w:ascii="Times New Roman" w:hAnsi="Times New Roman" w:cs="Times New Roman"/>
                <w:color w:val="auto"/>
                <w:sz w:val="21"/>
                <w:szCs w:val="21"/>
                <w:highlight w:val="none"/>
              </w:rPr>
            </w:pPr>
            <w:r>
              <w:rPr>
                <w:rFonts w:hint="default" w:ascii="Times New Roman" w:hAnsi="Times New Roman" w:eastAsia="黑体" w:cs="Times New Roman"/>
                <w:color w:val="auto"/>
                <w:sz w:val="21"/>
                <w:szCs w:val="21"/>
                <w:highlight w:val="none"/>
              </w:rPr>
              <w:t>分类</w:t>
            </w:r>
          </w:p>
        </w:tc>
        <w:tc>
          <w:tcPr>
            <w:tcW w:w="783" w:type="pct"/>
            <w:vAlign w:val="center"/>
          </w:tcPr>
          <w:p w14:paraId="05CB1918">
            <w:pPr>
              <w:spacing w:line="240" w:lineRule="auto"/>
              <w:jc w:val="center"/>
              <w:rPr>
                <w:rFonts w:hint="default" w:ascii="Times New Roman" w:hAnsi="Times New Roman" w:eastAsia="黑体" w:cs="Times New Roman"/>
                <w:color w:val="auto"/>
                <w:sz w:val="21"/>
                <w:szCs w:val="21"/>
                <w:highlight w:val="none"/>
              </w:rPr>
            </w:pPr>
            <w:r>
              <w:rPr>
                <w:rFonts w:hint="default" w:ascii="Times New Roman" w:hAnsi="Times New Roman" w:eastAsia="黑体" w:cs="Times New Roman"/>
                <w:color w:val="auto"/>
                <w:sz w:val="21"/>
                <w:szCs w:val="21"/>
                <w:highlight w:val="none"/>
              </w:rPr>
              <w:t>污染物名称</w:t>
            </w:r>
          </w:p>
        </w:tc>
        <w:tc>
          <w:tcPr>
            <w:tcW w:w="492" w:type="pct"/>
            <w:vAlign w:val="center"/>
          </w:tcPr>
          <w:p w14:paraId="2E7F68BE">
            <w:pPr>
              <w:spacing w:line="240" w:lineRule="auto"/>
              <w:jc w:val="center"/>
              <w:rPr>
                <w:rFonts w:hint="default" w:ascii="Times New Roman" w:hAnsi="Times New Roman" w:eastAsia="黑体" w:cs="Times New Roman"/>
                <w:color w:val="auto"/>
                <w:sz w:val="21"/>
                <w:szCs w:val="21"/>
                <w:highlight w:val="none"/>
              </w:rPr>
            </w:pPr>
            <w:r>
              <w:rPr>
                <w:rFonts w:hint="default" w:ascii="Times New Roman" w:hAnsi="Times New Roman" w:eastAsia="黑体" w:cs="Times New Roman"/>
                <w:color w:val="auto"/>
                <w:sz w:val="21"/>
                <w:szCs w:val="21"/>
                <w:highlight w:val="none"/>
              </w:rPr>
              <w:t>现有工程排放量（固体废物产生量）①</w:t>
            </w:r>
          </w:p>
        </w:tc>
        <w:tc>
          <w:tcPr>
            <w:tcW w:w="554" w:type="pct"/>
            <w:vAlign w:val="center"/>
          </w:tcPr>
          <w:p w14:paraId="769EC350">
            <w:pPr>
              <w:spacing w:line="240" w:lineRule="auto"/>
              <w:jc w:val="center"/>
              <w:rPr>
                <w:rFonts w:hint="default" w:ascii="Times New Roman" w:hAnsi="Times New Roman" w:eastAsia="黑体" w:cs="Times New Roman"/>
                <w:color w:val="auto"/>
                <w:sz w:val="21"/>
                <w:szCs w:val="21"/>
                <w:highlight w:val="none"/>
              </w:rPr>
            </w:pPr>
            <w:r>
              <w:rPr>
                <w:rFonts w:hint="default" w:ascii="Times New Roman" w:hAnsi="Times New Roman" w:eastAsia="黑体" w:cs="Times New Roman"/>
                <w:color w:val="auto"/>
                <w:sz w:val="21"/>
                <w:szCs w:val="21"/>
                <w:highlight w:val="none"/>
              </w:rPr>
              <w:t>现有工程排污许可排放量②</w:t>
            </w:r>
          </w:p>
        </w:tc>
        <w:tc>
          <w:tcPr>
            <w:tcW w:w="525" w:type="pct"/>
            <w:vAlign w:val="center"/>
          </w:tcPr>
          <w:p w14:paraId="2FE48CFC">
            <w:pPr>
              <w:spacing w:line="240" w:lineRule="auto"/>
              <w:jc w:val="center"/>
              <w:rPr>
                <w:rFonts w:hint="default" w:ascii="Times New Roman" w:hAnsi="Times New Roman" w:eastAsia="黑体" w:cs="Times New Roman"/>
                <w:color w:val="auto"/>
                <w:sz w:val="21"/>
                <w:szCs w:val="21"/>
                <w:highlight w:val="none"/>
              </w:rPr>
            </w:pPr>
            <w:r>
              <w:rPr>
                <w:rFonts w:hint="default" w:ascii="Times New Roman" w:hAnsi="Times New Roman" w:eastAsia="黑体" w:cs="Times New Roman"/>
                <w:color w:val="auto"/>
                <w:sz w:val="21"/>
                <w:szCs w:val="21"/>
                <w:highlight w:val="none"/>
              </w:rPr>
              <w:t>在建工程排放量（固体废物产生量）③</w:t>
            </w:r>
          </w:p>
        </w:tc>
        <w:tc>
          <w:tcPr>
            <w:tcW w:w="586" w:type="pct"/>
            <w:vAlign w:val="center"/>
          </w:tcPr>
          <w:p w14:paraId="28C196DC">
            <w:pPr>
              <w:spacing w:line="240" w:lineRule="auto"/>
              <w:jc w:val="center"/>
              <w:rPr>
                <w:rFonts w:hint="default" w:ascii="Times New Roman" w:hAnsi="Times New Roman" w:eastAsia="黑体" w:cs="Times New Roman"/>
                <w:color w:val="auto"/>
                <w:sz w:val="21"/>
                <w:szCs w:val="21"/>
                <w:highlight w:val="none"/>
              </w:rPr>
            </w:pPr>
            <w:r>
              <w:rPr>
                <w:rFonts w:hint="default" w:ascii="Times New Roman" w:hAnsi="Times New Roman" w:eastAsia="黑体" w:cs="Times New Roman"/>
                <w:color w:val="auto"/>
                <w:sz w:val="21"/>
                <w:szCs w:val="21"/>
                <w:highlight w:val="none"/>
              </w:rPr>
              <w:t>本项目排放量（固体废物产生量）④</w:t>
            </w:r>
          </w:p>
        </w:tc>
        <w:tc>
          <w:tcPr>
            <w:tcW w:w="555" w:type="pct"/>
            <w:vAlign w:val="center"/>
          </w:tcPr>
          <w:p w14:paraId="76A365B0">
            <w:pPr>
              <w:spacing w:line="240" w:lineRule="auto"/>
              <w:jc w:val="center"/>
              <w:rPr>
                <w:rFonts w:hint="default" w:ascii="Times New Roman" w:hAnsi="Times New Roman" w:eastAsia="黑体" w:cs="Times New Roman"/>
                <w:color w:val="auto"/>
                <w:sz w:val="21"/>
                <w:szCs w:val="21"/>
                <w:highlight w:val="none"/>
              </w:rPr>
            </w:pPr>
            <w:r>
              <w:rPr>
                <w:rFonts w:hint="default" w:ascii="Times New Roman" w:hAnsi="Times New Roman" w:eastAsia="黑体" w:cs="Times New Roman"/>
                <w:color w:val="auto"/>
                <w:sz w:val="21"/>
                <w:szCs w:val="21"/>
                <w:highlight w:val="none"/>
              </w:rPr>
              <w:t>以新带老削减量（新建项目不填）⑤</w:t>
            </w:r>
          </w:p>
        </w:tc>
        <w:tc>
          <w:tcPr>
            <w:tcW w:w="610" w:type="pct"/>
            <w:vAlign w:val="center"/>
          </w:tcPr>
          <w:p w14:paraId="2BA083CD">
            <w:pPr>
              <w:spacing w:line="240" w:lineRule="auto"/>
              <w:jc w:val="center"/>
              <w:rPr>
                <w:rFonts w:hint="default" w:ascii="Times New Roman" w:hAnsi="Times New Roman" w:eastAsia="黑体" w:cs="Times New Roman"/>
                <w:color w:val="auto"/>
                <w:sz w:val="21"/>
                <w:szCs w:val="21"/>
                <w:highlight w:val="none"/>
              </w:rPr>
            </w:pPr>
            <w:r>
              <w:rPr>
                <w:rFonts w:hint="default" w:ascii="Times New Roman" w:hAnsi="Times New Roman" w:eastAsia="黑体" w:cs="Times New Roman"/>
                <w:color w:val="auto"/>
                <w:sz w:val="21"/>
                <w:szCs w:val="21"/>
                <w:highlight w:val="none"/>
              </w:rPr>
              <w:t>本项目建成后全厂排放量（固体废物产生量）⑥</w:t>
            </w:r>
          </w:p>
        </w:tc>
        <w:tc>
          <w:tcPr>
            <w:tcW w:w="499" w:type="pct"/>
            <w:vAlign w:val="center"/>
          </w:tcPr>
          <w:p w14:paraId="21664CAA">
            <w:pPr>
              <w:spacing w:line="240" w:lineRule="auto"/>
              <w:jc w:val="center"/>
              <w:rPr>
                <w:rFonts w:hint="default" w:ascii="Times New Roman" w:hAnsi="Times New Roman" w:eastAsia="黑体" w:cs="Times New Roman"/>
                <w:color w:val="auto"/>
                <w:sz w:val="21"/>
                <w:szCs w:val="21"/>
                <w:highlight w:val="none"/>
              </w:rPr>
            </w:pPr>
            <w:r>
              <w:rPr>
                <w:rFonts w:hint="default" w:ascii="Times New Roman" w:hAnsi="Times New Roman" w:eastAsia="黑体" w:cs="Times New Roman"/>
                <w:color w:val="auto"/>
                <w:sz w:val="21"/>
                <w:szCs w:val="21"/>
                <w:highlight w:val="none"/>
              </w:rPr>
              <w:t>变化量⑦</w:t>
            </w:r>
          </w:p>
        </w:tc>
      </w:tr>
      <w:tr w14:paraId="044B4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vMerge w:val="restart"/>
            <w:vAlign w:val="center"/>
          </w:tcPr>
          <w:p w14:paraId="6C26A163">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废水</w:t>
            </w:r>
          </w:p>
        </w:tc>
        <w:tc>
          <w:tcPr>
            <w:tcW w:w="783" w:type="pct"/>
            <w:vAlign w:val="center"/>
          </w:tcPr>
          <w:p w14:paraId="2380F0B4">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废水量</w:t>
            </w:r>
            <w:r>
              <w:rPr>
                <w:rFonts w:hint="default" w:ascii="Times New Roman" w:hAnsi="Times New Roman" w:cs="Times New Roman"/>
                <w:color w:val="auto"/>
                <w:kern w:val="0"/>
                <w:sz w:val="21"/>
                <w:szCs w:val="21"/>
                <w:highlight w:val="none"/>
              </w:rPr>
              <w:t>（万t/a）</w:t>
            </w:r>
          </w:p>
        </w:tc>
        <w:tc>
          <w:tcPr>
            <w:tcW w:w="492" w:type="pct"/>
            <w:vAlign w:val="center"/>
          </w:tcPr>
          <w:p w14:paraId="38C0B0D6">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54" w:type="pct"/>
            <w:vAlign w:val="center"/>
          </w:tcPr>
          <w:p w14:paraId="557FB3CB">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25" w:type="pct"/>
            <w:vAlign w:val="center"/>
          </w:tcPr>
          <w:p w14:paraId="03A9A748">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86" w:type="pct"/>
            <w:vAlign w:val="center"/>
          </w:tcPr>
          <w:p w14:paraId="4CF903D8">
            <w:pPr>
              <w:pStyle w:val="61"/>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0.00504</w:t>
            </w:r>
          </w:p>
        </w:tc>
        <w:tc>
          <w:tcPr>
            <w:tcW w:w="555" w:type="pct"/>
            <w:vAlign w:val="center"/>
          </w:tcPr>
          <w:p w14:paraId="67C8AB18">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610" w:type="pct"/>
            <w:vAlign w:val="center"/>
          </w:tcPr>
          <w:p w14:paraId="58BCA771">
            <w:pPr>
              <w:pStyle w:val="61"/>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0.00504</w:t>
            </w:r>
          </w:p>
        </w:tc>
        <w:tc>
          <w:tcPr>
            <w:tcW w:w="499" w:type="pct"/>
            <w:vAlign w:val="center"/>
          </w:tcPr>
          <w:p w14:paraId="36D5D3E8">
            <w:pPr>
              <w:pStyle w:val="61"/>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+0.00504</w:t>
            </w:r>
          </w:p>
        </w:tc>
      </w:tr>
      <w:tr w14:paraId="3F478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vMerge w:val="continue"/>
            <w:vAlign w:val="center"/>
          </w:tcPr>
          <w:p w14:paraId="37641253">
            <w:pPr>
              <w:spacing w:line="240" w:lineRule="auto"/>
              <w:jc w:val="center"/>
              <w:rPr>
                <w:rFonts w:hint="default" w:ascii="Times New Roman" w:hAnsi="Times New Roman" w:cs="Times New Roman"/>
                <w:color w:val="auto"/>
                <w:sz w:val="21"/>
                <w:szCs w:val="21"/>
                <w:highlight w:val="none"/>
              </w:rPr>
            </w:pPr>
          </w:p>
        </w:tc>
        <w:tc>
          <w:tcPr>
            <w:tcW w:w="783" w:type="pct"/>
            <w:vAlign w:val="center"/>
          </w:tcPr>
          <w:p w14:paraId="1F26F871">
            <w:pPr>
              <w:widowControl/>
              <w:spacing w:line="240" w:lineRule="auto"/>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COD</w:t>
            </w:r>
            <w:r>
              <w:rPr>
                <w:rFonts w:hint="default" w:ascii="Times New Roman" w:hAnsi="Times New Roman" w:cs="Times New Roman"/>
                <w:color w:val="auto"/>
                <w:kern w:val="0"/>
                <w:sz w:val="21"/>
                <w:szCs w:val="21"/>
                <w:highlight w:val="none"/>
                <w:vertAlign w:val="subscript"/>
              </w:rPr>
              <w:t>Cr</w:t>
            </w:r>
            <w:r>
              <w:rPr>
                <w:rFonts w:hint="default" w:ascii="Times New Roman" w:hAnsi="Times New Roman" w:cs="Times New Roman"/>
                <w:color w:val="auto"/>
                <w:kern w:val="0"/>
                <w:sz w:val="21"/>
                <w:szCs w:val="21"/>
                <w:highlight w:val="none"/>
              </w:rPr>
              <w:t>（t/a）</w:t>
            </w:r>
          </w:p>
        </w:tc>
        <w:tc>
          <w:tcPr>
            <w:tcW w:w="492" w:type="pct"/>
            <w:vAlign w:val="center"/>
          </w:tcPr>
          <w:p w14:paraId="3EB3CC7B">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54" w:type="pct"/>
            <w:vAlign w:val="center"/>
          </w:tcPr>
          <w:p w14:paraId="15DB6ED8">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25" w:type="pct"/>
            <w:vAlign w:val="center"/>
          </w:tcPr>
          <w:p w14:paraId="6B54BAF2">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86" w:type="pct"/>
            <w:vAlign w:val="center"/>
          </w:tcPr>
          <w:p w14:paraId="36F863FC">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0.</w:t>
            </w:r>
            <w:r>
              <w:rPr>
                <w:rFonts w:hint="eastAsia" w:cs="Times New Roman"/>
                <w:i w:val="0"/>
                <w:iCs w:val="0"/>
                <w:color w:val="auto"/>
                <w:kern w:val="0"/>
                <w:sz w:val="21"/>
                <w:szCs w:val="21"/>
                <w:highlight w:val="none"/>
                <w:u w:val="none"/>
                <w:lang w:val="en-US" w:eastAsia="zh-CN"/>
              </w:rPr>
              <w:t>01008</w:t>
            </w:r>
          </w:p>
        </w:tc>
        <w:tc>
          <w:tcPr>
            <w:tcW w:w="555" w:type="pct"/>
            <w:vAlign w:val="center"/>
          </w:tcPr>
          <w:p w14:paraId="6CA80AED">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610" w:type="pct"/>
            <w:vAlign w:val="center"/>
          </w:tcPr>
          <w:p w14:paraId="429B1890">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0.</w:t>
            </w:r>
            <w:r>
              <w:rPr>
                <w:rFonts w:hint="eastAsia" w:cs="Times New Roman"/>
                <w:i w:val="0"/>
                <w:iCs w:val="0"/>
                <w:color w:val="auto"/>
                <w:kern w:val="0"/>
                <w:sz w:val="21"/>
                <w:szCs w:val="21"/>
                <w:highlight w:val="none"/>
                <w:u w:val="none"/>
                <w:lang w:val="en-US" w:eastAsia="zh-CN"/>
              </w:rPr>
              <w:t>01008</w:t>
            </w:r>
          </w:p>
        </w:tc>
        <w:tc>
          <w:tcPr>
            <w:tcW w:w="499" w:type="pct"/>
            <w:vAlign w:val="center"/>
          </w:tcPr>
          <w:p w14:paraId="7638F642">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highlight w:val="none"/>
                <w:lang w:val="en-US" w:eastAsia="zh-CN"/>
              </w:rPr>
            </w:pPr>
            <w:r>
              <w:rPr>
                <w:rFonts w:hint="eastAsia" w:cs="Times New Roman"/>
                <w:color w:val="auto"/>
                <w:sz w:val="21"/>
                <w:szCs w:val="21"/>
                <w:highlight w:val="none"/>
                <w:lang w:val="en-US" w:eastAsia="zh-CN"/>
              </w:rPr>
              <w:t>+</w:t>
            </w:r>
            <w:r>
              <w:rPr>
                <w:rFonts w:hint="default" w:ascii="Times New Roman" w:hAnsi="Times New Roman" w:eastAsia="宋体" w:cs="Times New Roman"/>
                <w:i w:val="0"/>
                <w:iCs w:val="0"/>
                <w:color w:val="auto"/>
                <w:kern w:val="0"/>
                <w:sz w:val="21"/>
                <w:szCs w:val="21"/>
                <w:highlight w:val="none"/>
                <w:u w:val="none"/>
                <w:lang w:val="en-US" w:eastAsia="zh-CN"/>
              </w:rPr>
              <w:t>0.</w:t>
            </w:r>
            <w:r>
              <w:rPr>
                <w:rFonts w:hint="eastAsia" w:cs="Times New Roman"/>
                <w:i w:val="0"/>
                <w:iCs w:val="0"/>
                <w:color w:val="auto"/>
                <w:kern w:val="0"/>
                <w:sz w:val="21"/>
                <w:szCs w:val="21"/>
                <w:highlight w:val="none"/>
                <w:u w:val="none"/>
                <w:lang w:val="en-US" w:eastAsia="zh-CN"/>
              </w:rPr>
              <w:t>01008</w:t>
            </w:r>
          </w:p>
        </w:tc>
      </w:tr>
      <w:tr w14:paraId="6BA2C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vMerge w:val="continue"/>
            <w:vAlign w:val="center"/>
          </w:tcPr>
          <w:p w14:paraId="64D5C2E9">
            <w:pPr>
              <w:spacing w:line="240" w:lineRule="auto"/>
              <w:jc w:val="center"/>
              <w:rPr>
                <w:rFonts w:hint="default" w:ascii="Times New Roman" w:hAnsi="Times New Roman" w:cs="Times New Roman"/>
                <w:color w:val="auto"/>
                <w:sz w:val="21"/>
                <w:szCs w:val="21"/>
                <w:highlight w:val="none"/>
              </w:rPr>
            </w:pPr>
          </w:p>
        </w:tc>
        <w:tc>
          <w:tcPr>
            <w:tcW w:w="783" w:type="pct"/>
            <w:vAlign w:val="center"/>
          </w:tcPr>
          <w:p w14:paraId="5A4754C8">
            <w:pPr>
              <w:widowControl/>
              <w:spacing w:line="240" w:lineRule="auto"/>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BOD</w:t>
            </w:r>
            <w:r>
              <w:rPr>
                <w:rFonts w:hint="default" w:ascii="Times New Roman" w:hAnsi="Times New Roman" w:cs="Times New Roman"/>
                <w:color w:val="auto"/>
                <w:kern w:val="0"/>
                <w:sz w:val="21"/>
                <w:szCs w:val="21"/>
                <w:highlight w:val="none"/>
                <w:vertAlign w:val="subscript"/>
              </w:rPr>
              <w:t>5</w:t>
            </w:r>
            <w:r>
              <w:rPr>
                <w:rFonts w:hint="default" w:ascii="Times New Roman" w:hAnsi="Times New Roman" w:cs="Times New Roman"/>
                <w:color w:val="auto"/>
                <w:kern w:val="0"/>
                <w:sz w:val="21"/>
                <w:szCs w:val="21"/>
                <w:highlight w:val="none"/>
              </w:rPr>
              <w:t>（t/a）</w:t>
            </w:r>
          </w:p>
        </w:tc>
        <w:tc>
          <w:tcPr>
            <w:tcW w:w="492" w:type="pct"/>
            <w:vAlign w:val="center"/>
          </w:tcPr>
          <w:p w14:paraId="2715D7BA">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54" w:type="pct"/>
            <w:vAlign w:val="center"/>
          </w:tcPr>
          <w:p w14:paraId="0A7EC873">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25" w:type="pct"/>
            <w:vAlign w:val="center"/>
          </w:tcPr>
          <w:p w14:paraId="5403B726">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86" w:type="pct"/>
            <w:vAlign w:val="center"/>
          </w:tcPr>
          <w:p w14:paraId="1CC9A3FB">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0.0</w:t>
            </w:r>
            <w:r>
              <w:rPr>
                <w:rFonts w:hint="eastAsia" w:cs="Times New Roman"/>
                <w:i w:val="0"/>
                <w:iCs w:val="0"/>
                <w:color w:val="auto"/>
                <w:kern w:val="0"/>
                <w:sz w:val="21"/>
                <w:szCs w:val="21"/>
                <w:highlight w:val="none"/>
                <w:u w:val="none"/>
                <w:lang w:val="en-US" w:eastAsia="zh-CN"/>
              </w:rPr>
              <w:t>0393</w:t>
            </w:r>
          </w:p>
        </w:tc>
        <w:tc>
          <w:tcPr>
            <w:tcW w:w="555" w:type="pct"/>
            <w:vAlign w:val="center"/>
          </w:tcPr>
          <w:p w14:paraId="0B7EB2EB">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610" w:type="pct"/>
            <w:vAlign w:val="center"/>
          </w:tcPr>
          <w:p w14:paraId="2AE40B3F">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0.0</w:t>
            </w:r>
            <w:r>
              <w:rPr>
                <w:rFonts w:hint="eastAsia" w:cs="Times New Roman"/>
                <w:i w:val="0"/>
                <w:iCs w:val="0"/>
                <w:color w:val="auto"/>
                <w:kern w:val="0"/>
                <w:sz w:val="21"/>
                <w:szCs w:val="21"/>
                <w:highlight w:val="none"/>
                <w:u w:val="none"/>
                <w:lang w:val="en-US" w:eastAsia="zh-CN"/>
              </w:rPr>
              <w:t>0393</w:t>
            </w:r>
          </w:p>
        </w:tc>
        <w:tc>
          <w:tcPr>
            <w:tcW w:w="499" w:type="pct"/>
            <w:vAlign w:val="center"/>
          </w:tcPr>
          <w:p w14:paraId="69341F33">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highlight w:val="none"/>
                <w:lang w:val="en-US" w:eastAsia="zh-CN"/>
              </w:rPr>
            </w:pPr>
            <w:r>
              <w:rPr>
                <w:rFonts w:hint="eastAsia" w:cs="Times New Roman"/>
                <w:color w:val="auto"/>
                <w:sz w:val="21"/>
                <w:szCs w:val="21"/>
                <w:highlight w:val="none"/>
                <w:lang w:val="en-US" w:eastAsia="zh-CN"/>
              </w:rPr>
              <w:t>+</w:t>
            </w:r>
            <w:r>
              <w:rPr>
                <w:rFonts w:hint="default" w:ascii="Times New Roman" w:hAnsi="Times New Roman" w:eastAsia="宋体" w:cs="Times New Roman"/>
                <w:i w:val="0"/>
                <w:iCs w:val="0"/>
                <w:color w:val="auto"/>
                <w:kern w:val="0"/>
                <w:sz w:val="21"/>
                <w:szCs w:val="21"/>
                <w:highlight w:val="none"/>
                <w:u w:val="none"/>
                <w:lang w:val="en-US" w:eastAsia="zh-CN"/>
              </w:rPr>
              <w:t>0.0</w:t>
            </w:r>
            <w:r>
              <w:rPr>
                <w:rFonts w:hint="eastAsia" w:cs="Times New Roman"/>
                <w:i w:val="0"/>
                <w:iCs w:val="0"/>
                <w:color w:val="auto"/>
                <w:kern w:val="0"/>
                <w:sz w:val="21"/>
                <w:szCs w:val="21"/>
                <w:highlight w:val="none"/>
                <w:u w:val="none"/>
                <w:lang w:val="en-US" w:eastAsia="zh-CN"/>
              </w:rPr>
              <w:t>0393</w:t>
            </w:r>
          </w:p>
        </w:tc>
      </w:tr>
      <w:tr w14:paraId="4CBC1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vMerge w:val="continue"/>
            <w:vAlign w:val="center"/>
          </w:tcPr>
          <w:p w14:paraId="40198EFE">
            <w:pPr>
              <w:spacing w:line="240" w:lineRule="auto"/>
              <w:jc w:val="center"/>
              <w:rPr>
                <w:rFonts w:hint="default" w:ascii="Times New Roman" w:hAnsi="Times New Roman" w:cs="Times New Roman"/>
                <w:color w:val="auto"/>
                <w:sz w:val="21"/>
                <w:szCs w:val="21"/>
                <w:highlight w:val="none"/>
              </w:rPr>
            </w:pPr>
          </w:p>
        </w:tc>
        <w:tc>
          <w:tcPr>
            <w:tcW w:w="783" w:type="pct"/>
            <w:vAlign w:val="center"/>
          </w:tcPr>
          <w:p w14:paraId="45271220">
            <w:pPr>
              <w:widowControl/>
              <w:spacing w:line="240" w:lineRule="auto"/>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SS（t/a）</w:t>
            </w:r>
          </w:p>
        </w:tc>
        <w:tc>
          <w:tcPr>
            <w:tcW w:w="492" w:type="pct"/>
            <w:vAlign w:val="center"/>
          </w:tcPr>
          <w:p w14:paraId="0ACE5D18">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54" w:type="pct"/>
            <w:vAlign w:val="center"/>
          </w:tcPr>
          <w:p w14:paraId="506F80DB">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25" w:type="pct"/>
            <w:vAlign w:val="center"/>
          </w:tcPr>
          <w:p w14:paraId="173ED7C0">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86" w:type="pct"/>
            <w:vAlign w:val="center"/>
          </w:tcPr>
          <w:p w14:paraId="641D7E00">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0.0</w:t>
            </w:r>
            <w:r>
              <w:rPr>
                <w:rFonts w:hint="eastAsia" w:cs="Times New Roman"/>
                <w:i w:val="0"/>
                <w:iCs w:val="0"/>
                <w:color w:val="auto"/>
                <w:kern w:val="0"/>
                <w:sz w:val="21"/>
                <w:szCs w:val="21"/>
                <w:highlight w:val="none"/>
                <w:u w:val="none"/>
                <w:lang w:val="en-US" w:eastAsia="zh-CN"/>
              </w:rPr>
              <w:t>0353</w:t>
            </w:r>
          </w:p>
        </w:tc>
        <w:tc>
          <w:tcPr>
            <w:tcW w:w="555" w:type="pct"/>
            <w:vAlign w:val="center"/>
          </w:tcPr>
          <w:p w14:paraId="467C3AF9">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610" w:type="pct"/>
            <w:vAlign w:val="center"/>
          </w:tcPr>
          <w:p w14:paraId="2313A08C">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0.0</w:t>
            </w:r>
            <w:r>
              <w:rPr>
                <w:rFonts w:hint="eastAsia" w:cs="Times New Roman"/>
                <w:i w:val="0"/>
                <w:iCs w:val="0"/>
                <w:color w:val="auto"/>
                <w:kern w:val="0"/>
                <w:sz w:val="21"/>
                <w:szCs w:val="21"/>
                <w:highlight w:val="none"/>
                <w:u w:val="none"/>
                <w:lang w:val="en-US" w:eastAsia="zh-CN"/>
              </w:rPr>
              <w:t>0353</w:t>
            </w:r>
          </w:p>
        </w:tc>
        <w:tc>
          <w:tcPr>
            <w:tcW w:w="499" w:type="pct"/>
            <w:vAlign w:val="center"/>
          </w:tcPr>
          <w:p w14:paraId="0FCC0E83">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highlight w:val="none"/>
                <w:lang w:val="en-US" w:eastAsia="zh-CN"/>
              </w:rPr>
            </w:pPr>
            <w:r>
              <w:rPr>
                <w:rFonts w:hint="eastAsia" w:cs="Times New Roman"/>
                <w:color w:val="auto"/>
                <w:sz w:val="21"/>
                <w:szCs w:val="21"/>
                <w:highlight w:val="none"/>
                <w:lang w:val="en-US" w:eastAsia="zh-CN"/>
              </w:rPr>
              <w:t>+</w:t>
            </w:r>
            <w:r>
              <w:rPr>
                <w:rFonts w:hint="default" w:ascii="Times New Roman" w:hAnsi="Times New Roman" w:eastAsia="宋体" w:cs="Times New Roman"/>
                <w:i w:val="0"/>
                <w:iCs w:val="0"/>
                <w:color w:val="auto"/>
                <w:kern w:val="0"/>
                <w:sz w:val="21"/>
                <w:szCs w:val="21"/>
                <w:highlight w:val="none"/>
                <w:u w:val="none"/>
                <w:lang w:val="en-US" w:eastAsia="zh-CN"/>
              </w:rPr>
              <w:t>0.0</w:t>
            </w:r>
            <w:r>
              <w:rPr>
                <w:rFonts w:hint="eastAsia" w:cs="Times New Roman"/>
                <w:i w:val="0"/>
                <w:iCs w:val="0"/>
                <w:color w:val="auto"/>
                <w:kern w:val="0"/>
                <w:sz w:val="21"/>
                <w:szCs w:val="21"/>
                <w:highlight w:val="none"/>
                <w:u w:val="none"/>
                <w:lang w:val="en-US" w:eastAsia="zh-CN"/>
              </w:rPr>
              <w:t>0353</w:t>
            </w:r>
          </w:p>
        </w:tc>
      </w:tr>
      <w:tr w14:paraId="3DC3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vMerge w:val="continue"/>
            <w:vAlign w:val="center"/>
          </w:tcPr>
          <w:p w14:paraId="4DD1D4F5">
            <w:pPr>
              <w:spacing w:line="240" w:lineRule="auto"/>
              <w:jc w:val="center"/>
              <w:rPr>
                <w:rFonts w:hint="default" w:ascii="Times New Roman" w:hAnsi="Times New Roman" w:cs="Times New Roman"/>
                <w:color w:val="auto"/>
                <w:sz w:val="21"/>
                <w:szCs w:val="21"/>
                <w:highlight w:val="none"/>
              </w:rPr>
            </w:pPr>
          </w:p>
        </w:tc>
        <w:tc>
          <w:tcPr>
            <w:tcW w:w="783" w:type="pct"/>
            <w:vAlign w:val="center"/>
          </w:tcPr>
          <w:p w14:paraId="6CCBDF0A">
            <w:pPr>
              <w:widowControl/>
              <w:spacing w:line="240" w:lineRule="auto"/>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氨氮（t/a）</w:t>
            </w:r>
          </w:p>
        </w:tc>
        <w:tc>
          <w:tcPr>
            <w:tcW w:w="492" w:type="pct"/>
            <w:vAlign w:val="center"/>
          </w:tcPr>
          <w:p w14:paraId="2D6713A8">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54" w:type="pct"/>
            <w:vAlign w:val="center"/>
          </w:tcPr>
          <w:p w14:paraId="524EE0C2">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25" w:type="pct"/>
            <w:vAlign w:val="center"/>
          </w:tcPr>
          <w:p w14:paraId="4A6494C9">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86" w:type="pct"/>
            <w:vAlign w:val="center"/>
          </w:tcPr>
          <w:p w14:paraId="3FD018E4">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0.00</w:t>
            </w:r>
            <w:r>
              <w:rPr>
                <w:rFonts w:hint="eastAsia" w:cs="Times New Roman"/>
                <w:i w:val="0"/>
                <w:iCs w:val="0"/>
                <w:color w:val="auto"/>
                <w:kern w:val="0"/>
                <w:sz w:val="21"/>
                <w:szCs w:val="21"/>
                <w:highlight w:val="none"/>
                <w:u w:val="none"/>
                <w:lang w:val="en-US" w:eastAsia="zh-CN"/>
              </w:rPr>
              <w:t>096</w:t>
            </w:r>
          </w:p>
        </w:tc>
        <w:tc>
          <w:tcPr>
            <w:tcW w:w="555" w:type="pct"/>
            <w:vAlign w:val="center"/>
          </w:tcPr>
          <w:p w14:paraId="50488A78">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610" w:type="pct"/>
            <w:vAlign w:val="center"/>
          </w:tcPr>
          <w:p w14:paraId="54AE212D">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0.00</w:t>
            </w:r>
            <w:r>
              <w:rPr>
                <w:rFonts w:hint="eastAsia" w:cs="Times New Roman"/>
                <w:i w:val="0"/>
                <w:iCs w:val="0"/>
                <w:color w:val="auto"/>
                <w:kern w:val="0"/>
                <w:sz w:val="21"/>
                <w:szCs w:val="21"/>
                <w:highlight w:val="none"/>
                <w:u w:val="none"/>
                <w:lang w:val="en-US" w:eastAsia="zh-CN"/>
              </w:rPr>
              <w:t>096</w:t>
            </w:r>
          </w:p>
        </w:tc>
        <w:tc>
          <w:tcPr>
            <w:tcW w:w="499" w:type="pct"/>
            <w:vAlign w:val="center"/>
          </w:tcPr>
          <w:p w14:paraId="4F2AA866">
            <w:pPr>
              <w:keepNext w:val="0"/>
              <w:keepLines w:val="0"/>
              <w:widowControl/>
              <w:suppressLineNumbers w:val="0"/>
              <w:jc w:val="center"/>
              <w:textAlignment w:val="center"/>
              <w:rPr>
                <w:rFonts w:hint="eastAsia" w:ascii="Times New Roman" w:hAnsi="Times New Roman" w:eastAsia="宋体" w:cs="Times New Roman"/>
                <w:b w:val="0"/>
                <w:bCs w:val="0"/>
                <w:color w:val="auto"/>
                <w:sz w:val="21"/>
                <w:szCs w:val="21"/>
                <w:highlight w:val="none"/>
                <w:lang w:val="en-US" w:eastAsia="zh-CN"/>
              </w:rPr>
            </w:pPr>
            <w:r>
              <w:rPr>
                <w:rFonts w:hint="eastAsia" w:cs="Times New Roman"/>
                <w:color w:val="auto"/>
                <w:sz w:val="21"/>
                <w:szCs w:val="21"/>
                <w:highlight w:val="none"/>
                <w:lang w:val="en-US" w:eastAsia="zh-CN"/>
              </w:rPr>
              <w:t>+</w:t>
            </w:r>
            <w:r>
              <w:rPr>
                <w:rFonts w:hint="default" w:ascii="Times New Roman" w:hAnsi="Times New Roman" w:eastAsia="宋体" w:cs="Times New Roman"/>
                <w:i w:val="0"/>
                <w:iCs w:val="0"/>
                <w:color w:val="auto"/>
                <w:kern w:val="0"/>
                <w:sz w:val="21"/>
                <w:szCs w:val="21"/>
                <w:highlight w:val="none"/>
                <w:u w:val="none"/>
                <w:lang w:val="en-US" w:eastAsia="zh-CN"/>
              </w:rPr>
              <w:t>0.00</w:t>
            </w:r>
            <w:r>
              <w:rPr>
                <w:rFonts w:hint="eastAsia" w:cs="Times New Roman"/>
                <w:i w:val="0"/>
                <w:iCs w:val="0"/>
                <w:color w:val="auto"/>
                <w:kern w:val="0"/>
                <w:sz w:val="21"/>
                <w:szCs w:val="21"/>
                <w:highlight w:val="none"/>
                <w:u w:val="none"/>
                <w:lang w:val="en-US" w:eastAsia="zh-CN"/>
              </w:rPr>
              <w:t>096</w:t>
            </w:r>
          </w:p>
        </w:tc>
      </w:tr>
      <w:tr w14:paraId="2187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vMerge w:val="restart"/>
            <w:vAlign w:val="center"/>
          </w:tcPr>
          <w:p w14:paraId="7B7791E0">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废气</w:t>
            </w:r>
          </w:p>
        </w:tc>
        <w:tc>
          <w:tcPr>
            <w:tcW w:w="783" w:type="pct"/>
            <w:vAlign w:val="center"/>
          </w:tcPr>
          <w:p w14:paraId="6BEB18AE">
            <w:pPr>
              <w:widowControl/>
              <w:spacing w:line="240" w:lineRule="auto"/>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废气量（万m</w:t>
            </w:r>
            <w:r>
              <w:rPr>
                <w:rFonts w:hint="default" w:ascii="Times New Roman" w:hAnsi="Times New Roman" w:cs="Times New Roman"/>
                <w:color w:val="auto"/>
                <w:kern w:val="0"/>
                <w:sz w:val="21"/>
                <w:szCs w:val="21"/>
                <w:highlight w:val="none"/>
                <w:vertAlign w:val="superscript"/>
              </w:rPr>
              <w:t>3</w:t>
            </w:r>
            <w:r>
              <w:rPr>
                <w:rFonts w:hint="default" w:ascii="Times New Roman" w:hAnsi="Times New Roman" w:cs="Times New Roman"/>
                <w:color w:val="auto"/>
                <w:kern w:val="0"/>
                <w:sz w:val="21"/>
                <w:szCs w:val="21"/>
                <w:highlight w:val="none"/>
              </w:rPr>
              <w:t>/a）</w:t>
            </w:r>
          </w:p>
        </w:tc>
        <w:tc>
          <w:tcPr>
            <w:tcW w:w="492" w:type="pct"/>
            <w:vAlign w:val="center"/>
          </w:tcPr>
          <w:p w14:paraId="08FB274D">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54" w:type="pct"/>
            <w:vAlign w:val="center"/>
          </w:tcPr>
          <w:p w14:paraId="667AD437">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25" w:type="pct"/>
            <w:vAlign w:val="center"/>
          </w:tcPr>
          <w:p w14:paraId="6E395169">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86" w:type="pct"/>
            <w:vAlign w:val="center"/>
          </w:tcPr>
          <w:p w14:paraId="6E263151">
            <w:pPr>
              <w:pStyle w:val="61"/>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555" w:type="pct"/>
            <w:vAlign w:val="center"/>
          </w:tcPr>
          <w:p w14:paraId="59CA161B">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610" w:type="pct"/>
            <w:vAlign w:val="center"/>
          </w:tcPr>
          <w:p w14:paraId="5B452B04">
            <w:pPr>
              <w:pStyle w:val="61"/>
              <w:spacing w:line="240" w:lineRule="auto"/>
              <w:jc w:val="center"/>
              <w:rPr>
                <w:rFonts w:hint="default" w:ascii="Times New Roman" w:hAnsi="Times New Roman" w:eastAsia="宋体" w:cs="Times New Roman"/>
                <w:color w:val="auto"/>
                <w:position w:val="-10"/>
                <w:sz w:val="21"/>
                <w:szCs w:val="21"/>
                <w:highlight w:val="none"/>
                <w:lang w:val="en-US" w:eastAsia="zh-CN" w:bidi="ar-SA"/>
              </w:rPr>
            </w:pPr>
            <w:r>
              <w:rPr>
                <w:rFonts w:hint="eastAsia" w:cs="Times New Roman"/>
                <w:color w:val="auto"/>
                <w:position w:val="-10"/>
                <w:sz w:val="21"/>
                <w:szCs w:val="21"/>
                <w:highlight w:val="none"/>
                <w:lang w:val="en-US" w:eastAsia="zh-CN" w:bidi="ar-SA"/>
              </w:rPr>
              <w:t>0</w:t>
            </w:r>
          </w:p>
        </w:tc>
        <w:tc>
          <w:tcPr>
            <w:tcW w:w="499" w:type="pct"/>
            <w:vAlign w:val="center"/>
          </w:tcPr>
          <w:p w14:paraId="732B2720">
            <w:pPr>
              <w:pStyle w:val="61"/>
              <w:spacing w:line="240" w:lineRule="auto"/>
              <w:jc w:val="center"/>
              <w:rPr>
                <w:rFonts w:hint="default" w:ascii="Times New Roman" w:hAnsi="Times New Roman" w:eastAsia="宋体" w:cs="Times New Roman"/>
                <w:color w:val="auto"/>
                <w:position w:val="-10"/>
                <w:sz w:val="21"/>
                <w:szCs w:val="21"/>
                <w:highlight w:val="none"/>
                <w:lang w:val="en-US" w:eastAsia="zh-CN" w:bidi="ar-SA"/>
              </w:rPr>
            </w:pPr>
            <w:r>
              <w:rPr>
                <w:rFonts w:hint="eastAsia" w:cs="Times New Roman"/>
                <w:color w:val="auto"/>
                <w:position w:val="-10"/>
                <w:sz w:val="21"/>
                <w:szCs w:val="21"/>
                <w:highlight w:val="none"/>
                <w:lang w:val="en-US" w:eastAsia="zh-CN" w:bidi="ar-SA"/>
              </w:rPr>
              <w:t>0</w:t>
            </w:r>
          </w:p>
        </w:tc>
      </w:tr>
      <w:tr w14:paraId="1439D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vMerge w:val="continue"/>
            <w:vAlign w:val="center"/>
          </w:tcPr>
          <w:p w14:paraId="56D504EB">
            <w:pPr>
              <w:spacing w:line="240" w:lineRule="auto"/>
              <w:jc w:val="center"/>
              <w:rPr>
                <w:rFonts w:hint="default" w:ascii="Times New Roman" w:hAnsi="Times New Roman" w:cs="Times New Roman"/>
                <w:color w:val="auto"/>
                <w:sz w:val="21"/>
                <w:szCs w:val="21"/>
                <w:highlight w:val="none"/>
              </w:rPr>
            </w:pPr>
          </w:p>
        </w:tc>
        <w:tc>
          <w:tcPr>
            <w:tcW w:w="783" w:type="pct"/>
            <w:vAlign w:val="center"/>
          </w:tcPr>
          <w:p w14:paraId="20A91CFA">
            <w:pPr>
              <w:widowControl/>
              <w:spacing w:line="240" w:lineRule="auto"/>
              <w:jc w:val="center"/>
              <w:textAlignment w:val="center"/>
              <w:rPr>
                <w:rFonts w:hint="default" w:ascii="Times New Roman" w:hAnsi="Times New Roman" w:cs="Times New Roman"/>
                <w:color w:val="FF0000"/>
                <w:sz w:val="21"/>
                <w:szCs w:val="21"/>
                <w:highlight w:val="none"/>
              </w:rPr>
            </w:pPr>
            <w:r>
              <w:rPr>
                <w:rFonts w:hint="default" w:ascii="Times New Roman" w:hAnsi="Times New Roman" w:cs="Times New Roman"/>
                <w:color w:val="auto"/>
                <w:kern w:val="0"/>
                <w:sz w:val="21"/>
                <w:szCs w:val="21"/>
                <w:highlight w:val="none"/>
                <w:lang w:eastAsia="zh-CN"/>
              </w:rPr>
              <w:t>颗粒物</w:t>
            </w:r>
          </w:p>
        </w:tc>
        <w:tc>
          <w:tcPr>
            <w:tcW w:w="492" w:type="pct"/>
            <w:vAlign w:val="center"/>
          </w:tcPr>
          <w:p w14:paraId="50F7C3B0">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54" w:type="pct"/>
            <w:vAlign w:val="center"/>
          </w:tcPr>
          <w:p w14:paraId="7D1E98E7">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25" w:type="pct"/>
            <w:vAlign w:val="center"/>
          </w:tcPr>
          <w:p w14:paraId="24147D71">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86" w:type="pct"/>
            <w:vAlign w:val="center"/>
          </w:tcPr>
          <w:p w14:paraId="1EBE0C91">
            <w:pPr>
              <w:pStyle w:val="61"/>
              <w:spacing w:line="240" w:lineRule="auto"/>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2.58</w:t>
            </w:r>
          </w:p>
        </w:tc>
        <w:tc>
          <w:tcPr>
            <w:tcW w:w="555" w:type="pct"/>
            <w:vAlign w:val="center"/>
          </w:tcPr>
          <w:p w14:paraId="0B00EE47">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w:t>
            </w:r>
          </w:p>
        </w:tc>
        <w:tc>
          <w:tcPr>
            <w:tcW w:w="610" w:type="pct"/>
            <w:vAlign w:val="center"/>
          </w:tcPr>
          <w:p w14:paraId="13F8C9EE">
            <w:pPr>
              <w:pStyle w:val="61"/>
              <w:spacing w:line="240" w:lineRule="auto"/>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2.58</w:t>
            </w:r>
          </w:p>
        </w:tc>
        <w:tc>
          <w:tcPr>
            <w:tcW w:w="499" w:type="pct"/>
            <w:vAlign w:val="center"/>
          </w:tcPr>
          <w:p w14:paraId="77DC2523">
            <w:pPr>
              <w:pStyle w:val="61"/>
              <w:spacing w:line="240" w:lineRule="auto"/>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+2.58</w:t>
            </w:r>
          </w:p>
        </w:tc>
      </w:tr>
      <w:tr w14:paraId="0A775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vMerge w:val="restart"/>
            <w:vAlign w:val="center"/>
          </w:tcPr>
          <w:p w14:paraId="23F1EFC9">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一般工业固体废物（t/a）</w:t>
            </w:r>
          </w:p>
        </w:tc>
        <w:tc>
          <w:tcPr>
            <w:tcW w:w="783" w:type="pct"/>
            <w:vAlign w:val="center"/>
          </w:tcPr>
          <w:p w14:paraId="6F6AD4E0">
            <w:pPr>
              <w:keepNext w:val="0"/>
              <w:keepLines w:val="0"/>
              <w:pageBreakBefore w:val="0"/>
              <w:widowControl w:val="0"/>
              <w:kinsoku/>
              <w:wordWrap w:val="0"/>
              <w:overflowPunct/>
              <w:topLinePunct w:val="0"/>
              <w:autoSpaceDE w:val="0"/>
              <w:autoSpaceDN w:val="0"/>
              <w:bidi w:val="0"/>
              <w:adjustRightInd/>
              <w:snapToGrid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position w:val="-10"/>
                <w:sz w:val="21"/>
                <w:szCs w:val="21"/>
                <w:highlight w:val="none"/>
                <w:lang w:val="en-US" w:eastAsia="zh-CN" w:bidi="ar-SA"/>
              </w:rPr>
              <w:t>生活垃圾</w:t>
            </w:r>
          </w:p>
        </w:tc>
        <w:tc>
          <w:tcPr>
            <w:tcW w:w="492" w:type="pct"/>
            <w:vAlign w:val="center"/>
          </w:tcPr>
          <w:p w14:paraId="65BE18D8">
            <w:pPr>
              <w:pStyle w:val="61"/>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w:t>
            </w:r>
          </w:p>
        </w:tc>
        <w:tc>
          <w:tcPr>
            <w:tcW w:w="554" w:type="pct"/>
            <w:vAlign w:val="center"/>
          </w:tcPr>
          <w:p w14:paraId="40C43C5C">
            <w:pPr>
              <w:pStyle w:val="61"/>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w:t>
            </w:r>
          </w:p>
        </w:tc>
        <w:tc>
          <w:tcPr>
            <w:tcW w:w="525" w:type="pct"/>
            <w:vAlign w:val="center"/>
          </w:tcPr>
          <w:p w14:paraId="47B9567A">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0</w:t>
            </w:r>
          </w:p>
        </w:tc>
        <w:tc>
          <w:tcPr>
            <w:tcW w:w="586" w:type="pct"/>
            <w:vAlign w:val="center"/>
          </w:tcPr>
          <w:p w14:paraId="706E6FA8">
            <w:pPr>
              <w:pStyle w:val="61"/>
              <w:snapToGrid w:val="0"/>
              <w:spacing w:line="240" w:lineRule="auto"/>
              <w:jc w:val="center"/>
              <w:rPr>
                <w:rFonts w:hint="default" w:ascii="Times New Roman" w:hAnsi="Times New Roman"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0.26</w:t>
            </w:r>
          </w:p>
        </w:tc>
        <w:tc>
          <w:tcPr>
            <w:tcW w:w="555" w:type="pct"/>
            <w:vAlign w:val="center"/>
          </w:tcPr>
          <w:p w14:paraId="5EA78EED">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w:t>
            </w:r>
          </w:p>
        </w:tc>
        <w:tc>
          <w:tcPr>
            <w:tcW w:w="610" w:type="pct"/>
            <w:shd w:val="clear" w:color="auto" w:fill="auto"/>
            <w:vAlign w:val="center"/>
          </w:tcPr>
          <w:p w14:paraId="218F4544">
            <w:pPr>
              <w:pStyle w:val="61"/>
              <w:snapToGrid w:val="0"/>
              <w:spacing w:line="240" w:lineRule="auto"/>
              <w:jc w:val="center"/>
              <w:rPr>
                <w:rFonts w:hint="default" w:ascii="Times New Roman" w:hAnsi="Times New Roman" w:eastAsia="宋体" w:cs="Times New Roman"/>
                <w:color w:val="auto"/>
                <w:kern w:val="2"/>
                <w:position w:val="-10"/>
                <w:sz w:val="21"/>
                <w:szCs w:val="21"/>
                <w:highlight w:val="none"/>
                <w:lang w:val="en-US" w:eastAsia="zh-CN" w:bidi="ar-SA"/>
              </w:rPr>
            </w:pPr>
            <w:r>
              <w:rPr>
                <w:rFonts w:hint="eastAsia" w:cs="Times New Roman"/>
                <w:color w:val="auto"/>
                <w:kern w:val="2"/>
                <w:sz w:val="21"/>
                <w:szCs w:val="21"/>
                <w:highlight w:val="none"/>
                <w:lang w:val="en-US" w:eastAsia="zh-CN"/>
              </w:rPr>
              <w:t>0.26</w:t>
            </w:r>
          </w:p>
        </w:tc>
        <w:tc>
          <w:tcPr>
            <w:tcW w:w="499" w:type="pct"/>
            <w:shd w:val="clear" w:color="auto" w:fill="auto"/>
            <w:vAlign w:val="center"/>
          </w:tcPr>
          <w:p w14:paraId="76086964">
            <w:pPr>
              <w:pStyle w:val="61"/>
              <w:snapToGrid w:val="0"/>
              <w:spacing w:line="240" w:lineRule="auto"/>
              <w:jc w:val="center"/>
              <w:rPr>
                <w:rFonts w:hint="default" w:ascii="Times New Roman" w:hAnsi="Times New Roman" w:eastAsia="宋体" w:cs="Times New Roman"/>
                <w:color w:val="auto"/>
                <w:kern w:val="2"/>
                <w:position w:val="-10"/>
                <w:sz w:val="21"/>
                <w:szCs w:val="21"/>
                <w:highlight w:val="none"/>
                <w:lang w:val="en-US" w:eastAsia="zh-CN" w:bidi="ar-SA"/>
              </w:rPr>
            </w:pPr>
            <w:r>
              <w:rPr>
                <w:rFonts w:hint="eastAsia" w:cs="Times New Roman"/>
                <w:color w:val="auto"/>
                <w:kern w:val="2"/>
                <w:sz w:val="21"/>
                <w:szCs w:val="21"/>
                <w:highlight w:val="none"/>
                <w:lang w:val="en-US" w:eastAsia="zh-CN"/>
              </w:rPr>
              <w:t>+0.26</w:t>
            </w:r>
          </w:p>
        </w:tc>
      </w:tr>
      <w:tr w14:paraId="59B9B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vMerge w:val="continue"/>
            <w:vAlign w:val="center"/>
          </w:tcPr>
          <w:p w14:paraId="5C4B0487">
            <w:pPr>
              <w:spacing w:line="240" w:lineRule="auto"/>
              <w:jc w:val="center"/>
              <w:rPr>
                <w:rFonts w:hint="default" w:ascii="Times New Roman" w:hAnsi="Times New Roman" w:cs="Times New Roman"/>
                <w:color w:val="auto"/>
                <w:sz w:val="21"/>
                <w:szCs w:val="21"/>
                <w:highlight w:val="none"/>
              </w:rPr>
            </w:pPr>
          </w:p>
        </w:tc>
        <w:tc>
          <w:tcPr>
            <w:tcW w:w="783" w:type="pct"/>
            <w:vAlign w:val="center"/>
          </w:tcPr>
          <w:p w14:paraId="23BAFAB9">
            <w:pPr>
              <w:keepNext w:val="0"/>
              <w:keepLines w:val="0"/>
              <w:pageBreakBefore w:val="0"/>
              <w:widowControl w:val="0"/>
              <w:tabs>
                <w:tab w:val="left" w:pos="527"/>
                <w:tab w:val="center" w:pos="1053"/>
              </w:tabs>
              <w:kinsoku/>
              <w:wordWrap w:val="0"/>
              <w:overflowPunct/>
              <w:topLinePunct w:val="0"/>
              <w:autoSpaceDE w:val="0"/>
              <w:autoSpaceDN w:val="0"/>
              <w:bidi w:val="0"/>
              <w:adjustRightInd/>
              <w:snapToGrid w:val="0"/>
              <w:spacing w:line="240" w:lineRule="auto"/>
              <w:jc w:val="center"/>
              <w:textAlignment w:val="center"/>
              <w:rPr>
                <w:rFonts w:hint="default" w:ascii="Times New Roman" w:hAnsi="Times New Roman" w:cs="Times New Roman"/>
                <w:color w:val="auto"/>
                <w:kern w:val="2"/>
                <w:position w:val="0"/>
                <w:sz w:val="21"/>
                <w:szCs w:val="21"/>
                <w:highlight w:val="none"/>
                <w:lang w:val="en-US" w:eastAsia="zh-CN" w:bidi="ar-SA"/>
              </w:rPr>
            </w:pPr>
            <w:r>
              <w:rPr>
                <w:rFonts w:hint="default" w:ascii="Times New Roman" w:hAnsi="Times New Roman" w:cs="Times New Roman"/>
                <w:color w:val="auto"/>
                <w:kern w:val="2"/>
                <w:position w:val="0"/>
                <w:sz w:val="21"/>
                <w:szCs w:val="21"/>
                <w:highlight w:val="none"/>
                <w:lang w:val="en-US" w:eastAsia="zh-CN" w:bidi="ar-SA"/>
              </w:rPr>
              <w:t>不可回收利用固废</w:t>
            </w:r>
          </w:p>
        </w:tc>
        <w:tc>
          <w:tcPr>
            <w:tcW w:w="492" w:type="pct"/>
            <w:vAlign w:val="center"/>
          </w:tcPr>
          <w:p w14:paraId="0436E067">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54" w:type="pct"/>
            <w:vAlign w:val="center"/>
          </w:tcPr>
          <w:p w14:paraId="7D932197">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25" w:type="pct"/>
            <w:vAlign w:val="center"/>
          </w:tcPr>
          <w:p w14:paraId="60CBB7B9">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86" w:type="pct"/>
            <w:vAlign w:val="center"/>
          </w:tcPr>
          <w:p w14:paraId="5D41E31E">
            <w:pPr>
              <w:pStyle w:val="61"/>
              <w:spacing w:line="240" w:lineRule="auto"/>
              <w:jc w:val="center"/>
              <w:rPr>
                <w:rFonts w:hint="default" w:eastAsia="宋体"/>
                <w:color w:val="auto"/>
                <w:highlight w:val="none"/>
                <w:lang w:val="en-US" w:eastAsia="zh-CN"/>
              </w:rPr>
            </w:pPr>
            <w:r>
              <w:rPr>
                <w:rFonts w:hint="eastAsia"/>
                <w:color w:val="auto"/>
                <w:highlight w:val="none"/>
                <w:lang w:val="en-US" w:eastAsia="zh-CN"/>
              </w:rPr>
              <w:t>3310</w:t>
            </w:r>
          </w:p>
        </w:tc>
        <w:tc>
          <w:tcPr>
            <w:tcW w:w="555" w:type="pct"/>
            <w:vAlign w:val="center"/>
          </w:tcPr>
          <w:p w14:paraId="2A28530F">
            <w:pPr>
              <w:pStyle w:val="61"/>
              <w:spacing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rPr>
              <w:t>0</w:t>
            </w:r>
          </w:p>
        </w:tc>
        <w:tc>
          <w:tcPr>
            <w:tcW w:w="610" w:type="pct"/>
            <w:shd w:val="clear" w:color="auto" w:fill="auto"/>
            <w:vAlign w:val="center"/>
          </w:tcPr>
          <w:p w14:paraId="319C3CB1">
            <w:pPr>
              <w:pStyle w:val="61"/>
              <w:spacing w:line="240" w:lineRule="auto"/>
              <w:jc w:val="center"/>
              <w:rPr>
                <w:rFonts w:hint="default" w:cs="Times New Roman"/>
                <w:color w:val="auto"/>
                <w:kern w:val="2"/>
                <w:sz w:val="21"/>
                <w:szCs w:val="21"/>
                <w:highlight w:val="none"/>
                <w:lang w:val="en-US" w:eastAsia="zh-CN"/>
              </w:rPr>
            </w:pPr>
            <w:r>
              <w:rPr>
                <w:rFonts w:hint="eastAsia"/>
                <w:color w:val="auto"/>
                <w:highlight w:val="none"/>
                <w:lang w:val="en-US" w:eastAsia="zh-CN"/>
              </w:rPr>
              <w:t>3310</w:t>
            </w:r>
          </w:p>
        </w:tc>
        <w:tc>
          <w:tcPr>
            <w:tcW w:w="499" w:type="pct"/>
            <w:shd w:val="clear" w:color="auto" w:fill="auto"/>
            <w:vAlign w:val="center"/>
          </w:tcPr>
          <w:p w14:paraId="6BC83278">
            <w:pPr>
              <w:pStyle w:val="61"/>
              <w:spacing w:line="240" w:lineRule="auto"/>
              <w:jc w:val="center"/>
              <w:rPr>
                <w:rFonts w:hint="default" w:ascii="Times New Roman" w:hAnsi="Times New Roman" w:cs="Times New Roman"/>
                <w:color w:val="auto"/>
                <w:kern w:val="2"/>
                <w:sz w:val="21"/>
                <w:szCs w:val="21"/>
                <w:highlight w:val="none"/>
                <w:lang w:val="en-US" w:eastAsia="zh-CN"/>
              </w:rPr>
            </w:pPr>
            <w:r>
              <w:rPr>
                <w:rFonts w:hint="eastAsia"/>
                <w:color w:val="auto"/>
                <w:highlight w:val="none"/>
                <w:lang w:val="en-US" w:eastAsia="zh-CN"/>
              </w:rPr>
              <w:t>+3310</w:t>
            </w:r>
          </w:p>
        </w:tc>
      </w:tr>
      <w:tr w14:paraId="4B8F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vMerge w:val="restart"/>
            <w:vAlign w:val="center"/>
          </w:tcPr>
          <w:p w14:paraId="43F8A4CC">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危险废物（t/a）</w:t>
            </w:r>
          </w:p>
        </w:tc>
        <w:tc>
          <w:tcPr>
            <w:tcW w:w="783" w:type="pct"/>
            <w:vAlign w:val="center"/>
          </w:tcPr>
          <w:p w14:paraId="58012E40">
            <w:pPr>
              <w:keepNext w:val="0"/>
              <w:keepLines w:val="0"/>
              <w:pageBreakBefore w:val="0"/>
              <w:widowControl w:val="0"/>
              <w:kinsoku/>
              <w:wordWrap w:val="0"/>
              <w:overflowPunct/>
              <w:topLinePunct w:val="0"/>
              <w:autoSpaceDE w:val="0"/>
              <w:autoSpaceDN w:val="0"/>
              <w:bidi w:val="0"/>
              <w:adjustRightInd/>
              <w:snapToGrid w:val="0"/>
              <w:spacing w:line="240" w:lineRule="auto"/>
              <w:jc w:val="center"/>
              <w:textAlignment w:val="center"/>
              <w:rPr>
                <w:rFonts w:hint="default" w:ascii="Times New Roman" w:hAnsi="Times New Roman" w:cs="Times New Roman"/>
                <w:color w:val="auto"/>
                <w:kern w:val="2"/>
                <w:position w:val="0"/>
                <w:sz w:val="21"/>
                <w:szCs w:val="21"/>
                <w:highlight w:val="none"/>
                <w:lang w:val="en-US" w:eastAsia="zh-CN" w:bidi="ar-SA"/>
              </w:rPr>
            </w:pPr>
            <w:r>
              <w:rPr>
                <w:rFonts w:hint="default" w:ascii="Times New Roman" w:hAnsi="Times New Roman" w:cs="Times New Roman"/>
                <w:color w:val="auto"/>
                <w:kern w:val="2"/>
                <w:position w:val="0"/>
                <w:sz w:val="21"/>
                <w:szCs w:val="21"/>
                <w:highlight w:val="none"/>
                <w:lang w:val="en-US" w:eastAsia="zh-CN" w:bidi="ar-SA"/>
              </w:rPr>
              <w:t>废</w:t>
            </w:r>
            <w:r>
              <w:rPr>
                <w:rFonts w:hint="eastAsia" w:cs="Times New Roman"/>
                <w:color w:val="auto"/>
                <w:kern w:val="2"/>
                <w:position w:val="0"/>
                <w:sz w:val="21"/>
                <w:szCs w:val="21"/>
                <w:highlight w:val="none"/>
                <w:lang w:val="en-US" w:eastAsia="zh-CN" w:bidi="ar-SA"/>
              </w:rPr>
              <w:t>矿物油</w:t>
            </w:r>
            <w:r>
              <w:rPr>
                <w:rFonts w:hint="default" w:ascii="Times New Roman" w:hAnsi="Times New Roman" w:cs="Times New Roman"/>
                <w:color w:val="auto"/>
                <w:kern w:val="2"/>
                <w:position w:val="0"/>
                <w:sz w:val="21"/>
                <w:szCs w:val="21"/>
                <w:highlight w:val="none"/>
                <w:lang w:val="en-US" w:eastAsia="zh-CN" w:bidi="ar-SA"/>
              </w:rPr>
              <w:t>及</w:t>
            </w:r>
            <w:r>
              <w:rPr>
                <w:rFonts w:hint="eastAsia" w:cs="Times New Roman"/>
                <w:color w:val="auto"/>
                <w:kern w:val="2"/>
                <w:position w:val="0"/>
                <w:sz w:val="21"/>
                <w:szCs w:val="21"/>
                <w:highlight w:val="none"/>
                <w:lang w:val="en-US" w:eastAsia="zh-CN" w:bidi="ar-SA"/>
              </w:rPr>
              <w:t>油桶</w:t>
            </w:r>
          </w:p>
        </w:tc>
        <w:tc>
          <w:tcPr>
            <w:tcW w:w="492" w:type="pct"/>
            <w:vAlign w:val="center"/>
          </w:tcPr>
          <w:p w14:paraId="4B4CA4D7">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54" w:type="pct"/>
            <w:vAlign w:val="center"/>
          </w:tcPr>
          <w:p w14:paraId="5D3E93BB">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25" w:type="pct"/>
            <w:vAlign w:val="center"/>
          </w:tcPr>
          <w:p w14:paraId="720992A8">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86" w:type="pct"/>
            <w:shd w:val="clear" w:color="auto" w:fill="auto"/>
            <w:vAlign w:val="center"/>
          </w:tcPr>
          <w:p w14:paraId="0E56A68E">
            <w:pPr>
              <w:keepNext w:val="0"/>
              <w:keepLines w:val="0"/>
              <w:pageBreakBefore w:val="0"/>
              <w:widowControl w:val="0"/>
              <w:kinsoku/>
              <w:wordWrap w:val="0"/>
              <w:overflowPunct/>
              <w:topLinePunct w:val="0"/>
              <w:autoSpaceDE w:val="0"/>
              <w:autoSpaceDN w:val="0"/>
              <w:bidi w:val="0"/>
              <w:adjustRightInd/>
              <w:snapToGrid w:val="0"/>
              <w:spacing w:line="240" w:lineRule="auto"/>
              <w:jc w:val="center"/>
              <w:textAlignment w:val="center"/>
              <w:rPr>
                <w:rFonts w:hint="default" w:ascii="Times New Roman" w:hAnsi="Times New Roman" w:eastAsia="宋体" w:cs="Times New Roman"/>
                <w:color w:val="000000"/>
                <w:kern w:val="2"/>
                <w:position w:val="0"/>
                <w:sz w:val="21"/>
                <w:szCs w:val="21"/>
                <w:highlight w:val="none"/>
                <w:lang w:val="en-US" w:eastAsia="zh-CN" w:bidi="ar-SA"/>
              </w:rPr>
            </w:pPr>
            <w:r>
              <w:rPr>
                <w:rFonts w:hint="eastAsia" w:cs="Times New Roman"/>
                <w:color w:val="000000"/>
                <w:kern w:val="2"/>
                <w:position w:val="0"/>
                <w:sz w:val="21"/>
                <w:szCs w:val="21"/>
                <w:highlight w:val="none"/>
                <w:lang w:val="en-US" w:eastAsia="zh-CN" w:bidi="ar-SA"/>
              </w:rPr>
              <w:t>0.157</w:t>
            </w:r>
          </w:p>
        </w:tc>
        <w:tc>
          <w:tcPr>
            <w:tcW w:w="555" w:type="pct"/>
            <w:vAlign w:val="center"/>
          </w:tcPr>
          <w:p w14:paraId="39ED69B1">
            <w:pPr>
              <w:spacing w:line="240" w:lineRule="auto"/>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lang w:val="en-US" w:eastAsia="zh-CN"/>
              </w:rPr>
              <w:t>0</w:t>
            </w:r>
          </w:p>
        </w:tc>
        <w:tc>
          <w:tcPr>
            <w:tcW w:w="610" w:type="pct"/>
            <w:shd w:val="clear" w:color="auto" w:fill="auto"/>
            <w:vAlign w:val="center"/>
          </w:tcPr>
          <w:p w14:paraId="6323AECA">
            <w:pPr>
              <w:keepNext w:val="0"/>
              <w:keepLines w:val="0"/>
              <w:pageBreakBefore w:val="0"/>
              <w:widowControl w:val="0"/>
              <w:kinsoku/>
              <w:wordWrap w:val="0"/>
              <w:overflowPunct/>
              <w:topLinePunct w:val="0"/>
              <w:autoSpaceDE w:val="0"/>
              <w:autoSpaceDN w:val="0"/>
              <w:bidi w:val="0"/>
              <w:adjustRightInd/>
              <w:snapToGrid w:val="0"/>
              <w:spacing w:line="240" w:lineRule="auto"/>
              <w:jc w:val="center"/>
              <w:textAlignment w:val="center"/>
              <w:rPr>
                <w:rFonts w:hint="default" w:ascii="Times New Roman" w:hAnsi="Times New Roman" w:eastAsia="宋体" w:cs="Times New Roman"/>
                <w:color w:val="000000"/>
                <w:spacing w:val="-2"/>
                <w:kern w:val="2"/>
                <w:position w:val="-10"/>
                <w:sz w:val="21"/>
                <w:szCs w:val="21"/>
                <w:highlight w:val="none"/>
                <w:lang w:val="en-US" w:eastAsia="zh-CN" w:bidi="ar-SA"/>
              </w:rPr>
            </w:pPr>
            <w:r>
              <w:rPr>
                <w:rFonts w:hint="eastAsia" w:cs="Times New Roman"/>
                <w:color w:val="000000"/>
                <w:kern w:val="2"/>
                <w:position w:val="0"/>
                <w:sz w:val="21"/>
                <w:szCs w:val="21"/>
                <w:highlight w:val="none"/>
                <w:lang w:val="en-US" w:eastAsia="zh-CN" w:bidi="ar-SA"/>
              </w:rPr>
              <w:t>0.157</w:t>
            </w:r>
          </w:p>
        </w:tc>
        <w:tc>
          <w:tcPr>
            <w:tcW w:w="499" w:type="pct"/>
            <w:shd w:val="clear" w:color="auto" w:fill="auto"/>
            <w:vAlign w:val="center"/>
          </w:tcPr>
          <w:p w14:paraId="796B7FAB">
            <w:pPr>
              <w:keepNext w:val="0"/>
              <w:keepLines w:val="0"/>
              <w:pageBreakBefore w:val="0"/>
              <w:widowControl w:val="0"/>
              <w:kinsoku/>
              <w:wordWrap w:val="0"/>
              <w:overflowPunct/>
              <w:topLinePunct w:val="0"/>
              <w:autoSpaceDE w:val="0"/>
              <w:autoSpaceDN w:val="0"/>
              <w:bidi w:val="0"/>
              <w:adjustRightInd/>
              <w:snapToGrid w:val="0"/>
              <w:spacing w:line="240" w:lineRule="auto"/>
              <w:jc w:val="center"/>
              <w:textAlignment w:val="center"/>
              <w:rPr>
                <w:rFonts w:hint="default" w:ascii="Times New Roman" w:hAnsi="Times New Roman" w:eastAsia="宋体" w:cs="Times New Roman"/>
                <w:color w:val="000000"/>
                <w:spacing w:val="-2"/>
                <w:kern w:val="2"/>
                <w:position w:val="-10"/>
                <w:sz w:val="21"/>
                <w:szCs w:val="21"/>
                <w:highlight w:val="none"/>
                <w:lang w:val="en-US" w:eastAsia="zh-CN" w:bidi="ar-SA"/>
              </w:rPr>
            </w:pPr>
            <w:r>
              <w:rPr>
                <w:rFonts w:hint="eastAsia" w:cs="Times New Roman"/>
                <w:color w:val="000000"/>
                <w:kern w:val="2"/>
                <w:position w:val="0"/>
                <w:sz w:val="21"/>
                <w:szCs w:val="21"/>
                <w:highlight w:val="none"/>
                <w:lang w:val="en-US" w:eastAsia="zh-CN" w:bidi="ar-SA"/>
              </w:rPr>
              <w:t>+0.157</w:t>
            </w:r>
          </w:p>
        </w:tc>
      </w:tr>
      <w:tr w14:paraId="59ACD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vMerge w:val="continue"/>
            <w:vAlign w:val="center"/>
          </w:tcPr>
          <w:p w14:paraId="2121C12A">
            <w:pPr>
              <w:spacing w:line="240" w:lineRule="auto"/>
              <w:jc w:val="center"/>
              <w:rPr>
                <w:rFonts w:hint="default" w:ascii="Times New Roman" w:hAnsi="Times New Roman" w:cs="Times New Roman"/>
                <w:color w:val="auto"/>
                <w:sz w:val="21"/>
                <w:szCs w:val="21"/>
                <w:highlight w:val="none"/>
              </w:rPr>
            </w:pPr>
          </w:p>
        </w:tc>
        <w:tc>
          <w:tcPr>
            <w:tcW w:w="783" w:type="pct"/>
            <w:vAlign w:val="center"/>
          </w:tcPr>
          <w:p w14:paraId="27747F79">
            <w:pPr>
              <w:keepNext w:val="0"/>
              <w:keepLines w:val="0"/>
              <w:pageBreakBefore w:val="0"/>
              <w:widowControl w:val="0"/>
              <w:kinsoku/>
              <w:wordWrap w:val="0"/>
              <w:overflowPunct/>
              <w:topLinePunct w:val="0"/>
              <w:autoSpaceDE w:val="0"/>
              <w:autoSpaceDN w:val="0"/>
              <w:bidi w:val="0"/>
              <w:adjustRightInd/>
              <w:snapToGrid w:val="0"/>
              <w:spacing w:line="240" w:lineRule="auto"/>
              <w:jc w:val="center"/>
              <w:textAlignment w:val="center"/>
              <w:rPr>
                <w:rFonts w:hint="default" w:ascii="Times New Roman" w:hAnsi="Times New Roman" w:eastAsia="宋体" w:cs="Times New Roman"/>
                <w:color w:val="auto"/>
                <w:kern w:val="2"/>
                <w:position w:val="0"/>
                <w:sz w:val="21"/>
                <w:szCs w:val="21"/>
                <w:highlight w:val="none"/>
                <w:lang w:val="en-US" w:eastAsia="zh-CN" w:bidi="ar-SA"/>
              </w:rPr>
            </w:pPr>
            <w:r>
              <w:rPr>
                <w:rFonts w:hint="default" w:ascii="Times New Roman" w:hAnsi="Times New Roman" w:eastAsia="宋体" w:cs="Times New Roman"/>
                <w:color w:val="auto"/>
                <w:kern w:val="2"/>
                <w:position w:val="0"/>
                <w:sz w:val="21"/>
                <w:szCs w:val="21"/>
                <w:highlight w:val="none"/>
                <w:lang w:val="en-US" w:eastAsia="zh-CN" w:bidi="ar-SA"/>
              </w:rPr>
              <w:t>废含油抹布及手套</w:t>
            </w:r>
          </w:p>
        </w:tc>
        <w:tc>
          <w:tcPr>
            <w:tcW w:w="492" w:type="pct"/>
            <w:vAlign w:val="center"/>
          </w:tcPr>
          <w:p w14:paraId="219ED64B">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54" w:type="pct"/>
            <w:vAlign w:val="center"/>
          </w:tcPr>
          <w:p w14:paraId="150314BE">
            <w:pPr>
              <w:pStyle w:val="61"/>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25" w:type="pct"/>
            <w:vAlign w:val="center"/>
          </w:tcPr>
          <w:p w14:paraId="2189B4DE">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586" w:type="pct"/>
            <w:shd w:val="clear" w:color="auto" w:fill="auto"/>
            <w:vAlign w:val="center"/>
          </w:tcPr>
          <w:p w14:paraId="2D25AABA">
            <w:pPr>
              <w:keepNext w:val="0"/>
              <w:keepLines w:val="0"/>
              <w:pageBreakBefore w:val="0"/>
              <w:widowControl w:val="0"/>
              <w:kinsoku/>
              <w:wordWrap w:val="0"/>
              <w:overflowPunct/>
              <w:topLinePunct w:val="0"/>
              <w:autoSpaceDE w:val="0"/>
              <w:autoSpaceDN w:val="0"/>
              <w:bidi w:val="0"/>
              <w:adjustRightInd/>
              <w:snapToGrid w:val="0"/>
              <w:spacing w:line="240" w:lineRule="auto"/>
              <w:jc w:val="center"/>
              <w:textAlignment w:val="center"/>
              <w:rPr>
                <w:rFonts w:hint="default" w:ascii="Times New Roman" w:hAnsi="Times New Roman" w:eastAsia="宋体" w:cs="Times New Roman"/>
                <w:color w:val="auto"/>
                <w:kern w:val="2"/>
                <w:position w:val="-10"/>
                <w:sz w:val="21"/>
                <w:szCs w:val="21"/>
                <w:highlight w:val="none"/>
                <w:lang w:val="en-US" w:eastAsia="zh-CN" w:bidi="ar-SA"/>
              </w:rPr>
            </w:pPr>
            <w:r>
              <w:rPr>
                <w:rFonts w:hint="eastAsia" w:cs="Times New Roman"/>
                <w:color w:val="auto"/>
                <w:kern w:val="2"/>
                <w:position w:val="-10"/>
                <w:sz w:val="21"/>
                <w:szCs w:val="21"/>
                <w:highlight w:val="none"/>
                <w:lang w:val="en-US" w:eastAsia="zh-CN" w:bidi="ar-SA"/>
              </w:rPr>
              <w:t>0.01</w:t>
            </w:r>
          </w:p>
        </w:tc>
        <w:tc>
          <w:tcPr>
            <w:tcW w:w="555" w:type="pct"/>
            <w:vAlign w:val="center"/>
          </w:tcPr>
          <w:p w14:paraId="6138C70D">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0</w:t>
            </w:r>
          </w:p>
        </w:tc>
        <w:tc>
          <w:tcPr>
            <w:tcW w:w="610" w:type="pct"/>
            <w:shd w:val="clear" w:color="auto" w:fill="auto"/>
            <w:vAlign w:val="center"/>
          </w:tcPr>
          <w:p w14:paraId="73748795">
            <w:pPr>
              <w:keepNext w:val="0"/>
              <w:keepLines w:val="0"/>
              <w:pageBreakBefore w:val="0"/>
              <w:widowControl w:val="0"/>
              <w:kinsoku/>
              <w:wordWrap w:val="0"/>
              <w:overflowPunct/>
              <w:topLinePunct w:val="0"/>
              <w:autoSpaceDE w:val="0"/>
              <w:autoSpaceDN w:val="0"/>
              <w:bidi w:val="0"/>
              <w:adjustRightInd/>
              <w:snapToGrid w:val="0"/>
              <w:spacing w:line="240" w:lineRule="auto"/>
              <w:jc w:val="center"/>
              <w:textAlignment w:val="center"/>
              <w:rPr>
                <w:rFonts w:hint="default" w:ascii="Times New Roman" w:hAnsi="Times New Roman" w:eastAsia="宋体" w:cs="Times New Roman"/>
                <w:color w:val="auto"/>
                <w:kern w:val="2"/>
                <w:position w:val="0"/>
                <w:sz w:val="21"/>
                <w:szCs w:val="21"/>
                <w:highlight w:val="none"/>
                <w:lang w:val="en-US" w:eastAsia="zh-CN" w:bidi="ar-SA"/>
              </w:rPr>
            </w:pPr>
            <w:r>
              <w:rPr>
                <w:rFonts w:hint="eastAsia" w:cs="Times New Roman"/>
                <w:color w:val="auto"/>
                <w:kern w:val="2"/>
                <w:position w:val="-10"/>
                <w:sz w:val="21"/>
                <w:szCs w:val="21"/>
                <w:highlight w:val="none"/>
                <w:lang w:val="en-US" w:eastAsia="zh-CN" w:bidi="ar-SA"/>
              </w:rPr>
              <w:t>0.01</w:t>
            </w:r>
          </w:p>
        </w:tc>
        <w:tc>
          <w:tcPr>
            <w:tcW w:w="499" w:type="pct"/>
            <w:shd w:val="clear" w:color="auto" w:fill="auto"/>
            <w:vAlign w:val="center"/>
          </w:tcPr>
          <w:p w14:paraId="68A7DF3B">
            <w:pPr>
              <w:keepNext w:val="0"/>
              <w:keepLines w:val="0"/>
              <w:pageBreakBefore w:val="0"/>
              <w:widowControl w:val="0"/>
              <w:kinsoku/>
              <w:wordWrap w:val="0"/>
              <w:overflowPunct/>
              <w:topLinePunct w:val="0"/>
              <w:autoSpaceDE w:val="0"/>
              <w:autoSpaceDN w:val="0"/>
              <w:bidi w:val="0"/>
              <w:adjustRightInd/>
              <w:snapToGrid w:val="0"/>
              <w:spacing w:line="240" w:lineRule="auto"/>
              <w:jc w:val="center"/>
              <w:textAlignment w:val="center"/>
              <w:rPr>
                <w:rFonts w:hint="default" w:ascii="Times New Roman" w:hAnsi="Times New Roman" w:eastAsia="宋体" w:cs="Times New Roman"/>
                <w:color w:val="auto"/>
                <w:kern w:val="2"/>
                <w:position w:val="0"/>
                <w:sz w:val="21"/>
                <w:szCs w:val="21"/>
                <w:highlight w:val="none"/>
                <w:lang w:val="en-US" w:eastAsia="zh-CN" w:bidi="ar-SA"/>
              </w:rPr>
            </w:pPr>
            <w:r>
              <w:rPr>
                <w:rFonts w:hint="eastAsia" w:cs="Times New Roman"/>
                <w:color w:val="auto"/>
                <w:kern w:val="2"/>
                <w:position w:val="-10"/>
                <w:sz w:val="21"/>
                <w:szCs w:val="21"/>
                <w:highlight w:val="none"/>
                <w:lang w:val="en-US" w:eastAsia="zh-CN" w:bidi="ar-SA"/>
              </w:rPr>
              <w:t>+0.01</w:t>
            </w:r>
          </w:p>
        </w:tc>
      </w:tr>
    </w:tbl>
    <w:p w14:paraId="19C7C495">
      <w:pPr>
        <w:spacing w:line="240" w:lineRule="auto"/>
        <w:jc w:val="left"/>
        <w:rPr>
          <w:rFonts w:hint="default" w:ascii="Times New Roman" w:hAnsi="Times New Roman" w:cs="Times New Roman"/>
          <w:color w:val="auto"/>
          <w:highlight w:val="none"/>
        </w:rPr>
      </w:pPr>
      <w:r>
        <w:rPr>
          <w:rFonts w:hint="default" w:ascii="Times New Roman" w:hAnsi="Times New Roman" w:eastAsia="黑体" w:cs="Times New Roman"/>
          <w:color w:val="auto"/>
          <w:sz w:val="21"/>
          <w:szCs w:val="21"/>
          <w:highlight w:val="none"/>
        </w:rPr>
        <w:t>注：⑥=①+③+④-⑤；⑦=⑥-①。</w:t>
      </w:r>
    </w:p>
    <w:p w14:paraId="7EBB98E0">
      <w:pPr>
        <w:rPr>
          <w:rFonts w:hint="default" w:ascii="Times New Roman" w:hAnsi="Times New Roman" w:eastAsia="黑体" w:cs="Times New Roman"/>
          <w:snapToGrid w:val="0"/>
          <w:color w:val="auto"/>
          <w:sz w:val="32"/>
          <w:szCs w:val="32"/>
          <w:highlight w:val="none"/>
        </w:rPr>
        <w:sectPr>
          <w:pgSz w:w="16838" w:h="11906" w:orient="landscape"/>
          <w:pgMar w:top="1417" w:right="1440" w:bottom="1417" w:left="1440" w:header="851" w:footer="680" w:gutter="0"/>
          <w:pgBorders>
            <w:top w:val="none" w:sz="0" w:space="0"/>
            <w:left w:val="none" w:sz="0" w:space="0"/>
            <w:bottom w:val="none" w:sz="0" w:space="0"/>
            <w:right w:val="none" w:sz="0" w:space="0"/>
          </w:pgBorders>
          <w:pgNumType w:fmt="decimal"/>
          <w:cols w:space="720" w:num="1"/>
          <w:docGrid w:type="linesAndChars" w:linePitch="312" w:charSpace="0"/>
        </w:sectPr>
      </w:pPr>
    </w:p>
    <w:p w14:paraId="78494034">
      <w:pPr>
        <w:pStyle w:val="43"/>
        <w:numPr>
          <w:ilvl w:val="0"/>
          <w:numId w:val="0"/>
        </w:numPr>
        <w:adjustRightInd/>
        <w:spacing w:line="360" w:lineRule="auto"/>
        <w:ind w:left="0" w:leftChars="0" w:firstLine="397" w:firstLineChars="0"/>
        <w:jc w:val="left"/>
        <w:textAlignment w:val="auto"/>
        <w:outlineLvl w:val="0"/>
        <w:rPr>
          <w:rFonts w:hint="default" w:ascii="Times New Roman" w:hAnsi="Times New Roman" w:eastAsia="宋体" w:cs="Times New Roman"/>
          <w:b/>
          <w:bCs/>
          <w:color w:val="auto"/>
          <w:sz w:val="24"/>
          <w:szCs w:val="24"/>
          <w:highlight w:val="none"/>
        </w:rPr>
      </w:pPr>
      <w:bookmarkStart w:id="122" w:name="_Toc15364"/>
      <w:bookmarkStart w:id="123" w:name="_Toc18774"/>
      <w:bookmarkStart w:id="124" w:name="_Toc27190"/>
      <w:r>
        <w:rPr>
          <w:rFonts w:hint="default" w:ascii="Times New Roman" w:hAnsi="Times New Roman" w:eastAsia="宋体" w:cs="Times New Roman"/>
          <w:b/>
          <w:bCs/>
          <w:color w:val="auto"/>
          <w:kern w:val="0"/>
          <w:sz w:val="24"/>
          <w:szCs w:val="24"/>
          <w:highlight w:val="none"/>
          <w:lang w:val="en-US" w:eastAsia="zh-CN" w:bidi="ar-SA"/>
        </w:rPr>
        <w:t xml:space="preserve">附图1 </w:t>
      </w:r>
      <w:r>
        <w:rPr>
          <w:rFonts w:hint="eastAsia" w:cs="Times New Roman"/>
          <w:b/>
          <w:bCs/>
          <w:color w:val="auto"/>
          <w:kern w:val="0"/>
          <w:sz w:val="24"/>
          <w:szCs w:val="24"/>
          <w:highlight w:val="none"/>
          <w:lang w:val="en-US" w:eastAsia="zh-CN" w:bidi="ar-SA"/>
        </w:rPr>
        <w:t>本</w:t>
      </w:r>
      <w:r>
        <w:rPr>
          <w:rFonts w:hint="default" w:ascii="Times New Roman" w:hAnsi="Times New Roman" w:eastAsia="宋体" w:cs="Times New Roman"/>
          <w:b/>
          <w:bCs/>
          <w:color w:val="auto"/>
          <w:sz w:val="24"/>
          <w:szCs w:val="24"/>
          <w:highlight w:val="none"/>
        </w:rPr>
        <w:t>项目地理位置图</w:t>
      </w:r>
      <w:bookmarkEnd w:id="122"/>
      <w:bookmarkEnd w:id="123"/>
      <w:bookmarkEnd w:id="124"/>
    </w:p>
    <w:p w14:paraId="0C99FB72">
      <w:pPr>
        <w:pStyle w:val="4"/>
        <w:jc w:val="center"/>
        <w:rPr>
          <w:rFonts w:hint="default" w:ascii="Times New Roman" w:hAnsi="Times New Roman" w:cs="Times New Roman"/>
          <w:color w:val="auto"/>
          <w:highlight w:val="none"/>
        </w:rPr>
      </w:pPr>
    </w:p>
    <w:p w14:paraId="4D13DAB7">
      <w:pPr>
        <w:pStyle w:val="4"/>
        <w:jc w:val="center"/>
        <w:rPr>
          <w:rFonts w:hint="eastAsia" w:ascii="Times New Roman" w:hAnsi="Times New Roman" w:eastAsia="宋体" w:cs="Times New Roman"/>
          <w:b w:val="0"/>
          <w:bCs w:val="0"/>
          <w:color w:val="auto"/>
          <w:highlight w:val="none"/>
          <w:lang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3790950</wp:posOffset>
                </wp:positionH>
                <wp:positionV relativeFrom="paragraph">
                  <wp:posOffset>1229360</wp:posOffset>
                </wp:positionV>
                <wp:extent cx="698500" cy="336550"/>
                <wp:effectExtent l="4445" t="4445" r="20955" b="20955"/>
                <wp:wrapNone/>
                <wp:docPr id="32" name="文本框 32"/>
                <wp:cNvGraphicFramePr/>
                <a:graphic xmlns:a="http://schemas.openxmlformats.org/drawingml/2006/main">
                  <a:graphicData uri="http://schemas.microsoft.com/office/word/2010/wordprocessingShape">
                    <wps:wsp>
                      <wps:cNvSpPr txBox="1"/>
                      <wps:spPr>
                        <a:xfrm>
                          <a:off x="4876165" y="2957195"/>
                          <a:ext cx="698500" cy="3365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D4EB3B2">
                            <w:pPr>
                              <w:rPr>
                                <w:rFonts w:hint="eastAsia" w:eastAsia="宋体"/>
                                <w:lang w:val="en-US" w:eastAsia="zh-CN"/>
                              </w:rPr>
                            </w:pPr>
                            <w:r>
                              <w:rPr>
                                <w:rFonts w:hint="eastAsia"/>
                                <w:lang w:val="en-US" w:eastAsia="zh-CN"/>
                              </w:rPr>
                              <w:t>本项目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8.5pt;margin-top:96.8pt;height:26.5pt;width:55pt;z-index:251660288;mso-width-relative:page;mso-height-relative:page;" fillcolor="#FFFFFF [3201]" filled="t" stroked="t" coordsize="21600,21600" o:gfxdata="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N3sOZ/XAAAACwEAAA8AAAAAAAAAAQAgAAAAIgAAAGRycy9kb3ducmV2LnhtbFBLAQIU&#10;ABQAAAAIAIdO4kA51rPYZgIAAMQEAAAOAAAAAAAAAAEAIAAAACYBAABkcnMvZTJvRG9jLnhtbFBL&#10;BQYAAAAABgAGAFkBAAD+BQAAAAA=&#10;">
                <v:fill on="t" focussize="0,0"/>
                <v:stroke weight="0.5pt" color="#000000 [3204]" joinstyle="round"/>
                <v:imagedata o:title=""/>
                <o:lock v:ext="edit" aspectratio="f"/>
                <v:textbox>
                  <w:txbxContent>
                    <w:p w14:paraId="7D4EB3B2">
                      <w:pPr>
                        <w:rPr>
                          <w:rFonts w:hint="eastAsia" w:eastAsia="宋体"/>
                          <w:lang w:val="en-US" w:eastAsia="zh-CN"/>
                        </w:rPr>
                      </w:pPr>
                      <w:r>
                        <w:rPr>
                          <w:rFonts w:hint="eastAsia"/>
                          <w:lang w:val="en-US" w:eastAsia="zh-CN"/>
                        </w:rPr>
                        <w:t>本项目</w:t>
                      </w:r>
                    </w:p>
                  </w:txbxContent>
                </v:textbox>
              </v:shape>
            </w:pict>
          </mc:Fallback>
        </mc:AlternateContent>
      </w:r>
      <w:r>
        <w:rPr>
          <w:rFonts w:hint="eastAsia" w:ascii="Times New Roman" w:hAnsi="Times New Roman" w:eastAsia="宋体" w:cs="Times New Roman"/>
          <w:b w:val="0"/>
          <w:bCs w:val="0"/>
          <w:color w:val="auto"/>
          <w:highlight w:val="none"/>
          <w:lang w:eastAsia="zh-CN"/>
        </w:rPr>
        <w:drawing>
          <wp:anchor distT="0" distB="0" distL="0" distR="0" simplePos="0" relativeHeight="251659264" behindDoc="0" locked="0" layoutInCell="1" allowOverlap="1">
            <wp:simplePos x="0" y="0"/>
            <wp:positionH relativeFrom="column">
              <wp:posOffset>8076565</wp:posOffset>
            </wp:positionH>
            <wp:positionV relativeFrom="paragraph">
              <wp:posOffset>90805</wp:posOffset>
            </wp:positionV>
            <wp:extent cx="383540" cy="403225"/>
            <wp:effectExtent l="0" t="0" r="16510" b="15875"/>
            <wp:wrapNone/>
            <wp:docPr id="1043" name="图片 9" descr="指北针"/>
            <wp:cNvGraphicFramePr/>
            <a:graphic xmlns:a="http://schemas.openxmlformats.org/drawingml/2006/main">
              <a:graphicData uri="http://schemas.openxmlformats.org/drawingml/2006/picture">
                <pic:pic xmlns:pic="http://schemas.openxmlformats.org/drawingml/2006/picture">
                  <pic:nvPicPr>
                    <pic:cNvPr id="1043" name="图片 9" descr="指北针"/>
                    <pic:cNvPicPr/>
                  </pic:nvPicPr>
                  <pic:blipFill>
                    <a:blip r:embed="rId32" cstate="print"/>
                    <a:srcRect/>
                    <a:stretch>
                      <a:fillRect/>
                    </a:stretch>
                  </pic:blipFill>
                  <pic:spPr>
                    <a:xfrm>
                      <a:off x="0" y="0"/>
                      <a:ext cx="383540" cy="403225"/>
                    </a:xfrm>
                    <a:prstGeom prst="rect">
                      <a:avLst/>
                    </a:prstGeom>
                  </pic:spPr>
                </pic:pic>
              </a:graphicData>
            </a:graphic>
          </wp:anchor>
        </w:drawing>
      </w:r>
      <w:r>
        <w:rPr>
          <w:rFonts w:hint="default" w:ascii="Times New Roman" w:hAnsi="Times New Roman" w:cs="Times New Roman"/>
          <w:color w:val="auto"/>
          <w:highlight w:val="none"/>
        </w:rPr>
        <w:drawing>
          <wp:inline distT="0" distB="0" distL="0" distR="0">
            <wp:extent cx="8235315" cy="4471670"/>
            <wp:effectExtent l="0" t="0" r="13334" b="5080"/>
            <wp:docPr id="1044" name="图片 3" descr="粤联昌 地理位置图"/>
            <wp:cNvGraphicFramePr/>
            <a:graphic xmlns:a="http://schemas.openxmlformats.org/drawingml/2006/main">
              <a:graphicData uri="http://schemas.openxmlformats.org/drawingml/2006/picture">
                <pic:pic xmlns:pic="http://schemas.openxmlformats.org/drawingml/2006/picture">
                  <pic:nvPicPr>
                    <pic:cNvPr id="1044" name="图片 3" descr="粤联昌 地理位置图"/>
                    <pic:cNvPicPr/>
                  </pic:nvPicPr>
                  <pic:blipFill>
                    <a:blip r:embed="rId33" cstate="print"/>
                    <a:srcRect/>
                    <a:stretch>
                      <a:fillRect/>
                    </a:stretch>
                  </pic:blipFill>
                  <pic:spPr>
                    <a:xfrm>
                      <a:off x="0" y="0"/>
                      <a:ext cx="8235315" cy="4471670"/>
                    </a:xfrm>
                    <a:prstGeom prst="rect">
                      <a:avLst/>
                    </a:prstGeom>
                  </pic:spPr>
                </pic:pic>
              </a:graphicData>
            </a:graphic>
          </wp:inline>
        </w:drawing>
      </w:r>
    </w:p>
    <w:p w14:paraId="18ED6E8C">
      <w:pPr>
        <w:rPr>
          <w:rFonts w:hint="default" w:ascii="Times New Roman" w:hAnsi="Times New Roman" w:cs="Times New Roman"/>
          <w:color w:val="auto"/>
          <w:highlight w:val="none"/>
        </w:rPr>
        <w:sectPr>
          <w:pgSz w:w="16838" w:h="11906" w:orient="landscape"/>
          <w:pgMar w:top="1417" w:right="1417" w:bottom="1134" w:left="1559"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6F6E8505">
      <w:pPr>
        <w:rPr>
          <w:rFonts w:hint="default" w:ascii="Times New Roman" w:hAnsi="Times New Roman" w:cs="Times New Roman"/>
          <w:color w:val="auto"/>
          <w:highlight w:val="none"/>
        </w:rPr>
      </w:pPr>
    </w:p>
    <w:p w14:paraId="33C7447F">
      <w:pPr>
        <w:pStyle w:val="43"/>
        <w:numPr>
          <w:ilvl w:val="0"/>
          <w:numId w:val="0"/>
        </w:numPr>
        <w:adjustRightInd/>
        <w:spacing w:line="360" w:lineRule="auto"/>
        <w:ind w:left="0" w:leftChars="0" w:firstLine="397" w:firstLineChars="0"/>
        <w:jc w:val="left"/>
        <w:textAlignment w:val="auto"/>
        <w:outlineLvl w:val="0"/>
        <w:rPr>
          <w:rFonts w:hint="default" w:ascii="Times New Roman" w:hAnsi="Times New Roman" w:eastAsia="宋体" w:cs="Times New Roman"/>
          <w:b/>
          <w:bCs/>
          <w:color w:val="auto"/>
          <w:sz w:val="24"/>
          <w:szCs w:val="24"/>
          <w:highlight w:val="none"/>
        </w:rPr>
      </w:pPr>
      <w:bookmarkStart w:id="125" w:name="_Toc17352"/>
      <w:bookmarkStart w:id="126" w:name="_Toc20186"/>
      <w:bookmarkStart w:id="127" w:name="_Toc14440"/>
      <w:r>
        <w:rPr>
          <w:rFonts w:hint="default" w:ascii="Times New Roman" w:hAnsi="Times New Roman" w:eastAsia="宋体" w:cs="Times New Roman"/>
          <w:b/>
          <w:bCs/>
          <w:color w:val="auto"/>
          <w:kern w:val="0"/>
          <w:sz w:val="24"/>
          <w:szCs w:val="24"/>
          <w:highlight w:val="none"/>
          <w:lang w:val="en-US" w:eastAsia="zh-CN" w:bidi="ar-SA"/>
        </w:rPr>
        <w:t xml:space="preserve">附图2 </w:t>
      </w:r>
      <w:r>
        <w:rPr>
          <w:rFonts w:hint="default" w:ascii="Times New Roman" w:hAnsi="Times New Roman" w:eastAsia="宋体" w:cs="Times New Roman"/>
          <w:b/>
          <w:bCs/>
          <w:color w:val="auto"/>
          <w:sz w:val="24"/>
          <w:szCs w:val="24"/>
          <w:highlight w:val="none"/>
        </w:rPr>
        <w:t>项目四至情况</w:t>
      </w:r>
      <w:bookmarkEnd w:id="125"/>
      <w:r>
        <w:rPr>
          <w:rFonts w:hint="default" w:ascii="Times New Roman" w:hAnsi="Times New Roman" w:cs="Times New Roman"/>
          <w:b/>
          <w:bCs/>
          <w:color w:val="auto"/>
          <w:sz w:val="24"/>
          <w:szCs w:val="24"/>
          <w:highlight w:val="none"/>
          <w:lang w:val="en-US" w:eastAsia="zh-CN"/>
        </w:rPr>
        <w:t>卫星图</w:t>
      </w:r>
      <w:bookmarkEnd w:id="126"/>
      <w:bookmarkEnd w:id="127"/>
    </w:p>
    <w:p w14:paraId="439002AF">
      <w:pPr>
        <w:jc w:val="center"/>
        <w:rPr>
          <w:rFonts w:hint="eastAsia" w:ascii="Times New Roman" w:hAnsi="Times New Roman" w:eastAsia="黑体" w:cs="Times New Roman"/>
          <w:color w:val="auto"/>
          <w:highlight w:val="none"/>
          <w:lang w:eastAsia="zh-CN"/>
        </w:rPr>
        <w:sectPr>
          <w:pgSz w:w="23811" w:h="16838" w:orient="landscape"/>
          <w:pgMar w:top="1417" w:right="1417" w:bottom="1134" w:left="1559"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cs="Times New Roman"/>
          <w:color w:val="auto"/>
          <w:sz w:val="24"/>
          <w:highlight w:val="none"/>
        </w:rPr>
        <mc:AlternateContent>
          <mc:Choice Requires="wps">
            <w:drawing>
              <wp:anchor distT="0" distB="0" distL="0" distR="0" simplePos="0" relativeHeight="251659264" behindDoc="0" locked="0" layoutInCell="1" allowOverlap="1">
                <wp:simplePos x="0" y="0"/>
                <wp:positionH relativeFrom="column">
                  <wp:posOffset>1317625</wp:posOffset>
                </wp:positionH>
                <wp:positionV relativeFrom="paragraph">
                  <wp:posOffset>153670</wp:posOffset>
                </wp:positionV>
                <wp:extent cx="1560195" cy="1306830"/>
                <wp:effectExtent l="4445" t="4445" r="16510" b="22225"/>
                <wp:wrapNone/>
                <wp:docPr id="1048" name="文本框 85"/>
                <wp:cNvGraphicFramePr/>
                <a:graphic xmlns:a="http://schemas.openxmlformats.org/drawingml/2006/main">
                  <a:graphicData uri="http://schemas.microsoft.com/office/word/2010/wordprocessingShape">
                    <wps:wsp>
                      <wps:cNvSpPr/>
                      <wps:spPr>
                        <a:xfrm>
                          <a:off x="0" y="0"/>
                          <a:ext cx="1560195" cy="1306830"/>
                        </a:xfrm>
                        <a:prstGeom prst="rect">
                          <a:avLst/>
                        </a:prstGeom>
                        <a:solidFill>
                          <a:srgbClr val="D8D8D8"/>
                        </a:solidFill>
                        <a:ln w="6350" cap="flat" cmpd="sng">
                          <a:solidFill>
                            <a:srgbClr val="000000"/>
                          </a:solidFill>
                          <a:prstDash val="solid"/>
                          <a:round/>
                        </a:ln>
                      </wps:spPr>
                      <wps:txbx>
                        <w:txbxContent>
                          <w:p w14:paraId="3C2D758B">
                            <w:pPr>
                              <w:jc w:val="center"/>
                              <w:rPr>
                                <w:rFonts w:hint="eastAsia"/>
                                <w:sz w:val="28"/>
                                <w:szCs w:val="28"/>
                                <w:lang w:eastAsia="zh-CN"/>
                              </w:rPr>
                            </w:pPr>
                            <w:r>
                              <w:rPr>
                                <w:rFonts w:hint="eastAsia"/>
                                <w:sz w:val="28"/>
                                <w:szCs w:val="28"/>
                                <w:lang w:eastAsia="zh-CN"/>
                              </w:rPr>
                              <w:t>图例</w:t>
                            </w:r>
                          </w:p>
                          <w:p w14:paraId="3CDCBD7A">
                            <w:pPr>
                              <w:rPr>
                                <w:rFonts w:hint="eastAsia"/>
                                <w:sz w:val="28"/>
                                <w:szCs w:val="28"/>
                                <w:lang w:eastAsia="zh-CN"/>
                              </w:rPr>
                            </w:pPr>
                            <w:r>
                              <w:rPr>
                                <w:rFonts w:hint="eastAsia"/>
                                <w:sz w:val="28"/>
                                <w:szCs w:val="28"/>
                                <w:lang w:eastAsia="zh-CN"/>
                              </w:rPr>
                              <w:t>项目位置：</w:t>
                            </w:r>
                          </w:p>
                          <w:p w14:paraId="47911A24">
                            <w:pPr>
                              <w:rPr>
                                <w:rFonts w:hint="eastAsia"/>
                                <w:sz w:val="28"/>
                                <w:szCs w:val="28"/>
                                <w:lang w:eastAsia="zh-CN"/>
                              </w:rPr>
                            </w:pPr>
                            <w:r>
                              <w:rPr>
                                <w:rFonts w:hint="eastAsia"/>
                                <w:sz w:val="28"/>
                                <w:szCs w:val="28"/>
                                <w:lang w:eastAsia="zh-CN"/>
                              </w:rPr>
                              <w:t>四至：</w:t>
                            </w:r>
                          </w:p>
                          <w:p w14:paraId="198F84F6">
                            <w:pPr>
                              <w:rPr>
                                <w:rFonts w:hint="default"/>
                                <w:sz w:val="28"/>
                                <w:szCs w:val="28"/>
                                <w:lang w:val="en-US" w:eastAsia="zh-CN"/>
                              </w:rPr>
                            </w:pPr>
                          </w:p>
                        </w:txbxContent>
                      </wps:txbx>
                      <wps:bodyPr vert="horz" wrap="square" lIns="91440" tIns="45720" rIns="91440" bIns="45720" anchor="t">
                        <a:noAutofit/>
                      </wps:bodyPr>
                    </wps:wsp>
                  </a:graphicData>
                </a:graphic>
              </wp:anchor>
            </w:drawing>
          </mc:Choice>
          <mc:Fallback>
            <w:pict>
              <v:rect id="文本框 85" o:spid="_x0000_s1026" o:spt="1" style="position:absolute;left:0pt;margin-left:103.75pt;margin-top:12.1pt;height:102.9pt;width:122.85pt;z-index:251659264;mso-width-relative:page;mso-height-relative:page;" fillcolor="#D8D8D8" filled="t" stroked="t" coordsize="21600,21600" o:gfxdata="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KYFjt1gAA&#10;AAoBAAAPAAAAAAAAAAEAIAAAACIAAABkcnMvZG93bnJldi54bWxQSwECFAAUAAAACACHTuJAW616&#10;gCACAABEBAAADgAAAAAAAAABACAAAAAlAQAAZHJzL2Uyb0RvYy54bWxQSwUGAAAAAAYABgBZAQAA&#10;twUAAAAA&#10;">
                <v:fill on="t" focussize="0,0"/>
                <v:stroke weight="0.5pt" color="#000000" joinstyle="round"/>
                <v:imagedata o:title=""/>
                <o:lock v:ext="edit" aspectratio="f"/>
                <v:textbox>
                  <w:txbxContent>
                    <w:p w14:paraId="3C2D758B">
                      <w:pPr>
                        <w:jc w:val="center"/>
                        <w:rPr>
                          <w:rFonts w:hint="eastAsia"/>
                          <w:sz w:val="28"/>
                          <w:szCs w:val="28"/>
                          <w:lang w:eastAsia="zh-CN"/>
                        </w:rPr>
                      </w:pPr>
                      <w:r>
                        <w:rPr>
                          <w:rFonts w:hint="eastAsia"/>
                          <w:sz w:val="28"/>
                          <w:szCs w:val="28"/>
                          <w:lang w:eastAsia="zh-CN"/>
                        </w:rPr>
                        <w:t>图例</w:t>
                      </w:r>
                    </w:p>
                    <w:p w14:paraId="3CDCBD7A">
                      <w:pPr>
                        <w:rPr>
                          <w:rFonts w:hint="eastAsia"/>
                          <w:sz w:val="28"/>
                          <w:szCs w:val="28"/>
                          <w:lang w:eastAsia="zh-CN"/>
                        </w:rPr>
                      </w:pPr>
                      <w:r>
                        <w:rPr>
                          <w:rFonts w:hint="eastAsia"/>
                          <w:sz w:val="28"/>
                          <w:szCs w:val="28"/>
                          <w:lang w:eastAsia="zh-CN"/>
                        </w:rPr>
                        <w:t>项目位置：</w:t>
                      </w:r>
                    </w:p>
                    <w:p w14:paraId="47911A24">
                      <w:pPr>
                        <w:rPr>
                          <w:rFonts w:hint="eastAsia"/>
                          <w:sz w:val="28"/>
                          <w:szCs w:val="28"/>
                          <w:lang w:eastAsia="zh-CN"/>
                        </w:rPr>
                      </w:pPr>
                      <w:r>
                        <w:rPr>
                          <w:rFonts w:hint="eastAsia"/>
                          <w:sz w:val="28"/>
                          <w:szCs w:val="28"/>
                          <w:lang w:eastAsia="zh-CN"/>
                        </w:rPr>
                        <w:t>四至：</w:t>
                      </w:r>
                    </w:p>
                    <w:p w14:paraId="198F84F6">
                      <w:pPr>
                        <w:rPr>
                          <w:rFonts w:hint="default"/>
                          <w:sz w:val="28"/>
                          <w:szCs w:val="28"/>
                          <w:lang w:val="en-US" w:eastAsia="zh-CN"/>
                        </w:rPr>
                      </w:pPr>
                    </w:p>
                  </w:txbxContent>
                </v:textbox>
              </v:rect>
            </w:pict>
          </mc:Fallback>
        </mc:AlternateContent>
      </w:r>
      <w:r>
        <w:rPr>
          <w:sz w:val="24"/>
        </w:rPr>
        <mc:AlternateContent>
          <mc:Choice Requires="wps">
            <w:drawing>
              <wp:anchor distT="0" distB="0" distL="0" distR="0" simplePos="0" relativeHeight="251659264" behindDoc="0" locked="0" layoutInCell="1" allowOverlap="1">
                <wp:simplePos x="0" y="0"/>
                <wp:positionH relativeFrom="column">
                  <wp:posOffset>6111875</wp:posOffset>
                </wp:positionH>
                <wp:positionV relativeFrom="paragraph">
                  <wp:posOffset>3170555</wp:posOffset>
                </wp:positionV>
                <wp:extent cx="758190" cy="321310"/>
                <wp:effectExtent l="4445" t="4445" r="18415" b="17145"/>
                <wp:wrapNone/>
                <wp:docPr id="35" name="文本框 46"/>
                <wp:cNvGraphicFramePr/>
                <a:graphic xmlns:a="http://schemas.openxmlformats.org/drawingml/2006/main">
                  <a:graphicData uri="http://schemas.microsoft.com/office/word/2010/wordprocessingShape">
                    <wps:wsp>
                      <wps:cNvSpPr/>
                      <wps:spPr>
                        <a:xfrm>
                          <a:off x="0" y="0"/>
                          <a:ext cx="758190" cy="321310"/>
                        </a:xfrm>
                        <a:prstGeom prst="rect">
                          <a:avLst/>
                        </a:prstGeom>
                        <a:solidFill>
                          <a:srgbClr val="FFFFFF"/>
                        </a:solidFill>
                        <a:ln w="6350" cap="flat" cmpd="sng">
                          <a:solidFill>
                            <a:srgbClr val="000000"/>
                          </a:solidFill>
                          <a:prstDash val="solid"/>
                          <a:round/>
                        </a:ln>
                      </wps:spPr>
                      <wps:txbx>
                        <w:txbxContent>
                          <w:p w14:paraId="427D06E2">
                            <w:pPr>
                              <w:jc w:val="center"/>
                              <w:rPr>
                                <w:rFonts w:hint="default" w:eastAsia="宋体"/>
                                <w:sz w:val="24"/>
                                <w:szCs w:val="24"/>
                                <w:lang w:val="en-US" w:eastAsia="zh-CN"/>
                              </w:rPr>
                            </w:pPr>
                            <w:r>
                              <w:rPr>
                                <w:rFonts w:hint="eastAsia"/>
                                <w:lang w:val="en-US" w:eastAsia="zh-CN"/>
                              </w:rPr>
                              <w:t>本项目</w:t>
                            </w:r>
                          </w:p>
                        </w:txbxContent>
                      </wps:txbx>
                      <wps:bodyPr vert="horz" wrap="square" lIns="91440" tIns="45720" rIns="91440" bIns="45720" anchor="t">
                        <a:noAutofit/>
                      </wps:bodyPr>
                    </wps:wsp>
                  </a:graphicData>
                </a:graphic>
              </wp:anchor>
            </w:drawing>
          </mc:Choice>
          <mc:Fallback>
            <w:pict>
              <v:rect id="文本框 46" o:spid="_x0000_s1026" o:spt="1" style="position:absolute;left:0pt;margin-left:481.25pt;margin-top:249.65pt;height:25.3pt;width:59.7pt;z-index:251659264;mso-width-relative:page;mso-height-relative:page;" fillcolor="#FFFFFF" filled="t" stroked="t" coordsize="21600,21600" o:gfxdata="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IEVtxtkAAAAM&#10;AQAADwAAAAAAAAABACAAAAAiAAAAZHJzL2Rvd25yZXYueG1sUEsBAhQAFAAAAAgAh07iQM8Ljr4b&#10;AgAAQAQAAA4AAAAAAAAAAQAgAAAAKAEAAGRycy9lMm9Eb2MueG1sUEsFBgAAAAAGAAYAWQEAALUF&#10;AAAAAA==&#10;">
                <v:fill on="t" focussize="0,0"/>
                <v:stroke weight="0.5pt" color="#000000" joinstyle="round"/>
                <v:imagedata o:title=""/>
                <o:lock v:ext="edit" aspectratio="f"/>
                <v:textbox>
                  <w:txbxContent>
                    <w:p w14:paraId="427D06E2">
                      <w:pPr>
                        <w:jc w:val="center"/>
                        <w:rPr>
                          <w:rFonts w:hint="default" w:eastAsia="宋体"/>
                          <w:sz w:val="24"/>
                          <w:szCs w:val="24"/>
                          <w:lang w:val="en-US" w:eastAsia="zh-CN"/>
                        </w:rPr>
                      </w:pPr>
                      <w:r>
                        <w:rPr>
                          <w:rFonts w:hint="eastAsia"/>
                          <w:lang w:val="en-US" w:eastAsia="zh-CN"/>
                        </w:rPr>
                        <w:t>本项目</w:t>
                      </w:r>
                    </w:p>
                  </w:txbxContent>
                </v:textbox>
              </v:rect>
            </w:pict>
          </mc:Fallback>
        </mc:AlternateContent>
      </w:r>
      <w:r>
        <w:rPr>
          <w:rFonts w:hint="default" w:ascii="Times New Roman" w:hAnsi="Times New Roman" w:cs="Times New Roman"/>
          <w:color w:val="auto"/>
          <w:sz w:val="24"/>
          <w:highlight w:val="none"/>
        </w:rPr>
        <mc:AlternateContent>
          <mc:Choice Requires="wpg">
            <w:drawing>
              <wp:anchor distT="0" distB="0" distL="0" distR="0" simplePos="0" relativeHeight="251661312" behindDoc="0" locked="0" layoutInCell="1" allowOverlap="1">
                <wp:simplePos x="0" y="0"/>
                <wp:positionH relativeFrom="column">
                  <wp:posOffset>2238375</wp:posOffset>
                </wp:positionH>
                <wp:positionV relativeFrom="paragraph">
                  <wp:posOffset>688340</wp:posOffset>
                </wp:positionV>
                <wp:extent cx="389255" cy="602615"/>
                <wp:effectExtent l="13970" t="6350" r="15875" b="19685"/>
                <wp:wrapNone/>
                <wp:docPr id="1045" name="组合 82"/>
                <wp:cNvGraphicFramePr/>
                <a:graphic xmlns:a="http://schemas.openxmlformats.org/drawingml/2006/main">
                  <a:graphicData uri="http://schemas.microsoft.com/office/word/2010/wordprocessingGroup">
                    <wpg:wgp>
                      <wpg:cNvGrpSpPr/>
                      <wpg:grpSpPr>
                        <a:xfrm rot="0">
                          <a:off x="0" y="0"/>
                          <a:ext cx="389254" cy="602615"/>
                          <a:chOff x="13273" y="1075179"/>
                          <a:chExt cx="613" cy="949"/>
                        </a:xfrm>
                      </wpg:grpSpPr>
                      <wps:wsp>
                        <wps:cNvPr id="1" name="矩形 1"/>
                        <wps:cNvSpPr/>
                        <wps:spPr>
                          <a:xfrm>
                            <a:off x="13288" y="1075179"/>
                            <a:ext cx="599" cy="335"/>
                          </a:xfrm>
                          <a:prstGeom prst="rect">
                            <a:avLst/>
                          </a:prstGeom>
                          <a:solidFill>
                            <a:srgbClr val="FF0000">
                              <a:alpha val="48000"/>
                            </a:srgbClr>
                          </a:solidFill>
                          <a:ln w="12700" cap="flat" cmpd="sng">
                            <a:solidFill>
                              <a:srgbClr val="FF0000"/>
                            </a:solidFill>
                            <a:prstDash val="solid"/>
                            <a:miter/>
                          </a:ln>
                        </wps:spPr>
                        <wps:bodyPr/>
                      </wps:wsp>
                      <wps:wsp>
                        <wps:cNvPr id="2" name="矩形 2"/>
                        <wps:cNvSpPr/>
                        <wps:spPr>
                          <a:xfrm>
                            <a:off x="13273" y="1075794"/>
                            <a:ext cx="599" cy="335"/>
                          </a:xfrm>
                          <a:prstGeom prst="rect">
                            <a:avLst/>
                          </a:prstGeom>
                          <a:ln w="28575" cap="flat" cmpd="sng">
                            <a:solidFill>
                              <a:srgbClr val="FFFF00"/>
                            </a:solidFill>
                            <a:prstDash val="solid"/>
                            <a:miter/>
                          </a:ln>
                        </wps:spPr>
                        <wps:bodyPr/>
                      </wps:wsp>
                    </wpg:wgp>
                  </a:graphicData>
                </a:graphic>
              </wp:anchor>
            </w:drawing>
          </mc:Choice>
          <mc:Fallback>
            <w:pict>
              <v:group id="组合 82" o:spid="_x0000_s1026" o:spt="203" style="position:absolute;left:0pt;margin-left:176.25pt;margin-top:54.2pt;height:47.45pt;width:30.65pt;z-index:251661312;mso-width-relative:page;mso-height-relative:page;" coordorigin="13273,1075179" coordsize="613,949" o:gfxdata="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d0jFRtoAAAAL&#10;AQAADwAAAAAAAAABACAAAAAiAAAAZHJzL2Rvd25yZXYueG1sUEsBAhQAFAAAAAgAh07iQB9/RYqM&#10;AgAA0AYAAA4AAAAAAAAAAQAgAAAAKQEAAGRycy9lMm9Eb2MueG1sUEsFBgAAAAAGAAYAWQEAACcG&#10;AAAAAA==&#10;">
                <o:lock v:ext="edit" aspectratio="f"/>
                <v:rect id="_x0000_s1026" o:spid="_x0000_s1026" o:spt="1" style="position:absolute;left:13288;top:1075179;height:335;width:599;" fillcolor="#FF0000" filled="t" stroked="t" coordsize="21600,21600" o:gfxdata="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QZ1Vw7UAAADaAAAADwAA&#10;AAAAAAABACAAAAAiAAAAZHJzL2Rvd25yZXYueG1sUEsBAhQAFAAAAAgAh07iQDMvBZ47AAAAOQAA&#10;ABAAAAAAAAAAAQAgAAAABAEAAGRycy9zaGFwZXhtbC54bWxQSwUGAAAAAAYABgBbAQAArgMAAAAA&#10;">
                  <v:fill on="t" opacity="31457f" focussize="0,0"/>
                  <v:stroke weight="1pt" color="#FF0000" joinstyle="miter"/>
                  <v:imagedata o:title=""/>
                  <o:lock v:ext="edit" aspectratio="f"/>
                </v:rect>
                <v:rect id="_x0000_s1026" o:spid="_x0000_s1026" o:spt="1" style="position:absolute;left:13273;top:1075794;height:335;width:599;" filled="f" stroked="t" coordsize="21600,21600" o:gfxdata="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jCwpK8AAAA&#10;2gAAAA8AAAAAAAAAAQAgAAAAIgAAAGRycy9kb3ducmV2LnhtbFBLAQIUABQAAAAIAIdO4kAzLwWe&#10;OwAAADkAAAAQAAAAAAAAAAEAIAAAAAsBAABkcnMvc2hhcGV4bWwueG1sUEsFBgAAAAAGAAYAWwEA&#10;ALUDAAAAAA==&#10;">
                  <v:fill on="f" focussize="0,0"/>
                  <v:stroke weight="2.25pt" color="#FFFF00" joinstyle="miter"/>
                  <v:imagedata o:title=""/>
                  <o:lock v:ext="edit" aspectratio="f"/>
                </v:rect>
              </v:group>
            </w:pict>
          </mc:Fallback>
        </mc:AlternateContent>
      </w:r>
      <w:r>
        <w:rPr>
          <w:rFonts w:hint="default" w:ascii="Times New Roman" w:hAnsi="Times New Roman" w:cs="Times New Roman"/>
          <w:color w:val="auto"/>
          <w:highlight w:val="none"/>
        </w:rPr>
        <w:drawing>
          <wp:anchor distT="0" distB="0" distL="0" distR="0" simplePos="0" relativeHeight="251659264" behindDoc="0" locked="0" layoutInCell="1" allowOverlap="1">
            <wp:simplePos x="0" y="0"/>
            <wp:positionH relativeFrom="column">
              <wp:posOffset>10734675</wp:posOffset>
            </wp:positionH>
            <wp:positionV relativeFrom="paragraph">
              <wp:posOffset>33020</wp:posOffset>
            </wp:positionV>
            <wp:extent cx="1272540" cy="1241425"/>
            <wp:effectExtent l="0" t="0" r="3810" b="15875"/>
            <wp:wrapNone/>
            <wp:docPr id="1049" name="图片 26"/>
            <wp:cNvGraphicFramePr/>
            <a:graphic xmlns:a="http://schemas.openxmlformats.org/drawingml/2006/main">
              <a:graphicData uri="http://schemas.openxmlformats.org/drawingml/2006/picture">
                <pic:pic xmlns:pic="http://schemas.openxmlformats.org/drawingml/2006/picture">
                  <pic:nvPicPr>
                    <pic:cNvPr id="1049" name="图片 26"/>
                    <pic:cNvPicPr/>
                  </pic:nvPicPr>
                  <pic:blipFill>
                    <a:blip r:embed="rId34" cstate="print"/>
                    <a:srcRect/>
                    <a:stretch>
                      <a:fillRect/>
                    </a:stretch>
                  </pic:blipFill>
                  <pic:spPr>
                    <a:xfrm>
                      <a:off x="0" y="0"/>
                      <a:ext cx="1272540" cy="1241425"/>
                    </a:xfrm>
                    <a:prstGeom prst="rect">
                      <a:avLst/>
                    </a:prstGeom>
                    <a:ln>
                      <a:noFill/>
                    </a:ln>
                  </pic:spPr>
                </pic:pic>
              </a:graphicData>
            </a:graphic>
          </wp:anchor>
        </w:drawing>
      </w:r>
      <w:r>
        <w:rPr>
          <w:sz w:val="24"/>
        </w:rPr>
        <mc:AlternateContent>
          <mc:Choice Requires="wps">
            <w:drawing>
              <wp:anchor distT="0" distB="0" distL="0" distR="0" simplePos="0" relativeHeight="251659264" behindDoc="0" locked="0" layoutInCell="1" allowOverlap="1">
                <wp:simplePos x="0" y="0"/>
                <wp:positionH relativeFrom="column">
                  <wp:posOffset>8588375</wp:posOffset>
                </wp:positionH>
                <wp:positionV relativeFrom="paragraph">
                  <wp:posOffset>2210435</wp:posOffset>
                </wp:positionV>
                <wp:extent cx="819785" cy="415925"/>
                <wp:effectExtent l="4445" t="4445" r="13970" b="17780"/>
                <wp:wrapNone/>
                <wp:docPr id="1050" name="文本框 51"/>
                <wp:cNvGraphicFramePr/>
                <a:graphic xmlns:a="http://schemas.openxmlformats.org/drawingml/2006/main">
                  <a:graphicData uri="http://schemas.microsoft.com/office/word/2010/wordprocessingShape">
                    <wps:wsp>
                      <wps:cNvSpPr/>
                      <wps:spPr>
                        <a:xfrm>
                          <a:off x="0" y="0"/>
                          <a:ext cx="819784" cy="415925"/>
                        </a:xfrm>
                        <a:prstGeom prst="rect">
                          <a:avLst/>
                        </a:prstGeom>
                        <a:solidFill>
                          <a:srgbClr val="FFFFFF"/>
                        </a:solidFill>
                        <a:ln w="6350" cap="flat" cmpd="sng">
                          <a:solidFill>
                            <a:srgbClr val="000000"/>
                          </a:solidFill>
                          <a:prstDash val="solid"/>
                          <a:round/>
                        </a:ln>
                      </wps:spPr>
                      <wps:txbx>
                        <w:txbxContent>
                          <w:p w14:paraId="19C0F695">
                            <w:pPr>
                              <w:jc w:val="center"/>
                              <w:rPr>
                                <w:rFonts w:hint="default" w:eastAsia="宋体"/>
                                <w:lang w:val="en-US" w:eastAsia="zh-CN"/>
                              </w:rPr>
                            </w:pPr>
                            <w:r>
                              <w:rPr>
                                <w:rFonts w:hint="eastAsia"/>
                                <w:lang w:val="en-US" w:eastAsia="zh-CN"/>
                              </w:rPr>
                              <w:t>空厂房</w:t>
                            </w:r>
                          </w:p>
                          <w:p w14:paraId="707043F2">
                            <w:pPr>
                              <w:jc w:val="center"/>
                              <w:rPr>
                                <w:rFonts w:hint="default" w:eastAsia="宋体"/>
                                <w:sz w:val="24"/>
                                <w:szCs w:val="24"/>
                                <w:lang w:val="en-US" w:eastAsia="zh-CN"/>
                              </w:rPr>
                            </w:pPr>
                          </w:p>
                        </w:txbxContent>
                      </wps:txbx>
                      <wps:bodyPr vert="horz" wrap="square" lIns="91440" tIns="45720" rIns="91440" bIns="45720" anchor="t">
                        <a:noAutofit/>
                      </wps:bodyPr>
                    </wps:wsp>
                  </a:graphicData>
                </a:graphic>
              </wp:anchor>
            </w:drawing>
          </mc:Choice>
          <mc:Fallback>
            <w:pict>
              <v:rect id="文本框 51" o:spid="_x0000_s1026" o:spt="1" style="position:absolute;left:0pt;margin-left:676.25pt;margin-top:174.05pt;height:32.75pt;width:64.55pt;z-index:251659264;mso-width-relative:page;mso-height-relative:page;" fillcolor="#FFFFFF" filled="t" stroked="t" coordsize="21600,21600" o:gfxdata="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RGbdo2QAAAA0B&#10;AAAPAAAAAAAAAAEAIAAAACIAAABkcnMvZG93bnJldi54bWxQSwECFAAUAAAACACHTuJAOSQg5RoC&#10;AABCBAAADgAAAAAAAAABACAAAAAoAQAAZHJzL2Uyb0RvYy54bWxQSwUGAAAAAAYABgBZAQAAtAUA&#10;AAAA&#10;">
                <v:fill on="t" focussize="0,0"/>
                <v:stroke weight="0.5pt" color="#000000" joinstyle="round"/>
                <v:imagedata o:title=""/>
                <o:lock v:ext="edit" aspectratio="f"/>
                <v:textbox>
                  <w:txbxContent>
                    <w:p w14:paraId="19C0F695">
                      <w:pPr>
                        <w:jc w:val="center"/>
                        <w:rPr>
                          <w:rFonts w:hint="default" w:eastAsia="宋体"/>
                          <w:lang w:val="en-US" w:eastAsia="zh-CN"/>
                        </w:rPr>
                      </w:pPr>
                      <w:r>
                        <w:rPr>
                          <w:rFonts w:hint="eastAsia"/>
                          <w:lang w:val="en-US" w:eastAsia="zh-CN"/>
                        </w:rPr>
                        <w:t>空厂房</w:t>
                      </w:r>
                    </w:p>
                    <w:p w14:paraId="707043F2">
                      <w:pPr>
                        <w:jc w:val="center"/>
                        <w:rPr>
                          <w:rFonts w:hint="default" w:eastAsia="宋体"/>
                          <w:sz w:val="24"/>
                          <w:szCs w:val="24"/>
                          <w:lang w:val="en-US" w:eastAsia="zh-CN"/>
                        </w:rPr>
                      </w:pPr>
                    </w:p>
                  </w:txbxContent>
                </v:textbox>
              </v:rect>
            </w:pict>
          </mc:Fallback>
        </mc:AlternateContent>
      </w:r>
      <w:r>
        <mc:AlternateContent>
          <mc:Choice Requires="wps">
            <w:drawing>
              <wp:anchor distT="0" distB="0" distL="0" distR="0" simplePos="0" relativeHeight="251659264" behindDoc="0" locked="0" layoutInCell="1" allowOverlap="1">
                <wp:simplePos x="0" y="0"/>
                <wp:positionH relativeFrom="column">
                  <wp:posOffset>7715885</wp:posOffset>
                </wp:positionH>
                <wp:positionV relativeFrom="paragraph">
                  <wp:posOffset>1019810</wp:posOffset>
                </wp:positionV>
                <wp:extent cx="2621915" cy="2980055"/>
                <wp:effectExtent l="13970" t="13970" r="31115" b="15875"/>
                <wp:wrapNone/>
                <wp:docPr id="1051" name="矩形 76"/>
                <wp:cNvGraphicFramePr/>
                <a:graphic xmlns:a="http://schemas.openxmlformats.org/drawingml/2006/main">
                  <a:graphicData uri="http://schemas.microsoft.com/office/word/2010/wordprocessingShape">
                    <wps:wsp>
                      <wps:cNvSpPr/>
                      <wps:spPr>
                        <a:xfrm>
                          <a:off x="0" y="0"/>
                          <a:ext cx="2621915" cy="2980055"/>
                        </a:xfrm>
                        <a:prstGeom prst="rect">
                          <a:avLst/>
                        </a:prstGeom>
                        <a:ln w="28575" cap="flat" cmpd="sng">
                          <a:solidFill>
                            <a:srgbClr val="FFFF00"/>
                          </a:solidFill>
                          <a:prstDash val="solid"/>
                          <a:miter/>
                        </a:ln>
                      </wps:spPr>
                      <wps:bodyPr/>
                    </wps:wsp>
                  </a:graphicData>
                </a:graphic>
              </wp:anchor>
            </w:drawing>
          </mc:Choice>
          <mc:Fallback>
            <w:pict>
              <v:rect id="矩形 76" o:spid="_x0000_s1026" o:spt="1" style="position:absolute;left:0pt;margin-left:607.55pt;margin-top:80.3pt;height:234.65pt;width:206.45pt;z-index:251659264;mso-width-relative:page;mso-height-relative:page;" filled="f" stroked="t" coordsize="21600,21600" o:gfxdata="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ciD7z2QAAAA0BAAAPAAAAAAAAAAEAIAAAACIA&#10;AABkcnMvZG93bnJldi54bWxQSwECFAAUAAAACACHTuJAB197UM8BAACQAwAADgAAAAAAAAABACAA&#10;AAAoAQAAZHJzL2Uyb0RvYy54bWxQSwUGAAAAAAYABgBZAQAAaQUAAAAA&#10;">
                <v:fill on="f" focussize="0,0"/>
                <v:stroke weight="2.25pt" color="#FFFF00" joinstyle="miter"/>
                <v:imagedata o:title=""/>
                <o:lock v:ext="edit" aspectratio="f"/>
              </v:rect>
            </w:pict>
          </mc:Fallback>
        </mc:AlternateContent>
      </w:r>
      <w:r>
        <w:rPr>
          <w:sz w:val="24"/>
        </w:rPr>
        <mc:AlternateContent>
          <mc:Choice Requires="wps">
            <w:drawing>
              <wp:anchor distT="0" distB="0" distL="0" distR="0" simplePos="0" relativeHeight="251659264" behindDoc="0" locked="0" layoutInCell="1" allowOverlap="1">
                <wp:simplePos x="0" y="0"/>
                <wp:positionH relativeFrom="column">
                  <wp:posOffset>5895340</wp:posOffset>
                </wp:positionH>
                <wp:positionV relativeFrom="paragraph">
                  <wp:posOffset>5805170</wp:posOffset>
                </wp:positionV>
                <wp:extent cx="819785" cy="437515"/>
                <wp:effectExtent l="4445" t="4445" r="13970" b="15240"/>
                <wp:wrapNone/>
                <wp:docPr id="1052" name="文本框 48"/>
                <wp:cNvGraphicFramePr/>
                <a:graphic xmlns:a="http://schemas.openxmlformats.org/drawingml/2006/main">
                  <a:graphicData uri="http://schemas.microsoft.com/office/word/2010/wordprocessingShape">
                    <wps:wsp>
                      <wps:cNvSpPr/>
                      <wps:spPr>
                        <a:xfrm>
                          <a:off x="0" y="0"/>
                          <a:ext cx="819784" cy="437515"/>
                        </a:xfrm>
                        <a:prstGeom prst="rect">
                          <a:avLst/>
                        </a:prstGeom>
                        <a:solidFill>
                          <a:srgbClr val="FFFFFF"/>
                        </a:solidFill>
                        <a:ln w="6350" cap="flat" cmpd="sng">
                          <a:solidFill>
                            <a:srgbClr val="000000"/>
                          </a:solidFill>
                          <a:prstDash val="solid"/>
                          <a:round/>
                        </a:ln>
                      </wps:spPr>
                      <wps:txbx>
                        <w:txbxContent>
                          <w:p w14:paraId="61C677CC">
                            <w:pPr>
                              <w:jc w:val="center"/>
                              <w:rPr>
                                <w:rFonts w:hint="default" w:eastAsia="宋体"/>
                                <w:lang w:val="en-US" w:eastAsia="zh-CN"/>
                              </w:rPr>
                            </w:pPr>
                            <w:r>
                              <w:rPr>
                                <w:rFonts w:hint="eastAsia"/>
                                <w:lang w:val="en-US" w:eastAsia="zh-CN"/>
                              </w:rPr>
                              <w:t>空厂房</w:t>
                            </w:r>
                          </w:p>
                          <w:p w14:paraId="0B0929D2">
                            <w:pPr>
                              <w:jc w:val="center"/>
                              <w:rPr>
                                <w:rFonts w:hint="default" w:eastAsia="宋体"/>
                                <w:sz w:val="24"/>
                                <w:szCs w:val="24"/>
                                <w:lang w:val="en-US" w:eastAsia="zh-CN"/>
                              </w:rPr>
                            </w:pPr>
                          </w:p>
                        </w:txbxContent>
                      </wps:txbx>
                      <wps:bodyPr vert="horz" wrap="square" lIns="91440" tIns="45720" rIns="91440" bIns="45720" anchor="t">
                        <a:noAutofit/>
                      </wps:bodyPr>
                    </wps:wsp>
                  </a:graphicData>
                </a:graphic>
              </wp:anchor>
            </w:drawing>
          </mc:Choice>
          <mc:Fallback>
            <w:pict>
              <v:rect id="文本框 48" o:spid="_x0000_s1026" o:spt="1" style="position:absolute;left:0pt;margin-left:464.2pt;margin-top:457.1pt;height:34.45pt;width:64.55pt;z-index:251659264;mso-width-relative:page;mso-height-relative:page;" fillcolor="#FFFFFF" filled="t" stroked="t" coordsize="21600,21600" o:gfxdata="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LOEw9kAAAAM&#10;AQAADwAAAAAAAAABACAAAAAiAAAAZHJzL2Rvd25yZXYueG1sUEsBAhQAFAAAAAgAh07iQOE+j6Ab&#10;AgAAQgQAAA4AAAAAAAAAAQAgAAAAKAEAAGRycy9lMm9Eb2MueG1sUEsFBgAAAAAGAAYAWQEAALUF&#10;AAAAAA==&#10;">
                <v:fill on="t" focussize="0,0"/>
                <v:stroke weight="0.5pt" color="#000000" joinstyle="round"/>
                <v:imagedata o:title=""/>
                <o:lock v:ext="edit" aspectratio="f"/>
                <v:textbox>
                  <w:txbxContent>
                    <w:p w14:paraId="61C677CC">
                      <w:pPr>
                        <w:jc w:val="center"/>
                        <w:rPr>
                          <w:rFonts w:hint="default" w:eastAsia="宋体"/>
                          <w:lang w:val="en-US" w:eastAsia="zh-CN"/>
                        </w:rPr>
                      </w:pPr>
                      <w:r>
                        <w:rPr>
                          <w:rFonts w:hint="eastAsia"/>
                          <w:lang w:val="en-US" w:eastAsia="zh-CN"/>
                        </w:rPr>
                        <w:t>空厂房</w:t>
                      </w:r>
                    </w:p>
                    <w:p w14:paraId="0B0929D2">
                      <w:pPr>
                        <w:jc w:val="center"/>
                        <w:rPr>
                          <w:rFonts w:hint="default" w:eastAsia="宋体"/>
                          <w:sz w:val="24"/>
                          <w:szCs w:val="24"/>
                          <w:lang w:val="en-US" w:eastAsia="zh-CN"/>
                        </w:rPr>
                      </w:pPr>
                    </w:p>
                  </w:txbxContent>
                </v:textbox>
              </v:rect>
            </w:pict>
          </mc:Fallback>
        </mc:AlternateContent>
      </w:r>
      <w:r>
        <mc:AlternateContent>
          <mc:Choice Requires="wps">
            <w:drawing>
              <wp:anchor distT="0" distB="0" distL="0" distR="0" simplePos="0" relativeHeight="251659264" behindDoc="0" locked="0" layoutInCell="1" allowOverlap="1">
                <wp:simplePos x="0" y="0"/>
                <wp:positionH relativeFrom="column">
                  <wp:posOffset>5131435</wp:posOffset>
                </wp:positionH>
                <wp:positionV relativeFrom="paragraph">
                  <wp:posOffset>4763770</wp:posOffset>
                </wp:positionV>
                <wp:extent cx="2481580" cy="2512695"/>
                <wp:effectExtent l="13970" t="13970" r="19050" b="26035"/>
                <wp:wrapNone/>
                <wp:docPr id="1053" name="矩形 45"/>
                <wp:cNvGraphicFramePr/>
                <a:graphic xmlns:a="http://schemas.openxmlformats.org/drawingml/2006/main">
                  <a:graphicData uri="http://schemas.microsoft.com/office/word/2010/wordprocessingShape">
                    <wps:wsp>
                      <wps:cNvSpPr/>
                      <wps:spPr>
                        <a:xfrm>
                          <a:off x="0" y="0"/>
                          <a:ext cx="2481579" cy="2512694"/>
                        </a:xfrm>
                        <a:prstGeom prst="rect">
                          <a:avLst/>
                        </a:prstGeom>
                        <a:ln w="28575" cap="flat" cmpd="sng">
                          <a:solidFill>
                            <a:srgbClr val="FFFF00"/>
                          </a:solidFill>
                          <a:prstDash val="solid"/>
                          <a:miter/>
                        </a:ln>
                      </wps:spPr>
                      <wps:bodyPr/>
                    </wps:wsp>
                  </a:graphicData>
                </a:graphic>
              </wp:anchor>
            </w:drawing>
          </mc:Choice>
          <mc:Fallback>
            <w:pict>
              <v:rect id="矩形 45" o:spid="_x0000_s1026" o:spt="1" style="position:absolute;left:0pt;margin-left:404.05pt;margin-top:375.1pt;height:197.85pt;width:195.4pt;z-index:251659264;mso-width-relative:page;mso-height-relative:page;" filled="f" stroked="t" coordsize="21600,21600" o:gfxdata="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s4UKM2gAAAA0BAAAPAAAAAAAAAAEAIAAA&#10;ACIAAABkcnMvZG93bnJldi54bWxQSwECFAAUAAAACACHTuJAI2p+BtEBAACQAwAADgAAAAAAAAAB&#10;ACAAAAApAQAAZHJzL2Uyb0RvYy54bWxQSwUGAAAAAAYABgBZAQAAbAUAAAAA&#10;">
                <v:fill on="f" focussize="0,0"/>
                <v:stroke weight="2.25pt" color="#FFFF00" joinstyle="miter"/>
                <v:imagedata o:title=""/>
                <o:lock v:ext="edit" aspectratio="f"/>
              </v:rect>
            </w:pict>
          </mc:Fallback>
        </mc:AlternateContent>
      </w:r>
      <w:r>
        <w:rPr>
          <w:sz w:val="24"/>
        </w:rPr>
        <mc:AlternateContent>
          <mc:Choice Requires="wps">
            <w:drawing>
              <wp:anchor distT="0" distB="0" distL="0" distR="0" simplePos="0" relativeHeight="251659264" behindDoc="0" locked="0" layoutInCell="1" allowOverlap="1">
                <wp:simplePos x="0" y="0"/>
                <wp:positionH relativeFrom="column">
                  <wp:posOffset>3080385</wp:posOffset>
                </wp:positionH>
                <wp:positionV relativeFrom="paragraph">
                  <wp:posOffset>2790190</wp:posOffset>
                </wp:positionV>
                <wp:extent cx="1334135" cy="367665"/>
                <wp:effectExtent l="4445" t="4445" r="13970" b="8890"/>
                <wp:wrapNone/>
                <wp:docPr id="1054" name="文本框 243"/>
                <wp:cNvGraphicFramePr/>
                <a:graphic xmlns:a="http://schemas.openxmlformats.org/drawingml/2006/main">
                  <a:graphicData uri="http://schemas.microsoft.com/office/word/2010/wordprocessingShape">
                    <wps:wsp>
                      <wps:cNvSpPr/>
                      <wps:spPr>
                        <a:xfrm>
                          <a:off x="0" y="0"/>
                          <a:ext cx="1334135" cy="367664"/>
                        </a:xfrm>
                        <a:prstGeom prst="rect">
                          <a:avLst/>
                        </a:prstGeom>
                        <a:solidFill>
                          <a:srgbClr val="FFFFFF"/>
                        </a:solidFill>
                        <a:ln w="6350" cap="flat" cmpd="sng">
                          <a:solidFill>
                            <a:srgbClr val="000000"/>
                          </a:solidFill>
                          <a:prstDash val="solid"/>
                          <a:round/>
                        </a:ln>
                      </wps:spPr>
                      <wps:txbx>
                        <w:txbxContent>
                          <w:p w14:paraId="24E39356">
                            <w:pPr>
                              <w:jc w:val="center"/>
                              <w:rPr>
                                <w:rFonts w:hint="default" w:eastAsia="宋体"/>
                                <w:lang w:val="en-US" w:eastAsia="zh-CN"/>
                              </w:rPr>
                            </w:pPr>
                            <w:r>
                              <w:rPr>
                                <w:rFonts w:hint="eastAsia"/>
                                <w:lang w:val="en-US" w:eastAsia="zh-CN"/>
                              </w:rPr>
                              <w:t>空厂房</w:t>
                            </w:r>
                          </w:p>
                        </w:txbxContent>
                      </wps:txbx>
                      <wps:bodyPr vert="horz" wrap="square" lIns="91440" tIns="45720" rIns="91440" bIns="45720" anchor="t">
                        <a:noAutofit/>
                      </wps:bodyPr>
                    </wps:wsp>
                  </a:graphicData>
                </a:graphic>
              </wp:anchor>
            </w:drawing>
          </mc:Choice>
          <mc:Fallback>
            <w:pict>
              <v:rect id="文本框 243" o:spid="_x0000_s1026" o:spt="1" style="position:absolute;left:0pt;margin-left:242.55pt;margin-top:219.7pt;height:28.95pt;width:105.05pt;z-index:251659264;mso-width-relative:page;mso-height-relative:page;" fillcolor="#FFFFFF" filled="t" stroked="t" coordsize="21600,21600" o:gfxdata="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DTWRrPZAAAA&#10;CwEAAA8AAAAAAAAAAQAgAAAAIgAAAGRycy9kb3ducmV2LnhtbFBLAQIUABQAAAAIAIdO4kDJercu&#10;HAIAAEQEAAAOAAAAAAAAAAEAIAAAACgBAABkcnMvZTJvRG9jLnhtbFBLBQYAAAAABgAGAFkBAAC2&#10;BQAAAAA=&#10;">
                <v:fill on="t" focussize="0,0"/>
                <v:stroke weight="0.5pt" color="#000000" joinstyle="round"/>
                <v:imagedata o:title=""/>
                <o:lock v:ext="edit" aspectratio="f"/>
                <v:textbox>
                  <w:txbxContent>
                    <w:p w14:paraId="24E39356">
                      <w:pPr>
                        <w:jc w:val="center"/>
                        <w:rPr>
                          <w:rFonts w:hint="default" w:eastAsia="宋体"/>
                          <w:lang w:val="en-US" w:eastAsia="zh-CN"/>
                        </w:rPr>
                      </w:pPr>
                      <w:r>
                        <w:rPr>
                          <w:rFonts w:hint="eastAsia"/>
                          <w:lang w:val="en-US" w:eastAsia="zh-CN"/>
                        </w:rPr>
                        <w:t>空厂房</w:t>
                      </w:r>
                    </w:p>
                  </w:txbxContent>
                </v:textbox>
              </v:rect>
            </w:pict>
          </mc:Fallback>
        </mc:AlternateContent>
      </w:r>
      <w:r>
        <mc:AlternateContent>
          <mc:Choice Requires="wps">
            <w:drawing>
              <wp:anchor distT="0" distB="0" distL="0" distR="0" simplePos="0" relativeHeight="251659264" behindDoc="0" locked="0" layoutInCell="1" allowOverlap="1">
                <wp:simplePos x="0" y="0"/>
                <wp:positionH relativeFrom="column">
                  <wp:posOffset>3030220</wp:posOffset>
                </wp:positionH>
                <wp:positionV relativeFrom="paragraph">
                  <wp:posOffset>2286635</wp:posOffset>
                </wp:positionV>
                <wp:extent cx="1488440" cy="1341755"/>
                <wp:effectExtent l="13970" t="13970" r="21590" b="15875"/>
                <wp:wrapNone/>
                <wp:docPr id="1055" name="矩形 34"/>
                <wp:cNvGraphicFramePr/>
                <a:graphic xmlns:a="http://schemas.openxmlformats.org/drawingml/2006/main">
                  <a:graphicData uri="http://schemas.microsoft.com/office/word/2010/wordprocessingShape">
                    <wps:wsp>
                      <wps:cNvSpPr/>
                      <wps:spPr>
                        <a:xfrm>
                          <a:off x="0" y="0"/>
                          <a:ext cx="1488439" cy="1341755"/>
                        </a:xfrm>
                        <a:prstGeom prst="rect">
                          <a:avLst/>
                        </a:prstGeom>
                        <a:ln w="28575" cap="flat" cmpd="sng">
                          <a:solidFill>
                            <a:srgbClr val="FFFF00"/>
                          </a:solidFill>
                          <a:prstDash val="solid"/>
                          <a:miter/>
                        </a:ln>
                      </wps:spPr>
                      <wps:bodyPr/>
                    </wps:wsp>
                  </a:graphicData>
                </a:graphic>
              </wp:anchor>
            </w:drawing>
          </mc:Choice>
          <mc:Fallback>
            <w:pict>
              <v:rect id="矩形 34" o:spid="_x0000_s1026" o:spt="1" style="position:absolute;left:0pt;margin-left:238.6pt;margin-top:180.05pt;height:105.65pt;width:117.2pt;z-index:251659264;mso-width-relative:page;mso-height-relative:page;" filled="f" stroked="t" coordsize="21600,21600" o:gfxdata="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DeYAF/ZAAAACwEAAA8AAAAAAAAAAQAgAAAA&#10;IgAAAGRycy9kb3ducmV2LnhtbFBLAQIUABQAAAAIAIdO4kDdLPde0QEAAJADAAAOAAAAAAAAAAEA&#10;IAAAACgBAABkcnMvZTJvRG9jLnhtbFBLBQYAAAAABgAGAFkBAABrBQAAAAA=&#10;">
                <v:fill on="f" focussize="0,0"/>
                <v:stroke weight="2.25pt" color="#FFFF00" joinstyle="miter"/>
                <v:imagedata o:title=""/>
                <o:lock v:ext="edit" aspectratio="f"/>
              </v:rect>
            </w:pict>
          </mc:Fallback>
        </mc:AlternateContent>
      </w:r>
      <w:r>
        <w:rPr>
          <w:sz w:val="24"/>
        </w:rPr>
        <mc:AlternateContent>
          <mc:Choice Requires="wps">
            <w:drawing>
              <wp:anchor distT="0" distB="0" distL="0" distR="0" simplePos="0" relativeHeight="251659264" behindDoc="0" locked="0" layoutInCell="1" allowOverlap="1">
                <wp:simplePos x="0" y="0"/>
                <wp:positionH relativeFrom="column">
                  <wp:posOffset>5601970</wp:posOffset>
                </wp:positionH>
                <wp:positionV relativeFrom="paragraph">
                  <wp:posOffset>2033905</wp:posOffset>
                </wp:positionV>
                <wp:extent cx="758190" cy="321310"/>
                <wp:effectExtent l="4445" t="4445" r="18415" b="17145"/>
                <wp:wrapNone/>
                <wp:docPr id="1056" name="文本框 46"/>
                <wp:cNvGraphicFramePr/>
                <a:graphic xmlns:a="http://schemas.openxmlformats.org/drawingml/2006/main">
                  <a:graphicData uri="http://schemas.microsoft.com/office/word/2010/wordprocessingShape">
                    <wps:wsp>
                      <wps:cNvSpPr/>
                      <wps:spPr>
                        <a:xfrm>
                          <a:off x="0" y="0"/>
                          <a:ext cx="758189" cy="321310"/>
                        </a:xfrm>
                        <a:prstGeom prst="rect">
                          <a:avLst/>
                        </a:prstGeom>
                        <a:solidFill>
                          <a:srgbClr val="FFFFFF"/>
                        </a:solidFill>
                        <a:ln w="6350" cap="flat" cmpd="sng">
                          <a:solidFill>
                            <a:srgbClr val="000000"/>
                          </a:solidFill>
                          <a:prstDash val="solid"/>
                          <a:round/>
                        </a:ln>
                      </wps:spPr>
                      <wps:txbx>
                        <w:txbxContent>
                          <w:p w14:paraId="74E5E490">
                            <w:pPr>
                              <w:jc w:val="center"/>
                              <w:rPr>
                                <w:rFonts w:hint="default" w:eastAsia="宋体"/>
                                <w:lang w:val="en-US" w:eastAsia="zh-CN"/>
                              </w:rPr>
                            </w:pPr>
                            <w:r>
                              <w:rPr>
                                <w:rFonts w:hint="eastAsia"/>
                                <w:lang w:val="en-US" w:eastAsia="zh-CN"/>
                              </w:rPr>
                              <w:t>空厂房</w:t>
                            </w:r>
                          </w:p>
                          <w:p w14:paraId="0DC1C261">
                            <w:pPr>
                              <w:jc w:val="center"/>
                              <w:rPr>
                                <w:rFonts w:hint="eastAsia" w:eastAsia="宋体"/>
                                <w:sz w:val="24"/>
                                <w:szCs w:val="24"/>
                                <w:lang w:val="en-US" w:eastAsia="zh-CN"/>
                              </w:rPr>
                            </w:pPr>
                          </w:p>
                        </w:txbxContent>
                      </wps:txbx>
                      <wps:bodyPr vert="horz" wrap="square" lIns="91440" tIns="45720" rIns="91440" bIns="45720" anchor="t">
                        <a:noAutofit/>
                      </wps:bodyPr>
                    </wps:wsp>
                  </a:graphicData>
                </a:graphic>
              </wp:anchor>
            </w:drawing>
          </mc:Choice>
          <mc:Fallback>
            <w:pict>
              <v:rect id="文本框 46" o:spid="_x0000_s1026" o:spt="1" style="position:absolute;left:0pt;margin-left:441.1pt;margin-top:160.15pt;height:25.3pt;width:59.7pt;z-index:251659264;mso-width-relative:page;mso-height-relative:page;" fillcolor="#FFFFFF" filled="t" stroked="t" coordsize="21600,21600" o:gfxdata="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BTXyB2AAA&#10;AAwBAAAPAAAAAAAAAAEAIAAAACIAAABkcnMvZG93bnJldi54bWxQSwECFAAUAAAACACHTuJAJGLh&#10;IB4CAABCBAAADgAAAAAAAAABACAAAAAnAQAAZHJzL2Uyb0RvYy54bWxQSwUGAAAAAAYABgBZAQAA&#10;twUAAAAA&#10;">
                <v:fill on="t" focussize="0,0"/>
                <v:stroke weight="0.5pt" color="#000000" joinstyle="round"/>
                <v:imagedata o:title=""/>
                <o:lock v:ext="edit" aspectratio="f"/>
                <v:textbox>
                  <w:txbxContent>
                    <w:p w14:paraId="74E5E490">
                      <w:pPr>
                        <w:jc w:val="center"/>
                        <w:rPr>
                          <w:rFonts w:hint="default" w:eastAsia="宋体"/>
                          <w:lang w:val="en-US" w:eastAsia="zh-CN"/>
                        </w:rPr>
                      </w:pPr>
                      <w:r>
                        <w:rPr>
                          <w:rFonts w:hint="eastAsia"/>
                          <w:lang w:val="en-US" w:eastAsia="zh-CN"/>
                        </w:rPr>
                        <w:t>空厂房</w:t>
                      </w:r>
                    </w:p>
                    <w:p w14:paraId="0DC1C261">
                      <w:pPr>
                        <w:jc w:val="center"/>
                        <w:rPr>
                          <w:rFonts w:hint="eastAsia" w:eastAsia="宋体"/>
                          <w:sz w:val="24"/>
                          <w:szCs w:val="24"/>
                          <w:lang w:val="en-US" w:eastAsia="zh-CN"/>
                        </w:rPr>
                      </w:pPr>
                    </w:p>
                  </w:txbxContent>
                </v:textbox>
              </v:rect>
            </w:pict>
          </mc:Fallback>
        </mc:AlternateContent>
      </w:r>
      <w:r>
        <w:drawing>
          <wp:inline distT="0" distB="0" distL="0" distR="0">
            <wp:extent cx="10733405" cy="7734935"/>
            <wp:effectExtent l="0" t="0" r="10795" b="18415"/>
            <wp:docPr id="1057" name="图片 73" descr="粤联昌 四至图"/>
            <wp:cNvGraphicFramePr/>
            <a:graphic xmlns:a="http://schemas.openxmlformats.org/drawingml/2006/main">
              <a:graphicData uri="http://schemas.openxmlformats.org/drawingml/2006/picture">
                <pic:pic xmlns:pic="http://schemas.openxmlformats.org/drawingml/2006/picture">
                  <pic:nvPicPr>
                    <pic:cNvPr id="1057" name="图片 73" descr="粤联昌 四至图"/>
                    <pic:cNvPicPr/>
                  </pic:nvPicPr>
                  <pic:blipFill>
                    <a:blip r:embed="rId35" cstate="print"/>
                    <a:srcRect/>
                    <a:stretch>
                      <a:fillRect/>
                    </a:stretch>
                  </pic:blipFill>
                  <pic:spPr>
                    <a:xfrm>
                      <a:off x="0" y="0"/>
                      <a:ext cx="10733405" cy="7734935"/>
                    </a:xfrm>
                    <a:prstGeom prst="rect">
                      <a:avLst/>
                    </a:prstGeom>
                  </pic:spPr>
                </pic:pic>
              </a:graphicData>
            </a:graphic>
          </wp:inline>
        </w:drawing>
      </w:r>
      <w:r>
        <mc:AlternateContent>
          <mc:Choice Requires="wps">
            <w:drawing>
              <wp:anchor distT="0" distB="0" distL="0" distR="0" simplePos="0" relativeHeight="251659264" behindDoc="0" locked="0" layoutInCell="1" allowOverlap="1">
                <wp:simplePos x="0" y="0"/>
                <wp:positionH relativeFrom="column">
                  <wp:posOffset>4740275</wp:posOffset>
                </wp:positionH>
                <wp:positionV relativeFrom="paragraph">
                  <wp:posOffset>2745740</wp:posOffset>
                </wp:positionV>
                <wp:extent cx="2440305" cy="1289685"/>
                <wp:effectExtent l="6350" t="6350" r="10795" b="18415"/>
                <wp:wrapNone/>
                <wp:docPr id="1058" name="矩形 71"/>
                <wp:cNvGraphicFramePr/>
                <a:graphic xmlns:a="http://schemas.openxmlformats.org/drawingml/2006/main">
                  <a:graphicData uri="http://schemas.microsoft.com/office/word/2010/wordprocessingShape">
                    <wps:wsp>
                      <wps:cNvSpPr/>
                      <wps:spPr>
                        <a:xfrm>
                          <a:off x="0" y="0"/>
                          <a:ext cx="2440305" cy="1289685"/>
                        </a:xfrm>
                        <a:prstGeom prst="rect">
                          <a:avLst/>
                        </a:prstGeom>
                        <a:solidFill>
                          <a:srgbClr val="FF0000">
                            <a:alpha val="48000"/>
                          </a:srgbClr>
                        </a:solidFill>
                        <a:ln w="12700" cap="flat" cmpd="sng">
                          <a:solidFill>
                            <a:srgbClr val="FF0000"/>
                          </a:solidFill>
                          <a:prstDash val="solid"/>
                          <a:miter/>
                        </a:ln>
                      </wps:spPr>
                      <wps:bodyPr/>
                    </wps:wsp>
                  </a:graphicData>
                </a:graphic>
              </wp:anchor>
            </w:drawing>
          </mc:Choice>
          <mc:Fallback>
            <w:pict>
              <v:rect id="矩形 71" o:spid="_x0000_s1026" o:spt="1" style="position:absolute;left:0pt;margin-left:373.25pt;margin-top:216.2pt;height:101.55pt;width:192.15pt;z-index:251659264;mso-width-relative:page;mso-height-relative:page;" fillcolor="#FF0000" filled="t" stroked="t" coordsize="21600,21600" o:gfxdata="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i1Blg&#10;2QAAAAwBAAAPAAAAAAAAAAEAIAAAACIAAABkcnMvZG93bnJldi54bWxQSwECFAAUAAAACACHTuJA&#10;RSVyiecBAADlAwAADgAAAAAAAAABACAAAAAoAQAAZHJzL2Uyb0RvYy54bWxQSwUGAAAAAAYABgBZ&#10;AQAAgQUAAAAA&#10;">
                <v:fill on="t" opacity="31457f" focussize="0,0"/>
                <v:stroke weight="1pt" color="#FF0000" joinstyle="miter"/>
                <v:imagedata o:title=""/>
                <o:lock v:ext="edit" aspectratio="f"/>
              </v:rect>
            </w:pict>
          </mc:Fallback>
        </mc:AlternateContent>
      </w:r>
      <w:r>
        <mc:AlternateContent>
          <mc:Choice Requires="wps">
            <w:drawing>
              <wp:anchor distT="0" distB="0" distL="0" distR="0" simplePos="0" relativeHeight="251659264" behindDoc="0" locked="0" layoutInCell="1" allowOverlap="1">
                <wp:simplePos x="0" y="0"/>
                <wp:positionH relativeFrom="column">
                  <wp:posOffset>4719955</wp:posOffset>
                </wp:positionH>
                <wp:positionV relativeFrom="paragraph">
                  <wp:posOffset>1637030</wp:posOffset>
                </wp:positionV>
                <wp:extent cx="2463800" cy="1037590"/>
                <wp:effectExtent l="13970" t="14605" r="17780" b="14605"/>
                <wp:wrapNone/>
                <wp:docPr id="1059" name="矩形 44"/>
                <wp:cNvGraphicFramePr/>
                <a:graphic xmlns:a="http://schemas.openxmlformats.org/drawingml/2006/main">
                  <a:graphicData uri="http://schemas.microsoft.com/office/word/2010/wordprocessingShape">
                    <wps:wsp>
                      <wps:cNvSpPr/>
                      <wps:spPr>
                        <a:xfrm>
                          <a:off x="0" y="0"/>
                          <a:ext cx="2463800" cy="1037590"/>
                        </a:xfrm>
                        <a:prstGeom prst="rect">
                          <a:avLst/>
                        </a:prstGeom>
                        <a:ln w="28575" cap="flat" cmpd="sng">
                          <a:solidFill>
                            <a:srgbClr val="FFFF00"/>
                          </a:solidFill>
                          <a:prstDash val="solid"/>
                          <a:miter/>
                        </a:ln>
                      </wps:spPr>
                      <wps:bodyPr/>
                    </wps:wsp>
                  </a:graphicData>
                </a:graphic>
              </wp:anchor>
            </w:drawing>
          </mc:Choice>
          <mc:Fallback>
            <w:pict>
              <v:rect id="矩形 44" o:spid="_x0000_s1026" o:spt="1" style="position:absolute;left:0pt;margin-left:371.65pt;margin-top:128.9pt;height:81.7pt;width:194pt;z-index:251659264;mso-width-relative:page;mso-height-relative:page;" filled="f" stroked="t" coordsize="21600,21600" o:gfxdata="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JwkyytkAAAAMAQAADwAAAAAAAAABACAAAAAi&#10;AAAAZHJzL2Rvd25yZXYueG1sUEsBAhQAFAAAAAgAh07iQMFYxG/QAQAAkAMAAA4AAAAAAAAAAQAg&#10;AAAAKAEAAGRycy9lMm9Eb2MueG1sUEsFBgAAAAAGAAYAWQEAAGoFAAAAAA==&#10;">
                <v:fill on="f" focussize="0,0"/>
                <v:stroke weight="2.25pt" color="#FFFF00" joinstyle="miter"/>
                <v:imagedata o:title=""/>
                <o:lock v:ext="edit" aspectratio="f"/>
              </v:rect>
            </w:pict>
          </mc:Fallback>
        </mc:AlternateContent>
      </w:r>
    </w:p>
    <w:p w14:paraId="00D4A8E8">
      <w:pPr>
        <w:pStyle w:val="43"/>
        <w:numPr>
          <w:ilvl w:val="0"/>
          <w:numId w:val="0"/>
        </w:numPr>
        <w:adjustRightInd/>
        <w:spacing w:line="240" w:lineRule="auto"/>
        <w:ind w:left="0" w:leftChars="0" w:firstLine="397" w:firstLineChars="0"/>
        <w:jc w:val="left"/>
        <w:textAlignment w:val="auto"/>
        <w:outlineLvl w:val="0"/>
        <w:rPr>
          <w:rFonts w:hint="default" w:ascii="Times New Roman" w:hAnsi="Times New Roman" w:eastAsia="宋体" w:cs="Times New Roman"/>
          <w:b/>
          <w:bCs/>
          <w:color w:val="auto"/>
          <w:sz w:val="24"/>
          <w:szCs w:val="24"/>
          <w:highlight w:val="none"/>
        </w:rPr>
      </w:pPr>
      <w:bookmarkStart w:id="128" w:name="_Toc11926"/>
      <w:bookmarkStart w:id="129" w:name="_Toc15397"/>
      <w:r>
        <w:rPr>
          <w:rFonts w:hint="eastAsia" w:ascii="Times New Roman" w:hAnsi="Times New Roman" w:eastAsia="宋体" w:cs="Times New Roman"/>
          <w:b w:val="0"/>
          <w:bCs w:val="0"/>
          <w:color w:val="auto"/>
          <w:highlight w:val="none"/>
          <w:lang w:eastAsia="zh-CN"/>
        </w:rPr>
        <w:drawing>
          <wp:anchor distT="0" distB="0" distL="0" distR="0" simplePos="0" relativeHeight="251659264" behindDoc="0" locked="0" layoutInCell="1" allowOverlap="1">
            <wp:simplePos x="0" y="0"/>
            <wp:positionH relativeFrom="column">
              <wp:posOffset>8124825</wp:posOffset>
            </wp:positionH>
            <wp:positionV relativeFrom="paragraph">
              <wp:posOffset>29845</wp:posOffset>
            </wp:positionV>
            <wp:extent cx="383540" cy="403225"/>
            <wp:effectExtent l="0" t="0" r="16510" b="15875"/>
            <wp:wrapNone/>
            <wp:docPr id="1060" name="图片 102" descr="指北针"/>
            <wp:cNvGraphicFramePr/>
            <a:graphic xmlns:a="http://schemas.openxmlformats.org/drawingml/2006/main">
              <a:graphicData uri="http://schemas.openxmlformats.org/drawingml/2006/picture">
                <pic:pic xmlns:pic="http://schemas.openxmlformats.org/drawingml/2006/picture">
                  <pic:nvPicPr>
                    <pic:cNvPr id="1060" name="图片 102" descr="指北针"/>
                    <pic:cNvPicPr/>
                  </pic:nvPicPr>
                  <pic:blipFill>
                    <a:blip r:embed="rId32" cstate="print"/>
                    <a:srcRect/>
                    <a:stretch>
                      <a:fillRect/>
                    </a:stretch>
                  </pic:blipFill>
                  <pic:spPr>
                    <a:xfrm>
                      <a:off x="0" y="0"/>
                      <a:ext cx="383540" cy="403225"/>
                    </a:xfrm>
                    <a:prstGeom prst="rect">
                      <a:avLst/>
                    </a:prstGeom>
                  </pic:spPr>
                </pic:pic>
              </a:graphicData>
            </a:graphic>
          </wp:anchor>
        </w:drawing>
      </w:r>
      <w:r>
        <w:rPr>
          <w:rFonts w:hint="default" w:ascii="Times New Roman" w:hAnsi="Times New Roman" w:eastAsia="宋体" w:cs="Times New Roman"/>
          <w:b/>
          <w:bCs/>
          <w:color w:val="auto"/>
          <w:kern w:val="0"/>
          <w:sz w:val="24"/>
          <w:szCs w:val="24"/>
          <w:highlight w:val="none"/>
          <w:lang w:val="en-US" w:eastAsia="zh-CN" w:bidi="ar-SA"/>
        </w:rPr>
        <w:t>附图3</w:t>
      </w:r>
      <w:r>
        <w:rPr>
          <w:rFonts w:hint="default" w:ascii="Times New Roman" w:hAnsi="Times New Roman" w:eastAsia="宋体" w:cs="Times New Roman"/>
          <w:b/>
          <w:bCs/>
          <w:color w:val="auto"/>
          <w:sz w:val="24"/>
          <w:szCs w:val="24"/>
          <w:highlight w:val="none"/>
        </w:rPr>
        <w:t>平面布置图</w:t>
      </w:r>
      <w:bookmarkEnd w:id="128"/>
      <w:bookmarkEnd w:id="129"/>
    </w:p>
    <w:p w14:paraId="403A4691">
      <w:pPr>
        <w:bidi w:val="0"/>
        <w:rPr>
          <w:rFonts w:hint="default"/>
        </w:rPr>
      </w:pPr>
    </w:p>
    <w:p w14:paraId="3F33ACBD">
      <w:pPr>
        <w:bidi w:val="0"/>
        <w:jc w:val="center"/>
        <w:rPr>
          <w:rFonts w:hint="default" w:ascii="Times New Roman" w:hAnsi="Times New Roman" w:cs="Times New Roman"/>
          <w:color w:val="auto"/>
          <w:highlight w:val="none"/>
        </w:rPr>
        <w:sectPr>
          <w:pgSz w:w="16838" w:h="11906" w:orient="landscape"/>
          <w:pgMar w:top="1417" w:right="1417" w:bottom="1134" w:left="1559" w:header="851" w:footer="624" w:gutter="0"/>
          <w:pgBorders>
            <w:top w:val="none" w:sz="0" w:space="0"/>
            <w:left w:val="none" w:sz="0" w:space="0"/>
            <w:bottom w:val="none" w:sz="0" w:space="0"/>
            <w:right w:val="none" w:sz="0" w:space="0"/>
          </w:pgBorders>
          <w:pgNumType w:fmt="decimal"/>
          <w:cols w:space="720" w:num="1"/>
          <w:docGrid w:type="lines" w:linePitch="312" w:charSpace="0"/>
        </w:sectPr>
      </w:pPr>
      <w:r>
        <w:drawing>
          <wp:inline distT="0" distB="0" distL="0" distR="0">
            <wp:extent cx="8796655" cy="4354195"/>
            <wp:effectExtent l="0" t="0" r="0" b="8255"/>
            <wp:docPr id="1061" name="图片 1"/>
            <wp:cNvGraphicFramePr/>
            <a:graphic xmlns:a="http://schemas.openxmlformats.org/drawingml/2006/main">
              <a:graphicData uri="http://schemas.openxmlformats.org/drawingml/2006/picture">
                <pic:pic xmlns:pic="http://schemas.openxmlformats.org/drawingml/2006/picture">
                  <pic:nvPicPr>
                    <pic:cNvPr id="1061" name="图片 1"/>
                    <pic:cNvPicPr/>
                  </pic:nvPicPr>
                  <pic:blipFill>
                    <a:blip r:embed="rId36" cstate="print"/>
                    <a:srcRect/>
                    <a:stretch>
                      <a:fillRect/>
                    </a:stretch>
                  </pic:blipFill>
                  <pic:spPr>
                    <a:xfrm>
                      <a:off x="0" y="0"/>
                      <a:ext cx="8796655" cy="4354195"/>
                    </a:xfrm>
                    <a:prstGeom prst="rect">
                      <a:avLst/>
                    </a:prstGeom>
                    <a:ln>
                      <a:noFill/>
                    </a:ln>
                  </pic:spPr>
                </pic:pic>
              </a:graphicData>
            </a:graphic>
          </wp:inline>
        </w:drawing>
      </w:r>
    </w:p>
    <w:p w14:paraId="66566EB1">
      <w:pPr>
        <w:pStyle w:val="43"/>
        <w:numPr>
          <w:ilvl w:val="0"/>
          <w:numId w:val="0"/>
        </w:numPr>
        <w:adjustRightInd/>
        <w:spacing w:line="240" w:lineRule="auto"/>
        <w:ind w:left="0" w:leftChars="0" w:firstLine="397" w:firstLineChars="0"/>
        <w:jc w:val="left"/>
        <w:textAlignment w:val="auto"/>
        <w:outlineLvl w:val="0"/>
        <w:rPr>
          <w:rFonts w:hint="default" w:ascii="Times New Roman" w:hAnsi="Times New Roman" w:eastAsia="宋体" w:cs="Times New Roman"/>
          <w:b/>
          <w:bCs/>
          <w:color w:val="auto"/>
          <w:sz w:val="24"/>
          <w:szCs w:val="24"/>
          <w:highlight w:val="none"/>
          <w:lang w:eastAsia="zh-CN"/>
        </w:rPr>
      </w:pPr>
      <w:bookmarkStart w:id="130" w:name="_Toc30205"/>
      <w:bookmarkStart w:id="131" w:name="_Toc31546"/>
      <w:bookmarkStart w:id="132" w:name="_Toc16804"/>
      <w:r>
        <w:rPr>
          <w:rFonts w:hint="default" w:ascii="Times New Roman" w:hAnsi="Times New Roman" w:eastAsia="宋体" w:cs="Times New Roman"/>
          <w:b/>
          <w:bCs/>
          <w:color w:val="auto"/>
          <w:kern w:val="0"/>
          <w:sz w:val="24"/>
          <w:szCs w:val="24"/>
          <w:highlight w:val="none"/>
          <w:lang w:val="en-US" w:eastAsia="zh-CN" w:bidi="ar-SA"/>
        </w:rPr>
        <w:t xml:space="preserve">附图4 </w:t>
      </w:r>
      <w:r>
        <w:rPr>
          <w:rFonts w:hint="default" w:ascii="Times New Roman" w:hAnsi="Times New Roman" w:eastAsia="宋体" w:cs="Times New Roman"/>
          <w:b/>
          <w:bCs/>
          <w:color w:val="auto"/>
          <w:sz w:val="24"/>
          <w:szCs w:val="24"/>
          <w:highlight w:val="none"/>
          <w:lang w:eastAsia="zh-CN"/>
        </w:rPr>
        <w:t>环境保护目标分布图</w:t>
      </w:r>
      <w:bookmarkEnd w:id="130"/>
      <w:bookmarkEnd w:id="131"/>
      <w:bookmarkEnd w:id="132"/>
    </w:p>
    <w:p w14:paraId="085FFEB1">
      <w:pPr>
        <w:pStyle w:val="2"/>
        <w:jc w:val="center"/>
        <w:rPr>
          <w:rFonts w:hint="default" w:ascii="Times New Roman" w:hAnsi="Times New Roman" w:eastAsia="宋体" w:cs="Times New Roman"/>
          <w:b/>
          <w:bCs/>
          <w:color w:val="auto"/>
          <w:kern w:val="0"/>
          <w:sz w:val="24"/>
          <w:szCs w:val="24"/>
          <w:highlight w:val="none"/>
          <w:lang w:val="en-US" w:eastAsia="zh-CN" w:bidi="ar-SA"/>
        </w:rPr>
      </w:pPr>
      <w:r>
        <w:rPr>
          <w:rFonts w:hint="default" w:ascii="Times New Roman" w:hAnsi="Times New Roman" w:cs="Times New Roman"/>
          <w:color w:val="auto"/>
          <w:sz w:val="24"/>
          <w:highlight w:val="none"/>
        </w:rPr>
        <mc:AlternateContent>
          <mc:Choice Requires="wps">
            <w:drawing>
              <wp:anchor distT="0" distB="0" distL="0" distR="0" simplePos="0" relativeHeight="251659264" behindDoc="0" locked="0" layoutInCell="1" allowOverlap="1">
                <wp:simplePos x="0" y="0"/>
                <wp:positionH relativeFrom="column">
                  <wp:posOffset>1664970</wp:posOffset>
                </wp:positionH>
                <wp:positionV relativeFrom="paragraph">
                  <wp:posOffset>78105</wp:posOffset>
                </wp:positionV>
                <wp:extent cx="1226820" cy="1003300"/>
                <wp:effectExtent l="4445" t="4445" r="6985" b="20955"/>
                <wp:wrapNone/>
                <wp:docPr id="1068" name="文本框 95"/>
                <wp:cNvGraphicFramePr/>
                <a:graphic xmlns:a="http://schemas.openxmlformats.org/drawingml/2006/main">
                  <a:graphicData uri="http://schemas.microsoft.com/office/word/2010/wordprocessingShape">
                    <wps:wsp>
                      <wps:cNvSpPr/>
                      <wps:spPr>
                        <a:xfrm>
                          <a:off x="0" y="0"/>
                          <a:ext cx="1226820" cy="1003300"/>
                        </a:xfrm>
                        <a:prstGeom prst="rect">
                          <a:avLst/>
                        </a:prstGeom>
                        <a:solidFill>
                          <a:srgbClr val="BFBFBF"/>
                        </a:solidFill>
                        <a:ln w="6350" cap="flat" cmpd="sng">
                          <a:solidFill>
                            <a:srgbClr val="000000"/>
                          </a:solidFill>
                          <a:prstDash val="solid"/>
                          <a:round/>
                        </a:ln>
                      </wps:spPr>
                      <wps:txbx>
                        <w:txbxContent>
                          <w:p w14:paraId="0C9EBD2E">
                            <w:pPr>
                              <w:rPr>
                                <w:rFonts w:hint="eastAsia"/>
                                <w:lang w:val="en-US" w:eastAsia="zh-CN"/>
                              </w:rPr>
                            </w:pPr>
                            <w:r>
                              <w:rPr>
                                <w:rFonts w:hint="eastAsia"/>
                                <w:lang w:val="en-US" w:eastAsia="zh-CN"/>
                              </w:rPr>
                              <w:t>图例</w:t>
                            </w:r>
                          </w:p>
                          <w:p w14:paraId="66F0017E">
                            <w:pPr>
                              <w:rPr>
                                <w:rFonts w:hint="eastAsia"/>
                                <w:lang w:val="en-US" w:eastAsia="zh-CN"/>
                              </w:rPr>
                            </w:pPr>
                            <w:r>
                              <w:rPr>
                                <w:rFonts w:hint="eastAsia"/>
                                <w:lang w:val="en-US" w:eastAsia="zh-CN"/>
                              </w:rPr>
                              <w:t>500m范围：</w:t>
                            </w:r>
                          </w:p>
                          <w:p w14:paraId="437F80C2">
                            <w:pPr>
                              <w:rPr>
                                <w:rFonts w:hint="default"/>
                                <w:lang w:val="en-US" w:eastAsia="zh-CN"/>
                              </w:rPr>
                            </w:pPr>
                            <w:r>
                              <w:rPr>
                                <w:rFonts w:hint="eastAsia"/>
                                <w:lang w:val="en-US" w:eastAsia="zh-CN"/>
                              </w:rPr>
                              <w:t>项目红线：</w:t>
                            </w:r>
                          </w:p>
                        </w:txbxContent>
                      </wps:txbx>
                      <wps:bodyPr vert="horz" wrap="square" lIns="91440" tIns="45720" rIns="91440" bIns="45720" anchor="t">
                        <a:noAutofit/>
                      </wps:bodyPr>
                    </wps:wsp>
                  </a:graphicData>
                </a:graphic>
              </wp:anchor>
            </w:drawing>
          </mc:Choice>
          <mc:Fallback>
            <w:pict>
              <v:rect id="文本框 95" o:spid="_x0000_s1026" o:spt="1" style="position:absolute;left:0pt;margin-left:131.1pt;margin-top:6.15pt;height:79pt;width:96.6pt;z-index:251659264;mso-width-relative:page;mso-height-relative:page;" fillcolor="#BFBFBF" filled="t" stroked="t" coordsize="21600,21600" o:gfxdata="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KoWYkdkA&#10;AAAKAQAADwAAAAAAAAABACAAAAAiAAAAZHJzL2Rvd25yZXYueG1sUEsBAhQAFAAAAAgAh07iQFUa&#10;g+EeAgAARAQAAA4AAAAAAAAAAQAgAAAAKAEAAGRycy9lMm9Eb2MueG1sUEsFBgAAAAAGAAYAWQEA&#10;ALgFAAAAAA==&#10;">
                <v:fill on="t" focussize="0,0"/>
                <v:stroke weight="0.5pt" color="#000000" joinstyle="round"/>
                <v:imagedata o:title=""/>
                <o:lock v:ext="edit" aspectratio="f"/>
                <v:textbox>
                  <w:txbxContent>
                    <w:p w14:paraId="0C9EBD2E">
                      <w:pPr>
                        <w:rPr>
                          <w:rFonts w:hint="eastAsia"/>
                          <w:lang w:val="en-US" w:eastAsia="zh-CN"/>
                        </w:rPr>
                      </w:pPr>
                      <w:r>
                        <w:rPr>
                          <w:rFonts w:hint="eastAsia"/>
                          <w:lang w:val="en-US" w:eastAsia="zh-CN"/>
                        </w:rPr>
                        <w:t>图例</w:t>
                      </w:r>
                    </w:p>
                    <w:p w14:paraId="66F0017E">
                      <w:pPr>
                        <w:rPr>
                          <w:rFonts w:hint="eastAsia"/>
                          <w:lang w:val="en-US" w:eastAsia="zh-CN"/>
                        </w:rPr>
                      </w:pPr>
                      <w:r>
                        <w:rPr>
                          <w:rFonts w:hint="eastAsia"/>
                          <w:lang w:val="en-US" w:eastAsia="zh-CN"/>
                        </w:rPr>
                        <w:t>500m范围：</w:t>
                      </w:r>
                    </w:p>
                    <w:p w14:paraId="437F80C2">
                      <w:pPr>
                        <w:rPr>
                          <w:rFonts w:hint="default"/>
                          <w:lang w:val="en-US" w:eastAsia="zh-CN"/>
                        </w:rPr>
                      </w:pPr>
                      <w:r>
                        <w:rPr>
                          <w:rFonts w:hint="eastAsia"/>
                          <w:lang w:val="en-US" w:eastAsia="zh-CN"/>
                        </w:rPr>
                        <w:t>项目红线：</w:t>
                      </w:r>
                    </w:p>
                  </w:txbxContent>
                </v:textbox>
              </v:rect>
            </w:pict>
          </mc:Fallback>
        </mc:AlternateContent>
      </w:r>
      <w:r>
        <w:rPr>
          <w:sz w:val="24"/>
        </w:rPr>
        <mc:AlternateContent>
          <mc:Choice Requires="wps">
            <w:drawing>
              <wp:anchor distT="0" distB="0" distL="0" distR="0" simplePos="0" relativeHeight="251659264" behindDoc="0" locked="0" layoutInCell="1" allowOverlap="1">
                <wp:simplePos x="0" y="0"/>
                <wp:positionH relativeFrom="column">
                  <wp:posOffset>5226050</wp:posOffset>
                </wp:positionH>
                <wp:positionV relativeFrom="paragraph">
                  <wp:posOffset>1351915</wp:posOffset>
                </wp:positionV>
                <wp:extent cx="791210" cy="275590"/>
                <wp:effectExtent l="5080" t="4445" r="22860" b="5715"/>
                <wp:wrapNone/>
                <wp:docPr id="1062" name="文本框 36"/>
                <wp:cNvGraphicFramePr/>
                <a:graphic xmlns:a="http://schemas.openxmlformats.org/drawingml/2006/main">
                  <a:graphicData uri="http://schemas.microsoft.com/office/word/2010/wordprocessingShape">
                    <wps:wsp>
                      <wps:cNvSpPr/>
                      <wps:spPr>
                        <a:xfrm>
                          <a:off x="0" y="0"/>
                          <a:ext cx="791209" cy="275589"/>
                        </a:xfrm>
                        <a:prstGeom prst="rect">
                          <a:avLst/>
                        </a:prstGeom>
                        <a:solidFill>
                          <a:srgbClr val="FFFFFF"/>
                        </a:solidFill>
                        <a:ln w="6350" cap="flat" cmpd="sng">
                          <a:solidFill>
                            <a:srgbClr val="000000"/>
                          </a:solidFill>
                          <a:prstDash val="solid"/>
                          <a:round/>
                        </a:ln>
                      </wps:spPr>
                      <wps:txbx>
                        <w:txbxContent>
                          <w:p w14:paraId="3ACAFC55">
                            <w:pPr>
                              <w:keepNext w:val="0"/>
                              <w:keepLines w:val="0"/>
                              <w:pageBreakBefore w:val="0"/>
                              <w:widowControl w:val="0"/>
                              <w:kinsoku/>
                              <w:wordWrap/>
                              <w:overflowPunct/>
                              <w:topLinePunct w:val="0"/>
                              <w:bidi w:val="0"/>
                              <w:adjustRightInd/>
                              <w:snapToGrid/>
                              <w:spacing w:line="240" w:lineRule="auto"/>
                              <w:textAlignment w:val="auto"/>
                              <w:rPr>
                                <w:rFonts w:hint="default" w:eastAsia="宋体"/>
                                <w:sz w:val="21"/>
                                <w:szCs w:val="21"/>
                                <w:lang w:val="en-US" w:eastAsia="zh-CN"/>
                              </w:rPr>
                            </w:pPr>
                            <w:r>
                              <w:rPr>
                                <w:rFonts w:hint="eastAsia"/>
                                <w:sz w:val="21"/>
                                <w:szCs w:val="21"/>
                                <w:lang w:val="en-US" w:eastAsia="zh-CN"/>
                              </w:rPr>
                              <w:t>尚都新城</w:t>
                            </w:r>
                          </w:p>
                        </w:txbxContent>
                      </wps:txbx>
                      <wps:bodyPr vert="horz" wrap="square" lIns="91440" tIns="45720" rIns="91440" bIns="45720" anchor="t">
                        <a:noAutofit/>
                      </wps:bodyPr>
                    </wps:wsp>
                  </a:graphicData>
                </a:graphic>
              </wp:anchor>
            </w:drawing>
          </mc:Choice>
          <mc:Fallback>
            <w:pict>
              <v:rect id="文本框 36" o:spid="_x0000_s1026" o:spt="1" style="position:absolute;left:0pt;margin-left:411.5pt;margin-top:106.45pt;height:21.7pt;width:62.3pt;z-index:251659264;mso-width-relative:page;mso-height-relative:page;" fillcolor="#FFFFFF" filled="t" stroked="t" coordsize="21600,21600" o:gfxdata="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Pz13pbaAAAA&#10;CwEAAA8AAAAAAAAAAQAgAAAAIgAAAGRycy9kb3ducmV2LnhtbFBLAQIUABQAAAAIAIdO4kBXU5EA&#10;GwIAAEIEAAAOAAAAAAAAAAEAIAAAACkBAABkcnMvZTJvRG9jLnhtbFBLBQYAAAAABgAGAFkBAAC2&#10;BQAAAAA=&#10;">
                <v:fill on="t" focussize="0,0"/>
                <v:stroke weight="0.5pt" color="#000000" joinstyle="round"/>
                <v:imagedata o:title=""/>
                <o:lock v:ext="edit" aspectratio="f"/>
                <v:textbox>
                  <w:txbxContent>
                    <w:p w14:paraId="3ACAFC55">
                      <w:pPr>
                        <w:keepNext w:val="0"/>
                        <w:keepLines w:val="0"/>
                        <w:pageBreakBefore w:val="0"/>
                        <w:widowControl w:val="0"/>
                        <w:kinsoku/>
                        <w:wordWrap/>
                        <w:overflowPunct/>
                        <w:topLinePunct w:val="0"/>
                        <w:bidi w:val="0"/>
                        <w:adjustRightInd/>
                        <w:snapToGrid/>
                        <w:spacing w:line="240" w:lineRule="auto"/>
                        <w:textAlignment w:val="auto"/>
                        <w:rPr>
                          <w:rFonts w:hint="default" w:eastAsia="宋体"/>
                          <w:sz w:val="21"/>
                          <w:szCs w:val="21"/>
                          <w:lang w:val="en-US" w:eastAsia="zh-CN"/>
                        </w:rPr>
                      </w:pPr>
                      <w:r>
                        <w:rPr>
                          <w:rFonts w:hint="eastAsia"/>
                          <w:sz w:val="21"/>
                          <w:szCs w:val="21"/>
                          <w:lang w:val="en-US" w:eastAsia="zh-CN"/>
                        </w:rPr>
                        <w:t>尚都新城</w:t>
                      </w:r>
                    </w:p>
                  </w:txbxContent>
                </v:textbox>
              </v:rect>
            </w:pict>
          </mc:Fallback>
        </mc:AlternateContent>
      </w:r>
      <w:r>
        <w:rPr>
          <w:sz w:val="24"/>
        </w:rPr>
        <mc:AlternateContent>
          <mc:Choice Requires="wps">
            <w:drawing>
              <wp:anchor distT="0" distB="0" distL="0" distR="0" simplePos="0" relativeHeight="251659264" behindDoc="0" locked="0" layoutInCell="1" allowOverlap="1">
                <wp:simplePos x="0" y="0"/>
                <wp:positionH relativeFrom="column">
                  <wp:posOffset>4251960</wp:posOffset>
                </wp:positionH>
                <wp:positionV relativeFrom="paragraph">
                  <wp:posOffset>2581910</wp:posOffset>
                </wp:positionV>
                <wp:extent cx="530860" cy="203835"/>
                <wp:effectExtent l="6350" t="6350" r="15240" b="18415"/>
                <wp:wrapNone/>
                <wp:docPr id="1063" name="矩形 33"/>
                <wp:cNvGraphicFramePr/>
                <a:graphic xmlns:a="http://schemas.openxmlformats.org/drawingml/2006/main">
                  <a:graphicData uri="http://schemas.microsoft.com/office/word/2010/wordprocessingShape">
                    <wps:wsp>
                      <wps:cNvSpPr/>
                      <wps:spPr>
                        <a:xfrm>
                          <a:off x="0" y="0"/>
                          <a:ext cx="530859" cy="203835"/>
                        </a:xfrm>
                        <a:prstGeom prst="rect">
                          <a:avLst/>
                        </a:prstGeom>
                        <a:ln w="12700" cap="flat" cmpd="sng">
                          <a:solidFill>
                            <a:srgbClr val="FF0000"/>
                          </a:solidFill>
                          <a:prstDash val="solid"/>
                          <a:miter/>
                        </a:ln>
                      </wps:spPr>
                      <wps:bodyPr/>
                    </wps:wsp>
                  </a:graphicData>
                </a:graphic>
              </wp:anchor>
            </w:drawing>
          </mc:Choice>
          <mc:Fallback>
            <w:pict>
              <v:rect id="矩形 33" o:spid="_x0000_s1026" o:spt="1" style="position:absolute;left:0pt;margin-left:334.8pt;margin-top:203.3pt;height:16.05pt;width:41.8pt;z-index:251659264;mso-width-relative:page;mso-height-relative:page;" filled="f" stroked="t" coordsize="21600,21600" o:gfxdata="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xxeM7NsAAAALAQAADwAAAAAAAAABACAAAAAi&#10;AAAAZHJzL2Rvd25yZXYueG1sUEsBAhQAFAAAAAgAh07iQCRwRWXOAQAAjgMAAA4AAAAAAAAAAQAg&#10;AAAAKgEAAGRycy9lMm9Eb2MueG1sUEsFBgAAAAAGAAYAWQEAAGoFAAAAAA==&#10;">
                <v:fill on="f" focussize="0,0"/>
                <v:stroke weight="1pt" color="#FF0000" joinstyle="miter"/>
                <v:imagedata o:title=""/>
                <o:lock v:ext="edit" aspectratio="f"/>
              </v:rect>
            </w:pict>
          </mc:Fallback>
        </mc:AlternateContent>
      </w:r>
      <w:r>
        <w:rPr>
          <w:sz w:val="24"/>
        </w:rPr>
        <mc:AlternateContent>
          <mc:Choice Requires="wps">
            <w:drawing>
              <wp:anchor distT="0" distB="0" distL="0" distR="0" simplePos="0" relativeHeight="251659264" behindDoc="0" locked="0" layoutInCell="1" allowOverlap="1">
                <wp:simplePos x="0" y="0"/>
                <wp:positionH relativeFrom="column">
                  <wp:posOffset>2500630</wp:posOffset>
                </wp:positionH>
                <wp:positionV relativeFrom="paragraph">
                  <wp:posOffset>762000</wp:posOffset>
                </wp:positionV>
                <wp:extent cx="340360" cy="184150"/>
                <wp:effectExtent l="6350" t="6350" r="15240" b="19050"/>
                <wp:wrapNone/>
                <wp:docPr id="1064" name="矩形 31"/>
                <wp:cNvGraphicFramePr/>
                <a:graphic xmlns:a="http://schemas.openxmlformats.org/drawingml/2006/main">
                  <a:graphicData uri="http://schemas.microsoft.com/office/word/2010/wordprocessingShape">
                    <wps:wsp>
                      <wps:cNvSpPr/>
                      <wps:spPr>
                        <a:xfrm>
                          <a:off x="0" y="0"/>
                          <a:ext cx="340360" cy="184150"/>
                        </a:xfrm>
                        <a:prstGeom prst="rect">
                          <a:avLst/>
                        </a:prstGeom>
                        <a:ln w="12700" cap="flat" cmpd="sng">
                          <a:solidFill>
                            <a:srgbClr val="FF0000"/>
                          </a:solidFill>
                          <a:prstDash val="solid"/>
                          <a:miter/>
                        </a:ln>
                      </wps:spPr>
                      <wps:bodyPr/>
                    </wps:wsp>
                  </a:graphicData>
                </a:graphic>
              </wp:anchor>
            </w:drawing>
          </mc:Choice>
          <mc:Fallback>
            <w:pict>
              <v:rect id="矩形 31" o:spid="_x0000_s1026" o:spt="1" style="position:absolute;left:0pt;margin-left:196.9pt;margin-top:60pt;height:14.5pt;width:26.8pt;z-index:251659264;mso-width-relative:page;mso-height-relative:page;" filled="f" stroked="t" coordsize="21600,21600" o:gfxdata="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AppFrTaAAAACwEAAA8AAAAAAAAAAQAgAAAAIgAA&#10;AGRycy9kb3ducmV2LnhtbFBLAQIUABQAAAAIAIdO4kCmfRvjzQEAAI4DAAAOAAAAAAAAAAEAIAAA&#10;ACkBAABkcnMvZTJvRG9jLnhtbFBLBQYAAAAABgAGAFkBAABoBQAAAAA=&#10;">
                <v:fill on="f" focussize="0,0"/>
                <v:stroke weight="1pt" color="#FF0000" joinstyle="miter"/>
                <v:imagedata o:title=""/>
                <o:lock v:ext="edit" aspectratio="f"/>
              </v:rect>
            </w:pict>
          </mc:Fallback>
        </mc:AlternateContent>
      </w:r>
      <w:r>
        <w:rPr>
          <w:sz w:val="24"/>
        </w:rPr>
        <mc:AlternateContent>
          <mc:Choice Requires="wps">
            <w:drawing>
              <wp:anchor distT="0" distB="0" distL="0" distR="0" simplePos="0" relativeHeight="251659264" behindDoc="0" locked="0" layoutInCell="1" allowOverlap="1">
                <wp:simplePos x="0" y="0"/>
                <wp:positionH relativeFrom="column">
                  <wp:posOffset>4590415</wp:posOffset>
                </wp:positionH>
                <wp:positionV relativeFrom="paragraph">
                  <wp:posOffset>1859280</wp:posOffset>
                </wp:positionV>
                <wp:extent cx="532765" cy="275590"/>
                <wp:effectExtent l="5080" t="4445" r="14605" b="5715"/>
                <wp:wrapNone/>
                <wp:docPr id="1065" name="文本框 6"/>
                <wp:cNvGraphicFramePr/>
                <a:graphic xmlns:a="http://schemas.openxmlformats.org/drawingml/2006/main">
                  <a:graphicData uri="http://schemas.microsoft.com/office/word/2010/wordprocessingShape">
                    <wps:wsp>
                      <wps:cNvSpPr/>
                      <wps:spPr>
                        <a:xfrm>
                          <a:off x="0" y="0"/>
                          <a:ext cx="532764" cy="275589"/>
                        </a:xfrm>
                        <a:prstGeom prst="rect">
                          <a:avLst/>
                        </a:prstGeom>
                        <a:solidFill>
                          <a:srgbClr val="FFFFFF"/>
                        </a:solidFill>
                        <a:ln w="6350" cap="flat" cmpd="sng">
                          <a:solidFill>
                            <a:srgbClr val="000000"/>
                          </a:solidFill>
                          <a:prstDash val="solid"/>
                          <a:round/>
                        </a:ln>
                      </wps:spPr>
                      <wps:txbx>
                        <w:txbxContent>
                          <w:p w14:paraId="4227B12F">
                            <w:pPr>
                              <w:keepNext w:val="0"/>
                              <w:keepLines w:val="0"/>
                              <w:pageBreakBefore w:val="0"/>
                              <w:widowControl w:val="0"/>
                              <w:kinsoku/>
                              <w:wordWrap/>
                              <w:overflowPunct/>
                              <w:topLinePunct w:val="0"/>
                              <w:bidi w:val="0"/>
                              <w:adjustRightInd/>
                              <w:snapToGrid/>
                              <w:spacing w:line="240" w:lineRule="auto"/>
                              <w:textAlignment w:val="auto"/>
                              <w:rPr>
                                <w:rFonts w:hint="default" w:eastAsia="宋体"/>
                                <w:sz w:val="21"/>
                                <w:szCs w:val="21"/>
                                <w:lang w:val="en-US" w:eastAsia="zh-CN"/>
                              </w:rPr>
                            </w:pPr>
                            <w:r>
                              <w:rPr>
                                <w:rFonts w:hint="eastAsia"/>
                                <w:sz w:val="21"/>
                                <w:szCs w:val="21"/>
                                <w:lang w:val="en-US" w:eastAsia="zh-CN"/>
                              </w:rPr>
                              <w:t>253m</w:t>
                            </w:r>
                          </w:p>
                        </w:txbxContent>
                      </wps:txbx>
                      <wps:bodyPr vert="horz" wrap="square" lIns="91440" tIns="45720" rIns="91440" bIns="45720" anchor="t">
                        <a:noAutofit/>
                      </wps:bodyPr>
                    </wps:wsp>
                  </a:graphicData>
                </a:graphic>
              </wp:anchor>
            </w:drawing>
          </mc:Choice>
          <mc:Fallback>
            <w:pict>
              <v:rect id="文本框 6" o:spid="_x0000_s1026" o:spt="1" style="position:absolute;left:0pt;margin-left:361.45pt;margin-top:146.4pt;height:21.7pt;width:41.95pt;z-index:251659264;mso-width-relative:page;mso-height-relative:page;" fillcolor="#FFFFFF" filled="t" stroked="t" coordsize="21600,21600" o:gfxdata="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TOPhSNkAAAAL&#10;AQAADwAAAAAAAAABACAAAAAiAAAAZHJzL2Rvd25yZXYueG1sUEsBAhQAFAAAAAgAh07iQFTLKw8b&#10;AgAAQQQAAA4AAAAAAAAAAQAgAAAAKAEAAGRycy9lMm9Eb2MueG1sUEsFBgAAAAAGAAYAWQEAALUF&#10;AAAAAA==&#10;">
                <v:fill on="t" focussize="0,0"/>
                <v:stroke weight="0.5pt" color="#000000" joinstyle="round"/>
                <v:imagedata o:title=""/>
                <o:lock v:ext="edit" aspectratio="f"/>
                <v:textbox>
                  <w:txbxContent>
                    <w:p w14:paraId="4227B12F">
                      <w:pPr>
                        <w:keepNext w:val="0"/>
                        <w:keepLines w:val="0"/>
                        <w:pageBreakBefore w:val="0"/>
                        <w:widowControl w:val="0"/>
                        <w:kinsoku/>
                        <w:wordWrap/>
                        <w:overflowPunct/>
                        <w:topLinePunct w:val="0"/>
                        <w:bidi w:val="0"/>
                        <w:adjustRightInd/>
                        <w:snapToGrid/>
                        <w:spacing w:line="240" w:lineRule="auto"/>
                        <w:textAlignment w:val="auto"/>
                        <w:rPr>
                          <w:rFonts w:hint="default" w:eastAsia="宋体"/>
                          <w:sz w:val="21"/>
                          <w:szCs w:val="21"/>
                          <w:lang w:val="en-US" w:eastAsia="zh-CN"/>
                        </w:rPr>
                      </w:pPr>
                      <w:r>
                        <w:rPr>
                          <w:rFonts w:hint="eastAsia"/>
                          <w:sz w:val="21"/>
                          <w:szCs w:val="21"/>
                          <w:lang w:val="en-US" w:eastAsia="zh-CN"/>
                        </w:rPr>
                        <w:t>253m</w:t>
                      </w:r>
                    </w:p>
                  </w:txbxContent>
                </v:textbox>
              </v:rect>
            </w:pict>
          </mc:Fallback>
        </mc:AlternateContent>
      </w:r>
      <w:r>
        <w:rPr>
          <w:sz w:val="24"/>
        </w:rPr>
        <mc:AlternateContent>
          <mc:Choice Requires="wps">
            <w:drawing>
              <wp:anchor distT="0" distB="0" distL="0" distR="0" simplePos="0" relativeHeight="251659264" behindDoc="0" locked="0" layoutInCell="1" allowOverlap="1">
                <wp:simplePos x="0" y="0"/>
                <wp:positionH relativeFrom="column">
                  <wp:posOffset>4781550</wp:posOffset>
                </wp:positionH>
                <wp:positionV relativeFrom="paragraph">
                  <wp:posOffset>1631950</wp:posOffset>
                </wp:positionV>
                <wp:extent cx="669290" cy="933450"/>
                <wp:effectExtent l="0" t="0" r="16510" b="0"/>
                <wp:wrapNone/>
                <wp:docPr id="1066" name="直接箭头连接符 5"/>
                <wp:cNvGraphicFramePr/>
                <a:graphic xmlns:a="http://schemas.openxmlformats.org/drawingml/2006/main">
                  <a:graphicData uri="http://schemas.microsoft.com/office/word/2010/wordprocessingShape">
                    <wps:wsp>
                      <wps:cNvCnPr/>
                      <wps:spPr>
                        <a:xfrm flipV="1">
                          <a:off x="0" y="0"/>
                          <a:ext cx="669290" cy="933450"/>
                        </a:xfrm>
                        <a:prstGeom prst="straightConnector1">
                          <a:avLst/>
                        </a:prstGeom>
                        <a:ln w="12700" cap="flat" cmpd="sng">
                          <a:solidFill>
                            <a:srgbClr val="FF0000"/>
                          </a:solidFill>
                          <a:prstDash val="solid"/>
                          <a:miter/>
                          <a:headEnd type="arrow" w="med" len="med"/>
                          <a:tailEnd type="arrow" w="med" len="med"/>
                        </a:ln>
                      </wps:spPr>
                      <wps:bodyPr/>
                    </wps:wsp>
                  </a:graphicData>
                </a:graphic>
              </wp:anchor>
            </w:drawing>
          </mc:Choice>
          <mc:Fallback>
            <w:pict>
              <v:shape id="直接箭头连接符 5" o:spid="_x0000_s1026" o:spt="32" type="#_x0000_t32" style="position:absolute;left:0pt;flip:y;margin-left:376.5pt;margin-top:128.5pt;height:73.5pt;width:52.7pt;z-index:251659264;mso-width-relative:page;mso-height-relative:page;" filled="f" stroked="t" coordsize="21600,21600" o:gfxdata="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YVtje2gAAAAsBAAAPAAAA&#10;AAAAAAEAIAAAACIAAABkcnMvZG93bnJldi54bWxQSwECFAAUAAAACACHTuJAv5L2kBMCAAAKBAAA&#10;DgAAAAAAAAABACAAAAApAQAAZHJzL2Uyb0RvYy54bWxQSwUGAAAAAAYABgBZAQAArgUAAAAA&#10;">
                <v:fill on="f" focussize="0,0"/>
                <v:stroke weight="1pt" color="#FF0000" joinstyle="miter" startarrow="open" endarrow="open"/>
                <v:imagedata o:title=""/>
                <o:lock v:ext="edit" aspectratio="f"/>
              </v:shape>
            </w:pict>
          </mc:Fallback>
        </mc:AlternateContent>
      </w:r>
      <w:r>
        <w:rPr>
          <w:rFonts w:hint="default" w:ascii="Times New Roman" w:hAnsi="Times New Roman" w:cs="Times New Roman"/>
          <w:color w:val="auto"/>
          <w:sz w:val="24"/>
          <w:highlight w:val="none"/>
        </w:rPr>
        <mc:AlternateContent>
          <mc:Choice Requires="wps">
            <w:drawing>
              <wp:anchor distT="0" distB="0" distL="0" distR="0" simplePos="0" relativeHeight="251659264" behindDoc="0" locked="0" layoutInCell="1" allowOverlap="1">
                <wp:simplePos x="0" y="0"/>
                <wp:positionH relativeFrom="column">
                  <wp:posOffset>2544445</wp:posOffset>
                </wp:positionH>
                <wp:positionV relativeFrom="paragraph">
                  <wp:posOffset>375920</wp:posOffset>
                </wp:positionV>
                <wp:extent cx="258445" cy="269240"/>
                <wp:effectExtent l="14605" t="14605" r="31750" b="20955"/>
                <wp:wrapNone/>
                <wp:docPr id="1067" name="椭圆 98"/>
                <wp:cNvGraphicFramePr/>
                <a:graphic xmlns:a="http://schemas.openxmlformats.org/drawingml/2006/main">
                  <a:graphicData uri="http://schemas.microsoft.com/office/word/2010/wordprocessingShape">
                    <wps:wsp>
                      <wps:cNvSpPr/>
                      <wps:spPr>
                        <a:xfrm>
                          <a:off x="0" y="0"/>
                          <a:ext cx="258444" cy="269240"/>
                        </a:xfrm>
                        <a:prstGeom prst="ellipse">
                          <a:avLst/>
                        </a:prstGeom>
                        <a:ln w="28575" cap="flat" cmpd="sng">
                          <a:solidFill>
                            <a:srgbClr val="FF0000"/>
                          </a:solidFill>
                          <a:prstDash val="solid"/>
                          <a:miter/>
                        </a:ln>
                      </wps:spPr>
                      <wps:bodyPr/>
                    </wps:wsp>
                  </a:graphicData>
                </a:graphic>
              </wp:anchor>
            </w:drawing>
          </mc:Choice>
          <mc:Fallback>
            <w:pict>
              <v:shape id="椭圆 98" o:spid="_x0000_s1026" o:spt="3" type="#_x0000_t3" style="position:absolute;left:0pt;margin-left:200.35pt;margin-top:29.6pt;height:21.2pt;width:20.35pt;z-index:251659264;mso-width-relative:page;mso-height-relative:page;" filled="f" stroked="t" coordsize="21600,21600" o:gfxdata="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DY4Nb3ZAAAACgEAAA8AAAAAAAAAAQAgAAAA&#10;IgAAAGRycy9kb3ducmV2LnhtbFBLAQIUABQAAAAIAIdO4kDUm/F90QEAAJEDAAAOAAAAAAAAAAEA&#10;IAAAACgBAABkcnMvZTJvRG9jLnhtbFBLBQYAAAAABgAGAFkBAABrBQAAAAA=&#10;">
                <v:fill on="f" focussize="0,0"/>
                <v:stroke weight="2.25pt" color="#FF0000" joinstyle="miter"/>
                <v:imagedata o:title=""/>
                <o:lock v:ext="edit" aspectratio="f"/>
              </v:shape>
            </w:pict>
          </mc:Fallback>
        </mc:AlternateContent>
      </w:r>
      <w:r>
        <w:rPr>
          <w:rFonts w:hint="default" w:ascii="Times New Roman" w:hAnsi="Times New Roman" w:eastAsia="宋体" w:cs="Times New Roman"/>
          <w:b/>
          <w:bCs/>
          <w:color w:val="auto"/>
          <w:sz w:val="24"/>
          <w:szCs w:val="24"/>
          <w:highlight w:val="none"/>
          <w:lang w:eastAsia="zh-CN"/>
        </w:rPr>
        <w:drawing>
          <wp:inline distT="0" distB="0" distL="0" distR="0">
            <wp:extent cx="5521960" cy="5163185"/>
            <wp:effectExtent l="0" t="0" r="2540" b="18415"/>
            <wp:docPr id="1069" name="图片 114" descr="粤联昌 500m"/>
            <wp:cNvGraphicFramePr/>
            <a:graphic xmlns:a="http://schemas.openxmlformats.org/drawingml/2006/main">
              <a:graphicData uri="http://schemas.openxmlformats.org/drawingml/2006/picture">
                <pic:pic xmlns:pic="http://schemas.openxmlformats.org/drawingml/2006/picture">
                  <pic:nvPicPr>
                    <pic:cNvPr id="1069" name="图片 114" descr="粤联昌 500m"/>
                    <pic:cNvPicPr/>
                  </pic:nvPicPr>
                  <pic:blipFill>
                    <a:blip r:embed="rId37" cstate="print"/>
                    <a:srcRect/>
                    <a:stretch>
                      <a:fillRect/>
                    </a:stretch>
                  </pic:blipFill>
                  <pic:spPr>
                    <a:xfrm>
                      <a:off x="0" y="0"/>
                      <a:ext cx="5521960" cy="5163185"/>
                    </a:xfrm>
                    <a:prstGeom prst="rect">
                      <a:avLst/>
                    </a:prstGeom>
                  </pic:spPr>
                </pic:pic>
              </a:graphicData>
            </a:graphic>
          </wp:inline>
        </w:drawing>
      </w:r>
      <w:r>
        <w:rPr>
          <w:rFonts w:hint="default" w:ascii="Times New Roman" w:hAnsi="Times New Roman" w:cs="Times New Roman"/>
          <w:color w:val="auto"/>
          <w:sz w:val="21"/>
          <w:highlight w:val="none"/>
        </w:rPr>
        <mc:AlternateContent>
          <mc:Choice Requires="wps">
            <w:drawing>
              <wp:anchor distT="0" distB="0" distL="0" distR="0" simplePos="0" relativeHeight="251659264" behindDoc="0" locked="0" layoutInCell="1" allowOverlap="1">
                <wp:simplePos x="0" y="0"/>
                <wp:positionH relativeFrom="column">
                  <wp:posOffset>5151755</wp:posOffset>
                </wp:positionH>
                <wp:positionV relativeFrom="paragraph">
                  <wp:posOffset>3616325</wp:posOffset>
                </wp:positionV>
                <wp:extent cx="635" cy="635"/>
                <wp:effectExtent l="0" t="0" r="0" b="0"/>
                <wp:wrapNone/>
                <wp:docPr id="1070" name="墨迹 161"/>
                <wp:cNvGraphicFramePr/>
                <a:graphic xmlns:a="http://schemas.openxmlformats.org/drawingml/2006/main">
                  <a:graphicData uri="http://schemas.microsoft.com/office/word/2010/wordprocessingInk">
                    <mc:AlternateContent xmlns:a14="http://schemas.microsoft.com/office/drawing/2010/main">
                      <mc:Choice Requires="a14">
                        <w14:contentPart bwMode="auto" r:id="rId38">
                          <w14:nvContentPartPr>
                            <w14:cNvPr id="1070" name="墨迹 161"/>
                            <w14:cNvContentPartPr/>
                          </w14:nvContentPartPr>
                          <w14:xfrm>
                            <a:off x="0" y="0"/>
                            <a:ext cx="634" cy="634"/>
                          </w14:xfrm>
                        </w14:contentPart>
                      </mc:Choice>
                    </mc:AlternateContent>
                  </a:graphicData>
                </a:graphic>
              </wp:anchor>
            </w:drawing>
          </mc:Choice>
          <mc:Fallback>
            <w:pict>
              <v:shape id="墨迹 161" o:spid="_x0000_s1026" o:spt="75" style="position:absolute;left:0pt;margin-left:405.65pt;margin-top:284.75pt;height:0.05pt;width:0.05pt;z-index:251659264;mso-width-relative:page;mso-height-relative:page;" coordsize="21600,21600" o:gfxdata="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">
                <v:imagedata r:id="rId39" o:title=""/>
                <o:lock v:ext="edit"/>
              </v:shape>
            </w:pict>
          </mc:Fallback>
        </mc:AlternateContent>
      </w:r>
      <w:r>
        <w:rPr>
          <w:rFonts w:hint="default" w:ascii="Times New Roman" w:hAnsi="Times New Roman" w:cs="Times New Roman"/>
          <w:color w:val="auto"/>
          <w:sz w:val="21"/>
          <w:highlight w:val="none"/>
        </w:rPr>
        <mc:AlternateContent>
          <mc:Choice Requires="wps">
            <w:drawing>
              <wp:anchor distT="0" distB="0" distL="0" distR="0" simplePos="0" relativeHeight="251659264" behindDoc="0" locked="0" layoutInCell="1" allowOverlap="1">
                <wp:simplePos x="0" y="0"/>
                <wp:positionH relativeFrom="column">
                  <wp:posOffset>4818380</wp:posOffset>
                </wp:positionH>
                <wp:positionV relativeFrom="paragraph">
                  <wp:posOffset>3616325</wp:posOffset>
                </wp:positionV>
                <wp:extent cx="635" cy="635"/>
                <wp:effectExtent l="0" t="0" r="0" b="0"/>
                <wp:wrapNone/>
                <wp:docPr id="1071" name="墨迹 158"/>
                <wp:cNvGraphicFramePr/>
                <a:graphic xmlns:a="http://schemas.openxmlformats.org/drawingml/2006/main">
                  <a:graphicData uri="http://schemas.microsoft.com/office/word/2010/wordprocessingInk">
                    <mc:AlternateContent xmlns:a14="http://schemas.microsoft.com/office/drawing/2010/main">
                      <mc:Choice Requires="a14">
                        <w14:contentPart bwMode="auto" r:id="rId40">
                          <w14:nvContentPartPr>
                            <w14:cNvPr id="1071" name="墨迹 158"/>
                            <w14:cNvContentPartPr/>
                          </w14:nvContentPartPr>
                          <w14:xfrm>
                            <a:off x="0" y="0"/>
                            <a:ext cx="634" cy="634"/>
                          </w14:xfrm>
                        </w14:contentPart>
                      </mc:Choice>
                    </mc:AlternateContent>
                  </a:graphicData>
                </a:graphic>
              </wp:anchor>
            </w:drawing>
          </mc:Choice>
          <mc:Fallback>
            <w:pict>
              <v:shape id="墨迹 158" o:spid="_x0000_s1026" o:spt="75" style="position:absolute;left:0pt;margin-left:379.4pt;margin-top:284.75pt;height:0.05pt;width:0.05pt;z-index:251659264;mso-width-relative:page;mso-height-relative:page;" coordsize="21600,21600" o:gfxdata="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">
                <v:imagedata r:id="rId39" o:title=""/>
                <o:lock v:ext="edit"/>
              </v:shape>
            </w:pict>
          </mc:Fallback>
        </mc:AlternateContent>
      </w:r>
      <w:r>
        <w:rPr>
          <w:rFonts w:hint="default" w:ascii="Times New Roman" w:hAnsi="Times New Roman" w:cs="Times New Roman"/>
          <w:color w:val="auto"/>
          <w:sz w:val="21"/>
          <w:highlight w:val="none"/>
        </w:rPr>
        <mc:AlternateContent>
          <mc:Choice Requires="wps">
            <w:drawing>
              <wp:anchor distT="0" distB="0" distL="0" distR="0" simplePos="0" relativeHeight="251659264" behindDoc="0" locked="0" layoutInCell="1" allowOverlap="1">
                <wp:simplePos x="0" y="0"/>
                <wp:positionH relativeFrom="column">
                  <wp:posOffset>5123180</wp:posOffset>
                </wp:positionH>
                <wp:positionV relativeFrom="paragraph">
                  <wp:posOffset>3711575</wp:posOffset>
                </wp:positionV>
                <wp:extent cx="635" cy="635"/>
                <wp:effectExtent l="0" t="0" r="0" b="0"/>
                <wp:wrapNone/>
                <wp:docPr id="1072" name="墨迹 156"/>
                <wp:cNvGraphicFramePr/>
                <a:graphic xmlns:a="http://schemas.openxmlformats.org/drawingml/2006/main">
                  <a:graphicData uri="http://schemas.microsoft.com/office/word/2010/wordprocessingInk">
                    <mc:AlternateContent xmlns:a14="http://schemas.microsoft.com/office/drawing/2010/main">
                      <mc:Choice Requires="a14">
                        <w14:contentPart bwMode="auto" r:id="rId41">
                          <w14:nvContentPartPr>
                            <w14:cNvPr id="1072" name="墨迹 156"/>
                            <w14:cNvContentPartPr/>
                          </w14:nvContentPartPr>
                          <w14:xfrm>
                            <a:off x="0" y="0"/>
                            <a:ext cx="634" cy="634"/>
                          </w14:xfrm>
                        </w14:contentPart>
                      </mc:Choice>
                    </mc:AlternateContent>
                  </a:graphicData>
                </a:graphic>
              </wp:anchor>
            </w:drawing>
          </mc:Choice>
          <mc:Fallback>
            <w:pict>
              <v:shape id="墨迹 156" o:spid="_x0000_s1026" o:spt="75" style="position:absolute;left:0pt;margin-left:403.4pt;margin-top:292.25pt;height:0.05pt;width:0.05pt;z-index:251659264;mso-width-relative:page;mso-height-relative:page;" coordsize="21600,21600" o:gfxdata="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">
                <v:imagedata r:id="rId39" o:title=""/>
                <o:lock v:ext="edit"/>
              </v:shape>
            </w:pict>
          </mc:Fallback>
        </mc:AlternateContent>
      </w:r>
      <w:r>
        <w:rPr>
          <w:rFonts w:hint="default" w:ascii="Times New Roman" w:hAnsi="Times New Roman" w:cs="Times New Roman"/>
          <w:color w:val="auto"/>
          <w:sz w:val="21"/>
          <w:highlight w:val="none"/>
        </w:rPr>
        <mc:AlternateContent>
          <mc:Choice Requires="wps">
            <w:drawing>
              <wp:anchor distT="0" distB="0" distL="0" distR="0" simplePos="0" relativeHeight="251659264" behindDoc="0" locked="0" layoutInCell="1" allowOverlap="1">
                <wp:simplePos x="0" y="0"/>
                <wp:positionH relativeFrom="column">
                  <wp:posOffset>5132705</wp:posOffset>
                </wp:positionH>
                <wp:positionV relativeFrom="paragraph">
                  <wp:posOffset>3606800</wp:posOffset>
                </wp:positionV>
                <wp:extent cx="635" cy="635"/>
                <wp:effectExtent l="0" t="0" r="0" b="0"/>
                <wp:wrapNone/>
                <wp:docPr id="1073" name="墨迹 154"/>
                <wp:cNvGraphicFramePr/>
                <a:graphic xmlns:a="http://schemas.openxmlformats.org/drawingml/2006/main">
                  <a:graphicData uri="http://schemas.microsoft.com/office/word/2010/wordprocessingInk">
                    <mc:AlternateContent xmlns:a14="http://schemas.microsoft.com/office/drawing/2010/main">
                      <mc:Choice Requires="a14">
                        <w14:contentPart bwMode="auto" r:id="rId42">
                          <w14:nvContentPartPr>
                            <w14:cNvPr id="1073" name="墨迹 154"/>
                            <w14:cNvContentPartPr/>
                          </w14:nvContentPartPr>
                          <w14:xfrm>
                            <a:off x="0" y="0"/>
                            <a:ext cx="634" cy="634"/>
                          </w14:xfrm>
                        </w14:contentPart>
                      </mc:Choice>
                    </mc:AlternateContent>
                  </a:graphicData>
                </a:graphic>
              </wp:anchor>
            </w:drawing>
          </mc:Choice>
          <mc:Fallback>
            <w:pict>
              <v:shape id="墨迹 154" o:spid="_x0000_s1026" o:spt="75" style="position:absolute;left:0pt;margin-left:404.15pt;margin-top:284pt;height:0.05pt;width:0.05pt;z-index:251659264;mso-width-relative:page;mso-height-relative:page;" coordsize="21600,21600" o:gfxdata="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">
                <v:imagedata r:id="rId39" o:title=""/>
                <o:lock v:ext="edit"/>
              </v:shape>
            </w:pict>
          </mc:Fallback>
        </mc:AlternateContent>
      </w:r>
    </w:p>
    <w:p w14:paraId="76DA15E3">
      <w:pPr>
        <w:pStyle w:val="43"/>
        <w:numPr>
          <w:ilvl w:val="0"/>
          <w:numId w:val="0"/>
        </w:numPr>
        <w:adjustRightInd/>
        <w:spacing w:line="240" w:lineRule="auto"/>
        <w:ind w:left="397" w:leftChars="0"/>
        <w:jc w:val="both"/>
        <w:textAlignment w:val="auto"/>
        <w:outlineLvl w:val="0"/>
        <w:rPr>
          <w:rFonts w:hint="default" w:ascii="Times New Roman" w:hAnsi="Times New Roman" w:eastAsia="宋体" w:cs="Times New Roman"/>
          <w:b/>
          <w:bCs/>
          <w:color w:val="auto"/>
          <w:kern w:val="0"/>
          <w:sz w:val="24"/>
          <w:szCs w:val="24"/>
          <w:highlight w:val="none"/>
          <w:lang w:val="en-US" w:eastAsia="zh-CN" w:bidi="ar-SA"/>
        </w:rPr>
        <w:sectPr>
          <w:pgSz w:w="16838" w:h="11906" w:orient="landscape"/>
          <w:pgMar w:top="1417" w:right="1417" w:bottom="1134" w:left="1559"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Times New Roman" w:hAnsi="Times New Roman" w:eastAsia="宋体" w:cs="Times New Roman"/>
          <w:b w:val="0"/>
          <w:bCs w:val="0"/>
          <w:color w:val="auto"/>
          <w:highlight w:val="none"/>
          <w:lang w:eastAsia="zh-CN"/>
        </w:rPr>
        <w:drawing>
          <wp:anchor distT="0" distB="0" distL="0" distR="0" simplePos="0" relativeHeight="251659264" behindDoc="0" locked="0" layoutInCell="1" allowOverlap="1">
            <wp:simplePos x="0" y="0"/>
            <wp:positionH relativeFrom="column">
              <wp:posOffset>7210425</wp:posOffset>
            </wp:positionH>
            <wp:positionV relativeFrom="paragraph">
              <wp:posOffset>-5269865</wp:posOffset>
            </wp:positionV>
            <wp:extent cx="383540" cy="403225"/>
            <wp:effectExtent l="0" t="0" r="16510" b="15875"/>
            <wp:wrapNone/>
            <wp:docPr id="1074" name="图片 112" descr="指北针"/>
            <wp:cNvGraphicFramePr/>
            <a:graphic xmlns:a="http://schemas.openxmlformats.org/drawingml/2006/main">
              <a:graphicData uri="http://schemas.openxmlformats.org/drawingml/2006/picture">
                <pic:pic xmlns:pic="http://schemas.openxmlformats.org/drawingml/2006/picture">
                  <pic:nvPicPr>
                    <pic:cNvPr id="1074" name="图片 112" descr="指北针"/>
                    <pic:cNvPicPr/>
                  </pic:nvPicPr>
                  <pic:blipFill>
                    <a:blip r:embed="rId32" cstate="print"/>
                    <a:srcRect/>
                    <a:stretch>
                      <a:fillRect/>
                    </a:stretch>
                  </pic:blipFill>
                  <pic:spPr>
                    <a:xfrm>
                      <a:off x="0" y="0"/>
                      <a:ext cx="383540" cy="403225"/>
                    </a:xfrm>
                    <a:prstGeom prst="rect">
                      <a:avLst/>
                    </a:prstGeom>
                  </pic:spPr>
                </pic:pic>
              </a:graphicData>
            </a:graphic>
          </wp:anchor>
        </w:drawing>
      </w:r>
    </w:p>
    <w:p w14:paraId="4C3D8FFF">
      <w:pPr>
        <w:pStyle w:val="43"/>
        <w:numPr>
          <w:ilvl w:val="0"/>
          <w:numId w:val="0"/>
        </w:numPr>
        <w:adjustRightInd/>
        <w:spacing w:line="240" w:lineRule="auto"/>
        <w:ind w:left="397" w:leftChars="0"/>
        <w:jc w:val="both"/>
        <w:textAlignment w:val="auto"/>
        <w:outlineLvl w:val="0"/>
        <w:rPr>
          <w:rFonts w:hint="default" w:ascii="Times New Roman" w:hAnsi="Times New Roman" w:eastAsia="宋体" w:cs="Times New Roman"/>
          <w:b/>
          <w:bCs/>
          <w:color w:val="auto"/>
          <w:sz w:val="24"/>
          <w:szCs w:val="24"/>
          <w:highlight w:val="none"/>
          <w:lang w:eastAsia="zh-CN"/>
        </w:rPr>
      </w:pPr>
      <w:bookmarkStart w:id="133" w:name="_Toc6139"/>
      <w:r>
        <w:rPr>
          <w:rFonts w:hint="default" w:ascii="Times New Roman" w:hAnsi="Times New Roman" w:cs="Times New Roman"/>
          <w:color w:val="auto"/>
          <w:highlight w:val="none"/>
        </w:rPr>
        <w:drawing>
          <wp:anchor distT="0" distB="0" distL="0" distR="0" simplePos="0" relativeHeight="251659264" behindDoc="0" locked="0" layoutInCell="1" allowOverlap="1">
            <wp:simplePos x="0" y="0"/>
            <wp:positionH relativeFrom="column">
              <wp:posOffset>6827520</wp:posOffset>
            </wp:positionH>
            <wp:positionV relativeFrom="paragraph">
              <wp:posOffset>-4491990</wp:posOffset>
            </wp:positionV>
            <wp:extent cx="1045845" cy="1019175"/>
            <wp:effectExtent l="0" t="0" r="1905" b="9525"/>
            <wp:wrapNone/>
            <wp:docPr id="1075" name="图片 26"/>
            <wp:cNvGraphicFramePr/>
            <a:graphic xmlns:a="http://schemas.openxmlformats.org/drawingml/2006/main">
              <a:graphicData uri="http://schemas.openxmlformats.org/drawingml/2006/picture">
                <pic:pic xmlns:pic="http://schemas.openxmlformats.org/drawingml/2006/picture">
                  <pic:nvPicPr>
                    <pic:cNvPr id="1075" name="图片 26"/>
                    <pic:cNvPicPr/>
                  </pic:nvPicPr>
                  <pic:blipFill>
                    <a:blip r:embed="rId34" cstate="print"/>
                    <a:srcRect/>
                    <a:stretch>
                      <a:fillRect/>
                    </a:stretch>
                  </pic:blipFill>
                  <pic:spPr>
                    <a:xfrm>
                      <a:off x="0" y="0"/>
                      <a:ext cx="1045844" cy="1019175"/>
                    </a:xfrm>
                    <a:prstGeom prst="rect">
                      <a:avLst/>
                    </a:prstGeom>
                    <a:ln>
                      <a:noFill/>
                    </a:ln>
                  </pic:spPr>
                </pic:pic>
              </a:graphicData>
            </a:graphic>
          </wp:anchor>
        </w:drawing>
      </w:r>
      <w:bookmarkStart w:id="134" w:name="_Toc12257"/>
      <w:r>
        <w:rPr>
          <w:rFonts w:hint="default" w:ascii="Times New Roman" w:hAnsi="Times New Roman" w:eastAsia="宋体" w:cs="Times New Roman"/>
          <w:b/>
          <w:bCs/>
          <w:color w:val="auto"/>
          <w:kern w:val="0"/>
          <w:sz w:val="24"/>
          <w:szCs w:val="24"/>
          <w:highlight w:val="none"/>
          <w:lang w:val="en-US" w:eastAsia="zh-CN" w:bidi="ar-SA"/>
        </w:rPr>
        <w:t xml:space="preserve">附图5 </w:t>
      </w:r>
      <w:r>
        <w:rPr>
          <w:rFonts w:hint="default" w:ascii="Times New Roman" w:hAnsi="Times New Roman" w:eastAsia="宋体" w:cs="Times New Roman"/>
          <w:b/>
          <w:bCs/>
          <w:color w:val="auto"/>
          <w:sz w:val="24"/>
          <w:szCs w:val="24"/>
          <w:highlight w:val="none"/>
          <w:lang w:eastAsia="zh-CN"/>
        </w:rPr>
        <w:t>建设项目土地利用规划图</w:t>
      </w:r>
      <w:bookmarkEnd w:id="133"/>
      <w:bookmarkEnd w:id="134"/>
    </w:p>
    <w:p w14:paraId="0577BA0B">
      <w:pPr>
        <w:pStyle w:val="43"/>
        <w:numPr>
          <w:ilvl w:val="0"/>
          <w:numId w:val="0"/>
        </w:numPr>
        <w:adjustRightInd/>
        <w:spacing w:line="240" w:lineRule="auto"/>
        <w:ind w:left="397" w:leftChars="0"/>
        <w:jc w:val="both"/>
        <w:textAlignment w:val="auto"/>
        <w:outlineLvl w:val="9"/>
        <w:rPr>
          <w:rFonts w:hint="default" w:ascii="Times New Roman" w:hAnsi="Times New Roman" w:eastAsia="宋体" w:cs="Times New Roman"/>
          <w:b/>
          <w:bCs/>
          <w:color w:val="auto"/>
          <w:sz w:val="24"/>
          <w:szCs w:val="24"/>
          <w:highlight w:val="none"/>
          <w:lang w:eastAsia="zh-CN"/>
        </w:rPr>
      </w:pPr>
      <w:r>
        <w:rPr>
          <w:rFonts w:hint="eastAsia"/>
        </w:rPr>
        <w:drawing>
          <wp:inline distT="0" distB="0" distL="0" distR="0">
            <wp:extent cx="7426960" cy="5396865"/>
            <wp:effectExtent l="0" t="0" r="1905" b="13334"/>
            <wp:docPr id="1079" name="图片 11" descr="01城东法定图则"/>
            <wp:cNvGraphicFramePr/>
            <a:graphic xmlns:a="http://schemas.openxmlformats.org/drawingml/2006/main">
              <a:graphicData uri="http://schemas.openxmlformats.org/drawingml/2006/picture">
                <pic:pic xmlns:pic="http://schemas.openxmlformats.org/drawingml/2006/picture">
                  <pic:nvPicPr>
                    <pic:cNvPr id="1079" name="图片 11" descr="01城东法定图则"/>
                    <pic:cNvPicPr/>
                  </pic:nvPicPr>
                  <pic:blipFill>
                    <a:blip r:embed="rId43" cstate="print"/>
                    <a:srcRect t="7638" r="31471" b="21897"/>
                    <a:stretch>
                      <a:fillRect/>
                    </a:stretch>
                  </pic:blipFill>
                  <pic:spPr>
                    <a:xfrm>
                      <a:off x="0" y="0"/>
                      <a:ext cx="7427594" cy="5396865"/>
                    </a:xfrm>
                    <a:prstGeom prst="rect">
                      <a:avLst/>
                    </a:prstGeom>
                  </pic:spPr>
                </pic:pic>
              </a:graphicData>
            </a:graphic>
          </wp:inline>
        </w:drawing>
      </w:r>
    </w:p>
    <w:p w14:paraId="64B8730A">
      <w:pPr>
        <w:jc w:val="center"/>
        <w:rPr>
          <w:rFonts w:hint="default" w:ascii="Times New Roman" w:hAnsi="Times New Roman" w:cs="Times New Roman"/>
          <w:color w:val="auto"/>
          <w:highlight w:val="none"/>
          <w:lang w:eastAsia="zh-CN"/>
        </w:rPr>
        <w:sectPr>
          <w:pgSz w:w="16838" w:h="11906" w:orient="landscape"/>
          <w:pgMar w:top="1417" w:right="1417" w:bottom="1134" w:left="1559"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sz w:val="24"/>
        </w:rPr>
        <mc:AlternateContent>
          <mc:Choice Requires="wps">
            <w:drawing>
              <wp:anchor distT="0" distB="0" distL="0" distR="0" simplePos="0" relativeHeight="251659264" behindDoc="0" locked="0" layoutInCell="1" allowOverlap="1">
                <wp:simplePos x="0" y="0"/>
                <wp:positionH relativeFrom="column">
                  <wp:posOffset>2766695</wp:posOffset>
                </wp:positionH>
                <wp:positionV relativeFrom="paragraph">
                  <wp:posOffset>2686050</wp:posOffset>
                </wp:positionV>
                <wp:extent cx="571500" cy="254000"/>
                <wp:effectExtent l="0" t="0" r="0" b="0"/>
                <wp:wrapNone/>
                <wp:docPr id="1076" name="文本框 15"/>
                <wp:cNvGraphicFramePr/>
                <a:graphic xmlns:a="http://schemas.openxmlformats.org/drawingml/2006/main">
                  <a:graphicData uri="http://schemas.microsoft.com/office/word/2010/wordprocessingShape">
                    <wps:wsp>
                      <wps:cNvSpPr/>
                      <wps:spPr>
                        <a:xfrm>
                          <a:off x="0" y="0"/>
                          <a:ext cx="571499" cy="254000"/>
                        </a:xfrm>
                        <a:prstGeom prst="rect">
                          <a:avLst/>
                        </a:prstGeom>
                        <a:ln>
                          <a:noFill/>
                        </a:ln>
                      </wps:spPr>
                      <wps:txbx>
                        <w:txbxContent>
                          <w:p w14:paraId="4030C773">
                            <w:pPr>
                              <w:keepNext w:val="0"/>
                              <w:keepLines w:val="0"/>
                              <w:pageBreakBefore w:val="0"/>
                              <w:widowControl w:val="0"/>
                              <w:kinsoku/>
                              <w:wordWrap/>
                              <w:overflowPunct/>
                              <w:topLinePunct w:val="0"/>
                              <w:bidi w:val="0"/>
                              <w:adjustRightInd/>
                              <w:snapToGrid/>
                              <w:spacing w:line="240" w:lineRule="auto"/>
                              <w:textAlignment w:val="auto"/>
                              <w:rPr>
                                <w:rFonts w:hint="eastAsia" w:eastAsia="宋体"/>
                                <w:sz w:val="15"/>
                                <w:szCs w:val="15"/>
                                <w:lang w:val="en-US" w:eastAsia="zh-CN"/>
                              </w:rPr>
                            </w:pPr>
                            <w:r>
                              <w:rPr>
                                <w:rFonts w:hint="eastAsia"/>
                                <w:sz w:val="15"/>
                                <w:szCs w:val="15"/>
                                <w:lang w:val="en-US" w:eastAsia="zh-CN"/>
                              </w:rPr>
                              <w:t>建设项目</w:t>
                            </w:r>
                          </w:p>
                        </w:txbxContent>
                      </wps:txbx>
                      <wps:bodyPr vert="horz" wrap="square" lIns="91440" tIns="45720" rIns="91440" bIns="45720" anchor="t">
                        <a:noAutofit/>
                      </wps:bodyPr>
                    </wps:wsp>
                  </a:graphicData>
                </a:graphic>
              </wp:anchor>
            </w:drawing>
          </mc:Choice>
          <mc:Fallback>
            <w:pict>
              <v:rect id="文本框 15" o:spid="_x0000_s1026" o:spt="1" style="position:absolute;left:0pt;margin-left:217.85pt;margin-top:211.5pt;height:20pt;width:45pt;z-index:251659264;mso-width-relative:page;mso-height-relative:page;" filled="f" stroked="f" coordsize="21600,21600" o:gfxdata="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Zb88E2gAAAAsBAAAPAAAA&#10;AAAAAAEAIAAAACIAAABkcnMvZG93bnJldi54bWxQSwECFAAUAAAACACHTuJAkYe3BdoBAACjAwAA&#10;DgAAAAAAAAABACAAAAApAQAAZHJzL2Uyb0RvYy54bWxQSwUGAAAAAAYABgBZAQAAdQUAAAAA&#10;">
                <v:fill on="f" focussize="0,0"/>
                <v:stroke on="f"/>
                <v:imagedata o:title=""/>
                <o:lock v:ext="edit" aspectratio="f"/>
                <v:textbox>
                  <w:txbxContent>
                    <w:p w14:paraId="4030C773">
                      <w:pPr>
                        <w:keepNext w:val="0"/>
                        <w:keepLines w:val="0"/>
                        <w:pageBreakBefore w:val="0"/>
                        <w:widowControl w:val="0"/>
                        <w:kinsoku/>
                        <w:wordWrap/>
                        <w:overflowPunct/>
                        <w:topLinePunct w:val="0"/>
                        <w:bidi w:val="0"/>
                        <w:adjustRightInd/>
                        <w:snapToGrid/>
                        <w:spacing w:line="240" w:lineRule="auto"/>
                        <w:textAlignment w:val="auto"/>
                        <w:rPr>
                          <w:rFonts w:hint="eastAsia" w:eastAsia="宋体"/>
                          <w:sz w:val="15"/>
                          <w:szCs w:val="15"/>
                          <w:lang w:val="en-US" w:eastAsia="zh-CN"/>
                        </w:rPr>
                      </w:pPr>
                      <w:r>
                        <w:rPr>
                          <w:rFonts w:hint="eastAsia"/>
                          <w:sz w:val="15"/>
                          <w:szCs w:val="15"/>
                          <w:lang w:val="en-US" w:eastAsia="zh-CN"/>
                        </w:rPr>
                        <w:t>建设项目</w:t>
                      </w:r>
                    </w:p>
                  </w:txbxContent>
                </v:textbox>
              </v:rect>
            </w:pict>
          </mc:Fallback>
        </mc:AlternateContent>
      </w:r>
      <w:r>
        <w:rPr>
          <w:sz w:val="24"/>
        </w:rPr>
        <mc:AlternateContent>
          <mc:Choice Requires="wps">
            <w:drawing>
              <wp:anchor distT="0" distB="0" distL="0" distR="0" simplePos="0" relativeHeight="251659264" behindDoc="0" locked="0" layoutInCell="1" allowOverlap="1">
                <wp:simplePos x="0" y="0"/>
                <wp:positionH relativeFrom="column">
                  <wp:posOffset>2837180</wp:posOffset>
                </wp:positionH>
                <wp:positionV relativeFrom="paragraph">
                  <wp:posOffset>2737485</wp:posOffset>
                </wp:positionV>
                <wp:extent cx="443865" cy="190500"/>
                <wp:effectExtent l="6350" t="6350" r="6985" b="88900"/>
                <wp:wrapNone/>
                <wp:docPr id="1077" name="矩形标注 14"/>
                <wp:cNvGraphicFramePr/>
                <a:graphic xmlns:a="http://schemas.openxmlformats.org/drawingml/2006/main">
                  <a:graphicData uri="http://schemas.microsoft.com/office/word/2010/wordprocessingShape">
                    <wps:wsp>
                      <wps:cNvSpPr/>
                      <wps:spPr>
                        <a:xfrm>
                          <a:off x="0" y="0"/>
                          <a:ext cx="443865" cy="190500"/>
                        </a:xfrm>
                        <a:prstGeom prst="wedgeRectCallout">
                          <a:avLst>
                            <a:gd name="adj1" fmla="val -22642"/>
                            <a:gd name="adj2" fmla="val 84541"/>
                          </a:avLst>
                        </a:prstGeom>
                        <a:solidFill>
                          <a:srgbClr val="FFFFFF"/>
                        </a:solidFill>
                        <a:ln w="12700" cap="flat" cmpd="sng">
                          <a:solidFill>
                            <a:srgbClr val="000000"/>
                          </a:solidFill>
                          <a:prstDash val="solid"/>
                          <a:miter/>
                        </a:ln>
                      </wps:spPr>
                      <wps:txbx>
                        <w:txbxContent>
                          <w:p w14:paraId="4B7104DF">
                            <w:pPr>
                              <w:jc w:val="center"/>
                            </w:pPr>
                          </w:p>
                        </w:txbxContent>
                      </wps:txbx>
                      <wps:bodyPr vert="horz" wrap="square" lIns="91440" tIns="45720" rIns="91440" bIns="45720" anchor="ctr">
                        <a:noAutofit/>
                      </wps:bodyPr>
                    </wps:wsp>
                  </a:graphicData>
                </a:graphic>
              </wp:anchor>
            </w:drawing>
          </mc:Choice>
          <mc:Fallback>
            <w:pict>
              <v:shape id="矩形标注 14" o:spid="_x0000_s1026" o:spt="61" type="#_x0000_t61" style="position:absolute;left:0pt;margin-left:223.4pt;margin-top:215.55pt;height:15pt;width:34.95pt;z-index:251659264;v-text-anchor:middle;mso-width-relative:page;mso-height-relative:page;" fillcolor="#FFFFFF" filled="t" stroked="t" coordsize="21600,21600" o:gfxdata="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Zsv6edoAAAALAQAA&#10;DwAAAAAAAAABACAAAAAiAAAAZHJzL2Rvd25yZXYueG1sUEsBAhQAFAAAAAgAh07iQKLGGVBQAgAA&#10;pgQAAA4AAAAAAAAAAQAgAAAAKQEAAGRycy9lMm9Eb2MueG1sUEsFBgAAAAAGAAYAWQEAAOsFAAAA&#10;AA==&#10;" adj="5909,29061">
                <v:fill on="t" focussize="0,0"/>
                <v:stroke weight="1pt" color="#000000" joinstyle="miter"/>
                <v:imagedata o:title=""/>
                <o:lock v:ext="edit" aspectratio="f"/>
                <v:textbox>
                  <w:txbxContent>
                    <w:p w14:paraId="4B7104DF">
                      <w:pPr>
                        <w:jc w:val="center"/>
                      </w:pPr>
                    </w:p>
                  </w:txbxContent>
                </v:textbox>
              </v:shape>
            </w:pict>
          </mc:Fallback>
        </mc:AlternateContent>
      </w:r>
      <w:r>
        <w:rPr>
          <w:sz w:val="24"/>
        </w:rPr>
        <mc:AlternateContent>
          <mc:Choice Requires="wps">
            <w:drawing>
              <wp:anchor distT="0" distB="0" distL="0" distR="0" simplePos="0" relativeHeight="251659264" behindDoc="0" locked="0" layoutInCell="1" allowOverlap="1">
                <wp:simplePos x="0" y="0"/>
                <wp:positionH relativeFrom="column">
                  <wp:posOffset>2874010</wp:posOffset>
                </wp:positionH>
                <wp:positionV relativeFrom="paragraph">
                  <wp:posOffset>3010535</wp:posOffset>
                </wp:positionV>
                <wp:extent cx="104140" cy="75565"/>
                <wp:effectExtent l="6350" t="6350" r="22860" b="13334"/>
                <wp:wrapNone/>
                <wp:docPr id="1078" name="矩形 13"/>
                <wp:cNvGraphicFramePr/>
                <a:graphic xmlns:a="http://schemas.openxmlformats.org/drawingml/2006/main">
                  <a:graphicData uri="http://schemas.microsoft.com/office/word/2010/wordprocessingShape">
                    <wps:wsp>
                      <wps:cNvSpPr/>
                      <wps:spPr>
                        <a:xfrm>
                          <a:off x="0" y="0"/>
                          <a:ext cx="104139" cy="75564"/>
                        </a:xfrm>
                        <a:prstGeom prst="rect">
                          <a:avLst/>
                        </a:prstGeom>
                        <a:solidFill>
                          <a:srgbClr val="FF0000"/>
                        </a:solidFill>
                        <a:ln w="12700" cap="flat" cmpd="sng">
                          <a:solidFill>
                            <a:srgbClr val="000000"/>
                          </a:solidFill>
                          <a:prstDash val="solid"/>
                          <a:miter/>
                        </a:ln>
                      </wps:spPr>
                      <wps:bodyPr/>
                    </wps:wsp>
                  </a:graphicData>
                </a:graphic>
              </wp:anchor>
            </w:drawing>
          </mc:Choice>
          <mc:Fallback>
            <w:pict>
              <v:rect id="矩形 13" o:spid="_x0000_s1026" o:spt="1" style="position:absolute;left:0pt;margin-left:226.3pt;margin-top:237.05pt;height:5.95pt;width:8.2pt;z-index:251659264;mso-width-relative:page;mso-height-relative:page;" fillcolor="#FF0000" filled="t" stroked="t" coordsize="21600,21600" o:gfxdata="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IrQsHaAAAACwEAAA8AAAAAAAAA&#10;AQAgAAAAIgAAAGRycy9kb3ducmV2LnhtbFBLAQIUABQAAAAIAIdO4kDCbPDO1gEAAMEDAAAOAAAA&#10;AAAAAAEAIAAAACkBAABkcnMvZTJvRG9jLnhtbFBLBQYAAAAABgAGAFkBAABxBQAAAAA=&#10;">
                <v:fill on="t" focussize="0,0"/>
                <v:stroke weight="1pt" color="#000000" joinstyle="miter"/>
                <v:imagedata o:title=""/>
                <o:lock v:ext="edit" aspectratio="f"/>
              </v:rect>
            </w:pict>
          </mc:Fallback>
        </mc:AlternateContent>
      </w:r>
    </w:p>
    <w:p w14:paraId="7CFBD3DB">
      <w:pPr>
        <w:pStyle w:val="43"/>
        <w:numPr>
          <w:ilvl w:val="0"/>
          <w:numId w:val="0"/>
        </w:numPr>
        <w:adjustRightInd/>
        <w:spacing w:line="240" w:lineRule="auto"/>
        <w:ind w:left="0" w:leftChars="0" w:firstLine="397" w:firstLineChars="0"/>
        <w:jc w:val="left"/>
        <w:textAlignment w:val="auto"/>
        <w:outlineLvl w:val="0"/>
        <w:rPr>
          <w:rFonts w:hint="default" w:ascii="Times New Roman" w:hAnsi="Times New Roman" w:eastAsia="宋体" w:cs="Times New Roman"/>
          <w:b/>
          <w:bCs/>
          <w:color w:val="auto"/>
          <w:sz w:val="24"/>
          <w:szCs w:val="24"/>
          <w:highlight w:val="none"/>
          <w:lang w:eastAsia="zh-CN"/>
        </w:rPr>
      </w:pPr>
      <w:bookmarkStart w:id="135" w:name="_Toc1085"/>
      <w:bookmarkStart w:id="136" w:name="_Toc13440"/>
      <w:r>
        <w:rPr>
          <w:rFonts w:hint="default" w:ascii="Times New Roman" w:hAnsi="Times New Roman" w:eastAsia="宋体" w:cs="Times New Roman"/>
          <w:b/>
          <w:bCs/>
          <w:color w:val="auto"/>
          <w:kern w:val="0"/>
          <w:sz w:val="24"/>
          <w:szCs w:val="24"/>
          <w:highlight w:val="none"/>
          <w:lang w:val="en-US" w:eastAsia="zh-CN" w:bidi="ar-SA"/>
        </w:rPr>
        <w:t xml:space="preserve">附图6 </w:t>
      </w:r>
      <w:r>
        <w:rPr>
          <w:rFonts w:hint="eastAsia" w:cs="Times New Roman"/>
          <w:b/>
          <w:bCs/>
          <w:color w:val="auto"/>
          <w:sz w:val="24"/>
          <w:szCs w:val="24"/>
          <w:highlight w:val="none"/>
          <w:lang w:val="en-US" w:eastAsia="zh-CN"/>
        </w:rPr>
        <w:t>周边水系</w:t>
      </w:r>
      <w:r>
        <w:rPr>
          <w:rFonts w:hint="default" w:ascii="Times New Roman" w:hAnsi="Times New Roman" w:eastAsia="宋体" w:cs="Times New Roman"/>
          <w:b/>
          <w:bCs/>
          <w:color w:val="auto"/>
          <w:sz w:val="24"/>
          <w:szCs w:val="24"/>
          <w:highlight w:val="none"/>
          <w:lang w:eastAsia="zh-CN"/>
        </w:rPr>
        <w:t>图</w:t>
      </w:r>
      <w:bookmarkEnd w:id="135"/>
      <w:bookmarkEnd w:id="136"/>
    </w:p>
    <w:p w14:paraId="4674795E">
      <w:pPr>
        <w:pStyle w:val="2"/>
        <w:jc w:val="center"/>
        <w:rPr>
          <w:rFonts w:hint="default" w:ascii="Times New Roman" w:hAnsi="Times New Roman" w:eastAsia="宋体" w:cs="Times New Roman"/>
          <w:b/>
          <w:bCs/>
          <w:color w:val="auto"/>
          <w:sz w:val="24"/>
          <w:szCs w:val="24"/>
          <w:highlight w:val="none"/>
          <w:lang w:eastAsia="zh-CN"/>
        </w:rPr>
      </w:pPr>
      <w:r>
        <w:rPr>
          <w:sz w:val="24"/>
        </w:rPr>
        <mc:AlternateContent>
          <mc:Choice Requires="wpg">
            <w:drawing>
              <wp:anchor distT="0" distB="0" distL="0" distR="0" simplePos="0" relativeHeight="251659264" behindDoc="0" locked="0" layoutInCell="1" allowOverlap="1">
                <wp:simplePos x="0" y="0"/>
                <wp:positionH relativeFrom="column">
                  <wp:posOffset>2482215</wp:posOffset>
                </wp:positionH>
                <wp:positionV relativeFrom="paragraph">
                  <wp:posOffset>2143760</wp:posOffset>
                </wp:positionV>
                <wp:extent cx="914400" cy="693420"/>
                <wp:effectExtent l="0" t="0" r="0" b="49530"/>
                <wp:wrapNone/>
                <wp:docPr id="1080" name="组合 184"/>
                <wp:cNvGraphicFramePr/>
                <a:graphic xmlns:a="http://schemas.openxmlformats.org/drawingml/2006/main">
                  <a:graphicData uri="http://schemas.microsoft.com/office/word/2010/wordprocessingGroup">
                    <wpg:wgp>
                      <wpg:cNvGrpSpPr/>
                      <wpg:grpSpPr>
                        <a:xfrm rot="0">
                          <a:off x="0" y="0"/>
                          <a:ext cx="914400" cy="693419"/>
                          <a:chOff x="6885" y="1344607"/>
                          <a:chExt cx="1440" cy="1092"/>
                        </a:xfrm>
                      </wpg:grpSpPr>
                      <wps:wsp>
                        <wps:cNvPr id="3" name="十字星 3"/>
                        <wps:cNvSpPr/>
                        <wps:spPr>
                          <a:xfrm>
                            <a:off x="7245" y="1345385"/>
                            <a:ext cx="284" cy="315"/>
                          </a:xfrm>
                          <a:prstGeom prst="star4">
                            <a:avLst/>
                          </a:prstGeom>
                          <a:solidFill>
                            <a:srgbClr val="00B0F0"/>
                          </a:solidFill>
                          <a:ln w="12700" cap="flat" cmpd="sng">
                            <a:solidFill>
                              <a:srgbClr val="000000"/>
                            </a:solidFill>
                            <a:prstDash val="solid"/>
                            <a:miter/>
                          </a:ln>
                        </wps:spPr>
                        <wps:bodyPr/>
                      </wps:wsp>
                      <wpg:grpSp>
                        <wpg:cNvPr id="4" name="组合 4"/>
                        <wpg:cNvGrpSpPr/>
                        <wpg:grpSpPr>
                          <a:xfrm>
                            <a:off x="6885" y="1344607"/>
                            <a:ext cx="1440" cy="510"/>
                            <a:chOff x="6885" y="1344607"/>
                            <a:chExt cx="1440" cy="510"/>
                          </a:xfrm>
                        </wpg:grpSpPr>
                        <wps:wsp>
                          <wps:cNvPr id="5" name="矩形标注 5"/>
                          <wps:cNvSpPr/>
                          <wps:spPr>
                            <a:xfrm>
                              <a:off x="7155" y="1344712"/>
                              <a:ext cx="899" cy="390"/>
                            </a:xfrm>
                            <a:prstGeom prst="wedgeRectCallout">
                              <a:avLst>
                                <a:gd name="adj1" fmla="val -20810"/>
                                <a:gd name="adj2" fmla="val 112564"/>
                              </a:avLst>
                            </a:prstGeom>
                            <a:solidFill>
                              <a:srgbClr val="FFFFFF"/>
                            </a:solidFill>
                            <a:ln w="12700" cap="flat" cmpd="sng">
                              <a:solidFill>
                                <a:srgbClr val="000000"/>
                              </a:solidFill>
                              <a:prstDash val="solid"/>
                              <a:miter/>
                            </a:ln>
                          </wps:spPr>
                          <wps:txbx>
                            <w:txbxContent>
                              <w:p w14:paraId="03680A4C">
                                <w:pPr>
                                  <w:jc w:val="center"/>
                                </w:pPr>
                              </w:p>
                            </w:txbxContent>
                          </wps:txbx>
                          <wps:bodyPr vert="horz" wrap="square" lIns="91440" tIns="45720" rIns="91440" bIns="45720" anchor="ctr">
                            <a:noAutofit/>
                          </wps:bodyPr>
                        </wps:wsp>
                        <wps:wsp>
                          <wps:cNvPr id="6" name="矩形 6"/>
                          <wps:cNvSpPr/>
                          <wps:spPr>
                            <a:xfrm>
                              <a:off x="6885" y="1344607"/>
                              <a:ext cx="1440" cy="511"/>
                            </a:xfrm>
                            <a:prstGeom prst="rect">
                              <a:avLst/>
                            </a:prstGeom>
                            <a:ln>
                              <a:noFill/>
                            </a:ln>
                          </wps:spPr>
                          <wps:txbx>
                            <w:txbxContent>
                              <w:p w14:paraId="3A320E1B">
                                <w:pPr>
                                  <w:jc w:val="center"/>
                                  <w:rPr>
                                    <w:rFonts w:hint="eastAsia" w:eastAsia="宋体"/>
                                    <w:sz w:val="18"/>
                                    <w:szCs w:val="18"/>
                                    <w:lang w:val="en-US" w:eastAsia="zh-CN"/>
                                  </w:rPr>
                                </w:pPr>
                                <w:r>
                                  <w:rPr>
                                    <w:rFonts w:hint="eastAsia"/>
                                    <w:sz w:val="18"/>
                                    <w:szCs w:val="18"/>
                                    <w:lang w:val="en-US" w:eastAsia="zh-CN"/>
                                  </w:rPr>
                                  <w:t>建设项目</w:t>
                                </w:r>
                              </w:p>
                            </w:txbxContent>
                          </wps:txbx>
                          <wps:bodyPr vert="horz" wrap="square" lIns="91440" tIns="45720" rIns="91440" bIns="45720" anchor="t">
                            <a:noAutofit/>
                          </wps:bodyPr>
                        </wps:wsp>
                      </wpg:grpSp>
                    </wpg:wgp>
                  </a:graphicData>
                </a:graphic>
              </wp:anchor>
            </w:drawing>
          </mc:Choice>
          <mc:Fallback>
            <w:pict>
              <v:group id="组合 184" o:spid="_x0000_s1026" o:spt="203" style="position:absolute;left:0pt;margin-left:195.45pt;margin-top:168.8pt;height:54.6pt;width:72pt;z-index:251659264;mso-width-relative:page;mso-height-relative:page;" coordorigin="6885,1344607" coordsize="1440,1092" o:gfxdata="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">
                <o:lock v:ext="edit" aspectratio="f"/>
                <v:shape id="_x0000_s1026" o:spid="_x0000_s1026" o:spt="187" type="#_x0000_t187" style="position:absolute;left:7245;top:1345385;height:315;width:284;" fillcolor="#00B0F0" filled="t" stroked="t" coordsize="21600,21600" o:gfxdata="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LhAX7sAAADa&#10;AAAADwAAAAAAAAABACAAAAAiAAAAZHJzL2Rvd25yZXYueG1sUEsBAhQAFAAAAAgAh07iQDMvBZ47&#10;AAAAOQAAABAAAAAAAAAAAQAgAAAACgEAAGRycy9zaGFwZXhtbC54bWxQSwUGAAAAAAYABgBbAQAA&#10;tAMAAAAA&#10;" adj="8100">
                  <v:fill on="t" focussize="0,0"/>
                  <v:stroke weight="1pt" color="#000000" joinstyle="miter"/>
                  <v:imagedata o:title=""/>
                  <o:lock v:ext="edit" aspectratio="f"/>
                </v:shape>
                <v:group id="_x0000_s1026" o:spid="_x0000_s1026" o:spt="203" style="position:absolute;left:6885;top:1344607;height:510;width:1440;" coordorigin="6885,1344607" coordsize="1440,510"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shape id="_x0000_s1026" o:spid="_x0000_s1026" o:spt="61" type="#_x0000_t61" style="position:absolute;left:7155;top:1344712;height:390;width:899;v-text-anchor:middle;" fillcolor="#FFFFFF" filled="t" stroked="t" coordsize="21600,21600" o:gfxdata="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Tur+68AAAA&#10;2gAAAA8AAAAAAAAAAQAgAAAAIgAAAGRycy9kb3ducmV2LnhtbFBLAQIUABQAAAAIAIdO4kAzLwWe&#10;OwAAADkAAAAQAAAAAAAAAAEAIAAAAAsBAABkcnMvc2hhcGV4bWwueG1sUEsFBgAAAAAGAAYAWwEA&#10;ALUDAAAAAA==&#10;" adj="6305,35114">
                    <v:fill on="t" focussize="0,0"/>
                    <v:stroke weight="1pt" color="#000000" joinstyle="miter"/>
                    <v:imagedata o:title=""/>
                    <o:lock v:ext="edit" aspectratio="f"/>
                    <v:textbox>
                      <w:txbxContent>
                        <w:p w14:paraId="03680A4C">
                          <w:pPr>
                            <w:jc w:val="center"/>
                          </w:pPr>
                        </w:p>
                      </w:txbxContent>
                    </v:textbox>
                  </v:shape>
                  <v:rect id="_x0000_s1026" o:spid="_x0000_s1026" o:spt="1" style="position:absolute;left:6885;top:1344607;height:511;width:1440;" filled="f" stroked="f" coordsize="21600,21600" o:gfxdata="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PRsTm8AAAA&#10;2g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3A320E1B">
                          <w:pPr>
                            <w:jc w:val="center"/>
                            <w:rPr>
                              <w:rFonts w:hint="eastAsia" w:eastAsia="宋体"/>
                              <w:sz w:val="18"/>
                              <w:szCs w:val="18"/>
                              <w:lang w:val="en-US" w:eastAsia="zh-CN"/>
                            </w:rPr>
                          </w:pPr>
                          <w:r>
                            <w:rPr>
                              <w:rFonts w:hint="eastAsia"/>
                              <w:sz w:val="18"/>
                              <w:szCs w:val="18"/>
                              <w:lang w:val="en-US" w:eastAsia="zh-CN"/>
                            </w:rPr>
                            <w:t>建设项目</w:t>
                          </w:r>
                        </w:p>
                      </w:txbxContent>
                    </v:textbox>
                  </v:rect>
                </v:group>
              </v:group>
            </w:pict>
          </mc:Fallback>
        </mc:AlternateContent>
      </w:r>
      <w:r>
        <w:rPr>
          <w:position w:val="-263"/>
        </w:rPr>
        <w:drawing>
          <wp:inline distT="0" distB="0" distL="0" distR="0">
            <wp:extent cx="5266690" cy="8353425"/>
            <wp:effectExtent l="0" t="0" r="10160" b="9525"/>
            <wp:docPr id="1085" name="IM 12"/>
            <wp:cNvGraphicFramePr/>
            <a:graphic xmlns:a="http://schemas.openxmlformats.org/drawingml/2006/main">
              <a:graphicData uri="http://schemas.openxmlformats.org/drawingml/2006/picture">
                <pic:pic xmlns:pic="http://schemas.openxmlformats.org/drawingml/2006/picture">
                  <pic:nvPicPr>
                    <pic:cNvPr id="1085" name="IM 12"/>
                    <pic:cNvPicPr/>
                  </pic:nvPicPr>
                  <pic:blipFill>
                    <a:blip r:embed="rId44" cstate="print"/>
                    <a:srcRect/>
                    <a:stretch>
                      <a:fillRect/>
                    </a:stretch>
                  </pic:blipFill>
                  <pic:spPr>
                    <a:xfrm>
                      <a:off x="0" y="0"/>
                      <a:ext cx="5266690" cy="8353425"/>
                    </a:xfrm>
                    <a:prstGeom prst="rect">
                      <a:avLst/>
                    </a:prstGeom>
                  </pic:spPr>
                </pic:pic>
              </a:graphicData>
            </a:graphic>
          </wp:inline>
        </w:drawing>
      </w:r>
    </w:p>
    <w:p w14:paraId="1ABDDC0F">
      <w:pPr>
        <w:rPr>
          <w:rFonts w:hint="default" w:ascii="Times New Roman" w:hAnsi="Times New Roman" w:eastAsia="宋体" w:cs="Times New Roman"/>
          <w:b/>
          <w:bCs/>
          <w:color w:val="auto"/>
          <w:sz w:val="24"/>
          <w:szCs w:val="24"/>
          <w:highlight w:val="none"/>
          <w:lang w:eastAsia="zh-CN"/>
        </w:rPr>
        <w:sectPr>
          <w:pgSz w:w="11906" w:h="16838"/>
          <w:pgMar w:top="1417" w:right="1134" w:bottom="1559" w:left="141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6AEF406B">
      <w:pPr>
        <w:pStyle w:val="3"/>
        <w:numPr>
          <w:ilvl w:val="0"/>
          <w:numId w:val="0"/>
        </w:numPr>
        <w:bidi w:val="0"/>
        <w:ind w:left="0" w:leftChars="0" w:firstLine="397" w:firstLineChars="0"/>
        <w:outlineLvl w:val="0"/>
        <w:rPr>
          <w:rFonts w:hint="default" w:ascii="Times New Roman" w:hAnsi="Times New Roman" w:eastAsia="宋体" w:cs="Times New Roman"/>
          <w:b/>
          <w:bCs/>
          <w:color w:val="auto"/>
          <w:sz w:val="24"/>
          <w:szCs w:val="24"/>
          <w:highlight w:val="none"/>
          <w:lang w:eastAsia="zh-CN"/>
        </w:rPr>
      </w:pPr>
      <w:bookmarkStart w:id="137" w:name="_Toc10881"/>
      <w:bookmarkStart w:id="138" w:name="_Toc24616"/>
      <w:r>
        <w:rPr>
          <w:rFonts w:hint="default" w:ascii="Times New Roman" w:hAnsi="Times New Roman" w:eastAsia="宋体" w:cs="Times New Roman"/>
          <w:b/>
          <w:bCs/>
          <w:color w:val="auto"/>
          <w:kern w:val="2"/>
          <w:sz w:val="24"/>
          <w:szCs w:val="24"/>
          <w:highlight w:val="none"/>
          <w:lang w:val="en-US" w:eastAsia="zh-CN" w:bidi="ar-SA"/>
        </w:rPr>
        <w:t xml:space="preserve">附图7 </w:t>
      </w:r>
      <w:r>
        <w:rPr>
          <w:rFonts w:hint="default" w:ascii="Times New Roman" w:hAnsi="Times New Roman" w:eastAsia="宋体" w:cs="Times New Roman"/>
          <w:b/>
          <w:bCs/>
          <w:color w:val="auto"/>
          <w:sz w:val="24"/>
          <w:szCs w:val="24"/>
          <w:highlight w:val="none"/>
          <w:lang w:eastAsia="zh-CN"/>
        </w:rPr>
        <w:t>大气环境功能区划图</w:t>
      </w:r>
      <w:bookmarkEnd w:id="137"/>
      <w:bookmarkEnd w:id="138"/>
    </w:p>
    <w:p w14:paraId="6BCD3C55">
      <w:pPr>
        <w:kinsoku w:val="0"/>
        <w:overflowPunct w:val="0"/>
        <w:adjustRightInd w:val="0"/>
        <w:snapToGrid w:val="0"/>
        <w:ind w:firstLine="480" w:firstLineChars="200"/>
        <w:jc w:val="center"/>
        <w:rPr>
          <w:rFonts w:hint="eastAsia" w:ascii="Times New Roman" w:hAnsi="Times New Roman" w:eastAsia="宋体" w:cs="Times New Roman"/>
          <w:color w:val="auto"/>
          <w:highlight w:val="none"/>
          <w:lang w:eastAsia="zh-CN"/>
        </w:rPr>
      </w:pPr>
      <w:r>
        <w:rPr>
          <w:sz w:val="24"/>
        </w:rPr>
        <mc:AlternateContent>
          <mc:Choice Requires="wpg">
            <w:drawing>
              <wp:anchor distT="0" distB="0" distL="0" distR="0" simplePos="0" relativeHeight="251659264" behindDoc="0" locked="0" layoutInCell="1" allowOverlap="1">
                <wp:simplePos x="0" y="0"/>
                <wp:positionH relativeFrom="column">
                  <wp:posOffset>3515995</wp:posOffset>
                </wp:positionH>
                <wp:positionV relativeFrom="paragraph">
                  <wp:posOffset>3281680</wp:posOffset>
                </wp:positionV>
                <wp:extent cx="914400" cy="693420"/>
                <wp:effectExtent l="0" t="0" r="0" b="49530"/>
                <wp:wrapNone/>
                <wp:docPr id="1086" name="组合 179"/>
                <wp:cNvGraphicFramePr/>
                <a:graphic xmlns:a="http://schemas.openxmlformats.org/drawingml/2006/main">
                  <a:graphicData uri="http://schemas.microsoft.com/office/word/2010/wordprocessingGroup">
                    <wpg:wgp>
                      <wpg:cNvGrpSpPr/>
                      <wpg:grpSpPr>
                        <a:xfrm rot="0">
                          <a:off x="0" y="0"/>
                          <a:ext cx="914400" cy="693420"/>
                          <a:chOff x="6885" y="1344607"/>
                          <a:chExt cx="1440" cy="1092"/>
                        </a:xfrm>
                      </wpg:grpSpPr>
                      <wps:wsp>
                        <wps:cNvPr id="7" name="十字星 7"/>
                        <wps:cNvSpPr/>
                        <wps:spPr>
                          <a:xfrm>
                            <a:off x="7245" y="1345385"/>
                            <a:ext cx="284" cy="315"/>
                          </a:xfrm>
                          <a:prstGeom prst="star4">
                            <a:avLst/>
                          </a:prstGeom>
                          <a:solidFill>
                            <a:srgbClr val="00B0F0"/>
                          </a:solidFill>
                          <a:ln w="12700" cap="flat" cmpd="sng">
                            <a:solidFill>
                              <a:srgbClr val="000000"/>
                            </a:solidFill>
                            <a:prstDash val="solid"/>
                            <a:miter/>
                          </a:ln>
                        </wps:spPr>
                        <wps:bodyPr/>
                      </wps:wsp>
                      <wpg:grpSp>
                        <wpg:cNvPr id="8" name="组合 8"/>
                        <wpg:cNvGrpSpPr/>
                        <wpg:grpSpPr>
                          <a:xfrm>
                            <a:off x="6885" y="1344607"/>
                            <a:ext cx="1440" cy="510"/>
                            <a:chOff x="6885" y="1344607"/>
                            <a:chExt cx="1440" cy="510"/>
                          </a:xfrm>
                        </wpg:grpSpPr>
                        <wps:wsp>
                          <wps:cNvPr id="9" name="矩形标注 9"/>
                          <wps:cNvSpPr/>
                          <wps:spPr>
                            <a:xfrm>
                              <a:off x="7155" y="1344712"/>
                              <a:ext cx="899" cy="390"/>
                            </a:xfrm>
                            <a:prstGeom prst="wedgeRectCallout">
                              <a:avLst>
                                <a:gd name="adj1" fmla="val -20810"/>
                                <a:gd name="adj2" fmla="val 112564"/>
                              </a:avLst>
                            </a:prstGeom>
                            <a:solidFill>
                              <a:srgbClr val="FFFFFF"/>
                            </a:solidFill>
                            <a:ln w="12700" cap="flat" cmpd="sng">
                              <a:solidFill>
                                <a:srgbClr val="000000"/>
                              </a:solidFill>
                              <a:prstDash val="solid"/>
                              <a:miter/>
                            </a:ln>
                          </wps:spPr>
                          <wps:txbx>
                            <w:txbxContent>
                              <w:p w14:paraId="1DD226C6">
                                <w:pPr>
                                  <w:jc w:val="center"/>
                                </w:pPr>
                              </w:p>
                            </w:txbxContent>
                          </wps:txbx>
                          <wps:bodyPr vert="horz" wrap="square" lIns="91440" tIns="45720" rIns="91440" bIns="45720" anchor="ctr">
                            <a:noAutofit/>
                          </wps:bodyPr>
                        </wps:wsp>
                        <wps:wsp>
                          <wps:cNvPr id="10" name="矩形 10"/>
                          <wps:cNvSpPr/>
                          <wps:spPr>
                            <a:xfrm>
                              <a:off x="6885" y="1344607"/>
                              <a:ext cx="1440" cy="511"/>
                            </a:xfrm>
                            <a:prstGeom prst="rect">
                              <a:avLst/>
                            </a:prstGeom>
                            <a:ln>
                              <a:noFill/>
                            </a:ln>
                          </wps:spPr>
                          <wps:txbx>
                            <w:txbxContent>
                              <w:p w14:paraId="5661D5A2">
                                <w:pPr>
                                  <w:jc w:val="center"/>
                                  <w:rPr>
                                    <w:rFonts w:hint="eastAsia" w:eastAsia="宋体"/>
                                    <w:sz w:val="18"/>
                                    <w:szCs w:val="18"/>
                                    <w:lang w:val="en-US" w:eastAsia="zh-CN"/>
                                  </w:rPr>
                                </w:pPr>
                                <w:r>
                                  <w:rPr>
                                    <w:rFonts w:hint="eastAsia"/>
                                    <w:sz w:val="18"/>
                                    <w:szCs w:val="18"/>
                                    <w:lang w:val="en-US" w:eastAsia="zh-CN"/>
                                  </w:rPr>
                                  <w:t>建设项目</w:t>
                                </w:r>
                              </w:p>
                            </w:txbxContent>
                          </wps:txbx>
                          <wps:bodyPr vert="horz" wrap="square" lIns="91440" tIns="45720" rIns="91440" bIns="45720" anchor="t">
                            <a:noAutofit/>
                          </wps:bodyPr>
                        </wps:wsp>
                      </wpg:grpSp>
                    </wpg:wgp>
                  </a:graphicData>
                </a:graphic>
              </wp:anchor>
            </w:drawing>
          </mc:Choice>
          <mc:Fallback>
            <w:pict>
              <v:group id="组合 179" o:spid="_x0000_s1026" o:spt="203" style="position:absolute;left:0pt;margin-left:276.85pt;margin-top:258.4pt;height:54.6pt;width:72pt;z-index:251659264;mso-width-relative:page;mso-height-relative:page;" coordorigin="6885,1344607" coordsize="1440,1092" o:gfxdata="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">
                <o:lock v:ext="edit" aspectratio="f"/>
                <v:shape id="_x0000_s1026" o:spid="_x0000_s1026" o:spt="187" type="#_x0000_t187" style="position:absolute;left:7245;top:1345385;height:315;width:284;" fillcolor="#00B0F0" filled="t" stroked="t" coordsize="21600,21600" o:gfxdata="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ODRly8AAAA&#10;2gAAAA8AAAAAAAAAAQAgAAAAIgAAAGRycy9kb3ducmV2LnhtbFBLAQIUABQAAAAIAIdO4kAzLwWe&#10;OwAAADkAAAAQAAAAAAAAAAEAIAAAAAsBAABkcnMvc2hhcGV4bWwueG1sUEsFBgAAAAAGAAYAWwEA&#10;ALUDAAAAAA==&#10;" adj="8100">
                  <v:fill on="t" focussize="0,0"/>
                  <v:stroke weight="1pt" color="#000000" joinstyle="miter"/>
                  <v:imagedata o:title=""/>
                  <o:lock v:ext="edit" aspectratio="f"/>
                </v:shape>
                <v:group id="_x0000_s1026" o:spid="_x0000_s1026" o:spt="203" style="position:absolute;left:6885;top:1344607;height:510;width:1440;" coordorigin="6885,1344607" coordsize="1440,510" o:gfxdata="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vPm5boAAADaAAAADwAAAAAAAAABACAAAAAiAAAAZHJzL2Rvd25yZXYueG1sUEsB&#10;AhQAFAAAAAgAh07iQDMvBZ47AAAAOQAAABUAAAAAAAAAAQAgAAAACQEAAGRycy9ncm91cHNoYXBl&#10;eG1sLnhtbFBLBQYAAAAABgAGAGABAADGAwAAAAA=&#10;">
                  <o:lock v:ext="edit" aspectratio="f"/>
                  <v:shape id="_x0000_s1026" o:spid="_x0000_s1026" o:spt="61" type="#_x0000_t61" style="position:absolute;left:7155;top:1344712;height:390;width:899;v-text-anchor:middle;" fillcolor="#FFFFFF" filled="t" stroked="t" coordsize="21600,21600" o:gfxdata="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aOl674A&#10;AADaAAAADwAAAAAAAAABACAAAAAiAAAAZHJzL2Rvd25yZXYueG1sUEsBAhQAFAAAAAgAh07iQDMv&#10;BZ47AAAAOQAAABAAAAAAAAAAAQAgAAAADQEAAGRycy9zaGFwZXhtbC54bWxQSwUGAAAAAAYABgBb&#10;AQAAtwMAAAAA&#10;" adj="6305,35114">
                    <v:fill on="t" focussize="0,0"/>
                    <v:stroke weight="1pt" color="#000000" joinstyle="miter"/>
                    <v:imagedata o:title=""/>
                    <o:lock v:ext="edit" aspectratio="f"/>
                    <v:textbox>
                      <w:txbxContent>
                        <w:p w14:paraId="1DD226C6">
                          <w:pPr>
                            <w:jc w:val="center"/>
                          </w:pPr>
                        </w:p>
                      </w:txbxContent>
                    </v:textbox>
                  </v:shape>
                  <v:rect id="_x0000_s1026" o:spid="_x0000_s1026" o:spt="1" style="position:absolute;left:6885;top:1344607;height:511;width:1440;" filled="f" stroked="f" coordsize="21600,21600" o:gfxdata="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P6QQ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5661D5A2">
                          <w:pPr>
                            <w:jc w:val="center"/>
                            <w:rPr>
                              <w:rFonts w:hint="eastAsia" w:eastAsia="宋体"/>
                              <w:sz w:val="18"/>
                              <w:szCs w:val="18"/>
                              <w:lang w:val="en-US" w:eastAsia="zh-CN"/>
                            </w:rPr>
                          </w:pPr>
                          <w:r>
                            <w:rPr>
                              <w:rFonts w:hint="eastAsia"/>
                              <w:sz w:val="18"/>
                              <w:szCs w:val="18"/>
                              <w:lang w:val="en-US" w:eastAsia="zh-CN"/>
                            </w:rPr>
                            <w:t>建设项目</w:t>
                          </w:r>
                        </w:p>
                      </w:txbxContent>
                    </v:textbox>
                  </v:rect>
                </v:group>
              </v:group>
            </w:pict>
          </mc:Fallback>
        </mc:AlternateContent>
      </w:r>
      <w:r>
        <w:rPr>
          <w:position w:val="-263"/>
        </w:rPr>
        <w:drawing>
          <wp:inline distT="0" distB="0" distL="0" distR="0">
            <wp:extent cx="5266690" cy="8353425"/>
            <wp:effectExtent l="0" t="0" r="10160" b="9525"/>
            <wp:docPr id="1091" name="IM 22"/>
            <wp:cNvGraphicFramePr/>
            <a:graphic xmlns:a="http://schemas.openxmlformats.org/drawingml/2006/main">
              <a:graphicData uri="http://schemas.openxmlformats.org/drawingml/2006/picture">
                <pic:pic xmlns:pic="http://schemas.openxmlformats.org/drawingml/2006/picture">
                  <pic:nvPicPr>
                    <pic:cNvPr id="1091" name="IM 22"/>
                    <pic:cNvPicPr/>
                  </pic:nvPicPr>
                  <pic:blipFill>
                    <a:blip r:embed="rId45" cstate="print"/>
                    <a:srcRect/>
                    <a:stretch>
                      <a:fillRect/>
                    </a:stretch>
                  </pic:blipFill>
                  <pic:spPr>
                    <a:xfrm>
                      <a:off x="0" y="0"/>
                      <a:ext cx="5266690" cy="8353425"/>
                    </a:xfrm>
                    <a:prstGeom prst="rect">
                      <a:avLst/>
                    </a:prstGeom>
                  </pic:spPr>
                </pic:pic>
              </a:graphicData>
            </a:graphic>
          </wp:inline>
        </w:drawing>
      </w:r>
    </w:p>
    <w:p w14:paraId="00DCB673">
      <w:pPr>
        <w:rPr>
          <w:rFonts w:hint="default" w:ascii="Times New Roman" w:hAnsi="Times New Roman" w:cs="Times New Roman"/>
          <w:color w:val="auto"/>
          <w:highlight w:val="none"/>
          <w:lang w:eastAsia="zh-CN"/>
        </w:rPr>
        <w:sectPr>
          <w:pgSz w:w="11906" w:h="16838"/>
          <w:pgMar w:top="1417" w:right="1134" w:bottom="1559" w:left="141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20407A8B">
      <w:pPr>
        <w:pStyle w:val="3"/>
        <w:numPr>
          <w:ilvl w:val="0"/>
          <w:numId w:val="0"/>
        </w:numPr>
        <w:bidi w:val="0"/>
        <w:ind w:left="0" w:leftChars="0" w:firstLine="397" w:firstLineChars="0"/>
        <w:outlineLvl w:val="0"/>
        <w:rPr>
          <w:rFonts w:hint="default" w:ascii="Times New Roman" w:hAnsi="Times New Roman" w:eastAsia="宋体" w:cs="Times New Roman"/>
          <w:b/>
          <w:bCs/>
          <w:color w:val="auto"/>
          <w:sz w:val="24"/>
          <w:szCs w:val="24"/>
          <w:highlight w:val="none"/>
          <w:lang w:val="en-US" w:eastAsia="zh-CN"/>
        </w:rPr>
      </w:pPr>
      <w:bookmarkStart w:id="139" w:name="_Toc2821"/>
      <w:r>
        <w:rPr>
          <w:rFonts w:hint="default" w:ascii="Times New Roman" w:hAnsi="Times New Roman" w:eastAsia="宋体" w:cs="Times New Roman"/>
          <w:b/>
          <w:bCs/>
          <w:color w:val="auto"/>
          <w:kern w:val="2"/>
          <w:sz w:val="24"/>
          <w:szCs w:val="24"/>
          <w:highlight w:val="none"/>
          <w:lang w:val="en-US" w:eastAsia="zh-CN" w:bidi="ar-SA"/>
        </w:rPr>
        <w:t xml:space="preserve">附图8 </w:t>
      </w:r>
      <w:r>
        <w:rPr>
          <w:rFonts w:hint="eastAsia" w:ascii="Times New Roman" w:hAnsi="Times New Roman" w:eastAsia="宋体" w:cs="Times New Roman"/>
          <w:b/>
          <w:bCs/>
          <w:color w:val="auto"/>
          <w:sz w:val="24"/>
          <w:szCs w:val="24"/>
          <w:highlight w:val="none"/>
          <w:lang w:val="en-US" w:eastAsia="zh-CN"/>
        </w:rPr>
        <w:t>声环境功能区划图</w:t>
      </w:r>
      <w:bookmarkEnd w:id="139"/>
    </w:p>
    <w:p w14:paraId="0156A967">
      <w:pPr>
        <w:pStyle w:val="3"/>
        <w:numPr>
          <w:ilvl w:val="0"/>
          <w:numId w:val="0"/>
        </w:numPr>
        <w:bidi w:val="0"/>
        <w:ind w:left="0" w:leftChars="0" w:firstLine="397" w:firstLineChars="0"/>
        <w:outlineLvl w:val="9"/>
      </w:pPr>
      <w:r>
        <w:rPr>
          <w:sz w:val="24"/>
        </w:rPr>
        <mc:AlternateContent>
          <mc:Choice Requires="wpg">
            <w:drawing>
              <wp:anchor distT="0" distB="0" distL="0" distR="0" simplePos="0" relativeHeight="251659264" behindDoc="0" locked="0" layoutInCell="1" allowOverlap="1">
                <wp:simplePos x="0" y="0"/>
                <wp:positionH relativeFrom="column">
                  <wp:posOffset>3863340</wp:posOffset>
                </wp:positionH>
                <wp:positionV relativeFrom="paragraph">
                  <wp:posOffset>1925955</wp:posOffset>
                </wp:positionV>
                <wp:extent cx="914400" cy="693420"/>
                <wp:effectExtent l="0" t="0" r="0" b="49530"/>
                <wp:wrapNone/>
                <wp:docPr id="1092" name="组合 115"/>
                <wp:cNvGraphicFramePr/>
                <a:graphic xmlns:a="http://schemas.openxmlformats.org/drawingml/2006/main">
                  <a:graphicData uri="http://schemas.microsoft.com/office/word/2010/wordprocessingGroup">
                    <wpg:wgp>
                      <wpg:cNvGrpSpPr/>
                      <wpg:grpSpPr>
                        <a:xfrm rot="0">
                          <a:off x="0" y="0"/>
                          <a:ext cx="914400" cy="693419"/>
                          <a:chOff x="6885" y="1344607"/>
                          <a:chExt cx="1440" cy="1092"/>
                        </a:xfrm>
                      </wpg:grpSpPr>
                      <wps:wsp>
                        <wps:cNvPr id="11" name="十字星 11"/>
                        <wps:cNvSpPr/>
                        <wps:spPr>
                          <a:xfrm>
                            <a:off x="7245" y="1345385"/>
                            <a:ext cx="284" cy="315"/>
                          </a:xfrm>
                          <a:prstGeom prst="star4">
                            <a:avLst/>
                          </a:prstGeom>
                          <a:solidFill>
                            <a:srgbClr val="00B0F0"/>
                          </a:solidFill>
                          <a:ln w="12700" cap="flat" cmpd="sng">
                            <a:solidFill>
                              <a:srgbClr val="000000"/>
                            </a:solidFill>
                            <a:prstDash val="solid"/>
                            <a:miter/>
                          </a:ln>
                        </wps:spPr>
                        <wps:bodyPr/>
                      </wps:wsp>
                      <wpg:grpSp>
                        <wpg:cNvPr id="12" name="组合 12"/>
                        <wpg:cNvGrpSpPr/>
                        <wpg:grpSpPr>
                          <a:xfrm>
                            <a:off x="6885" y="1344607"/>
                            <a:ext cx="1440" cy="510"/>
                            <a:chOff x="6885" y="1344607"/>
                            <a:chExt cx="1440" cy="510"/>
                          </a:xfrm>
                        </wpg:grpSpPr>
                        <wps:wsp>
                          <wps:cNvPr id="13" name="矩形标注 13"/>
                          <wps:cNvSpPr/>
                          <wps:spPr>
                            <a:xfrm>
                              <a:off x="7155" y="1344712"/>
                              <a:ext cx="899" cy="390"/>
                            </a:xfrm>
                            <a:prstGeom prst="wedgeRectCallout">
                              <a:avLst>
                                <a:gd name="adj1" fmla="val -20810"/>
                                <a:gd name="adj2" fmla="val 112564"/>
                              </a:avLst>
                            </a:prstGeom>
                            <a:solidFill>
                              <a:srgbClr val="FFFFFF"/>
                            </a:solidFill>
                            <a:ln w="12700" cap="flat" cmpd="sng">
                              <a:solidFill>
                                <a:srgbClr val="000000"/>
                              </a:solidFill>
                              <a:prstDash val="solid"/>
                              <a:miter/>
                            </a:ln>
                          </wps:spPr>
                          <wps:txbx>
                            <w:txbxContent>
                              <w:p w14:paraId="66A28E57">
                                <w:pPr>
                                  <w:jc w:val="center"/>
                                </w:pPr>
                              </w:p>
                            </w:txbxContent>
                          </wps:txbx>
                          <wps:bodyPr vert="horz" wrap="square" lIns="91440" tIns="45720" rIns="91440" bIns="45720" anchor="ctr">
                            <a:noAutofit/>
                          </wps:bodyPr>
                        </wps:wsp>
                        <wps:wsp>
                          <wps:cNvPr id="14" name="矩形 14"/>
                          <wps:cNvSpPr/>
                          <wps:spPr>
                            <a:xfrm>
                              <a:off x="6885" y="1344607"/>
                              <a:ext cx="1440" cy="511"/>
                            </a:xfrm>
                            <a:prstGeom prst="rect">
                              <a:avLst/>
                            </a:prstGeom>
                            <a:ln>
                              <a:noFill/>
                            </a:ln>
                          </wps:spPr>
                          <wps:txbx>
                            <w:txbxContent>
                              <w:p w14:paraId="49994E45">
                                <w:pPr>
                                  <w:jc w:val="center"/>
                                  <w:rPr>
                                    <w:rFonts w:hint="eastAsia" w:eastAsia="宋体"/>
                                    <w:sz w:val="18"/>
                                    <w:szCs w:val="18"/>
                                    <w:lang w:val="en-US" w:eastAsia="zh-CN"/>
                                  </w:rPr>
                                </w:pPr>
                                <w:r>
                                  <w:rPr>
                                    <w:rFonts w:hint="eastAsia"/>
                                    <w:sz w:val="18"/>
                                    <w:szCs w:val="18"/>
                                    <w:lang w:val="en-US" w:eastAsia="zh-CN"/>
                                  </w:rPr>
                                  <w:t>建设项目</w:t>
                                </w:r>
                              </w:p>
                            </w:txbxContent>
                          </wps:txbx>
                          <wps:bodyPr vert="horz" wrap="square" lIns="91440" tIns="45720" rIns="91440" bIns="45720" anchor="t">
                            <a:noAutofit/>
                          </wps:bodyPr>
                        </wps:wsp>
                      </wpg:grpSp>
                    </wpg:wgp>
                  </a:graphicData>
                </a:graphic>
              </wp:anchor>
            </w:drawing>
          </mc:Choice>
          <mc:Fallback>
            <w:pict>
              <v:group id="组合 115" o:spid="_x0000_s1026" o:spt="203" style="position:absolute;left:0pt;margin-left:304.2pt;margin-top:151.65pt;height:54.6pt;width:72pt;z-index:251659264;mso-width-relative:page;mso-height-relative:page;" coordorigin="6885,1344607" coordsize="1440,1092" o:gfxdata="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">
                <o:lock v:ext="edit" aspectratio="f"/>
                <v:shape id="_x0000_s1026" o:spid="_x0000_s1026" o:spt="187" type="#_x0000_t187" style="position:absolute;left:7245;top:1345385;height:315;width:284;" fillcolor="#00B0F0" filled="t" stroked="t" coordsize="21600,21600" o:gfxdata="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zO/aa5AAAA2wAA&#10;AA8AAAAAAAAAAQAgAAAAIgAAAGRycy9kb3ducmV2LnhtbFBLAQIUABQAAAAIAIdO4kAzLwWeOwAA&#10;ADkAAAAQAAAAAAAAAAEAIAAAAAgBAABkcnMvc2hhcGV4bWwueG1sUEsFBgAAAAAGAAYAWwEAALID&#10;AAAAAA==&#10;" adj="8100">
                  <v:fill on="t" focussize="0,0"/>
                  <v:stroke weight="1pt" color="#000000" joinstyle="miter"/>
                  <v:imagedata o:title=""/>
                  <o:lock v:ext="edit" aspectratio="f"/>
                </v:shape>
                <v:group id="_x0000_s1026" o:spid="_x0000_s1026" o:spt="203" style="position:absolute;left:6885;top:1344607;height:510;width:1440;" coordorigin="6885,1344607" coordsize="1440,510"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aspectratio="f"/>
                  <v:shape id="_x0000_s1026" o:spid="_x0000_s1026" o:spt="61" type="#_x0000_t61" style="position:absolute;left:7155;top:1344712;height:390;width:899;v-text-anchor:middle;" fillcolor="#FFFFFF" filled="t" stroked="t" coordsize="21600,21600" o:gfxdata="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JLnzK8AAAA&#10;2wAAAA8AAAAAAAAAAQAgAAAAIgAAAGRycy9kb3ducmV2LnhtbFBLAQIUABQAAAAIAIdO4kAzLwWe&#10;OwAAADkAAAAQAAAAAAAAAAEAIAAAAAsBAABkcnMvc2hhcGV4bWwueG1sUEsFBgAAAAAGAAYAWwEA&#10;ALUDAAAAAA==&#10;" adj="6305,35114">
                    <v:fill on="t" focussize="0,0"/>
                    <v:stroke weight="1pt" color="#000000" joinstyle="miter"/>
                    <v:imagedata o:title=""/>
                    <o:lock v:ext="edit" aspectratio="f"/>
                    <v:textbox>
                      <w:txbxContent>
                        <w:p w14:paraId="66A28E57">
                          <w:pPr>
                            <w:jc w:val="center"/>
                          </w:pPr>
                        </w:p>
                      </w:txbxContent>
                    </v:textbox>
                  </v:shape>
                  <v:rect id="_x0000_s1026" o:spid="_x0000_s1026" o:spt="1" style="position:absolute;left:6885;top:1344607;height:511;width:1440;" filled="f" stroked="f" coordsize="21600,21600" o:gfxdata="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BKITugAAANsA&#10;AAAPAAAAAAAAAAEAIAAAACIAAABkcnMvZG93bnJldi54bWxQSwECFAAUAAAACACHTuJAMy8FnjsA&#10;AAA5AAAAEAAAAAAAAAABACAAAAAJAQAAZHJzL3NoYXBleG1sLnhtbFBLBQYAAAAABgAGAFsBAACz&#10;AwAAAAA=&#10;">
                    <v:fill on="f" focussize="0,0"/>
                    <v:stroke on="f"/>
                    <v:imagedata o:title=""/>
                    <o:lock v:ext="edit" aspectratio="f"/>
                    <v:textbox>
                      <w:txbxContent>
                        <w:p w14:paraId="49994E45">
                          <w:pPr>
                            <w:jc w:val="center"/>
                            <w:rPr>
                              <w:rFonts w:hint="eastAsia" w:eastAsia="宋体"/>
                              <w:sz w:val="18"/>
                              <w:szCs w:val="18"/>
                              <w:lang w:val="en-US" w:eastAsia="zh-CN"/>
                            </w:rPr>
                          </w:pPr>
                          <w:r>
                            <w:rPr>
                              <w:rFonts w:hint="eastAsia"/>
                              <w:sz w:val="18"/>
                              <w:szCs w:val="18"/>
                              <w:lang w:val="en-US" w:eastAsia="zh-CN"/>
                            </w:rPr>
                            <w:t>建设项目</w:t>
                          </w:r>
                        </w:p>
                      </w:txbxContent>
                    </v:textbox>
                  </v:rect>
                </v:group>
              </v:group>
            </w:pict>
          </mc:Fallback>
        </mc:AlternateContent>
      </w:r>
      <w:r>
        <w:drawing>
          <wp:inline distT="0" distB="0" distL="0" distR="0">
            <wp:extent cx="5505450" cy="7724775"/>
            <wp:effectExtent l="0" t="0" r="0" b="9525"/>
            <wp:docPr id="1097" name="图片 6"/>
            <wp:cNvGraphicFramePr/>
            <a:graphic xmlns:a="http://schemas.openxmlformats.org/drawingml/2006/main">
              <a:graphicData uri="http://schemas.openxmlformats.org/drawingml/2006/picture">
                <pic:pic xmlns:pic="http://schemas.openxmlformats.org/drawingml/2006/picture">
                  <pic:nvPicPr>
                    <pic:cNvPr id="1097" name="图片 6"/>
                    <pic:cNvPicPr/>
                  </pic:nvPicPr>
                  <pic:blipFill>
                    <a:blip r:embed="rId46" cstate="print"/>
                    <a:srcRect/>
                    <a:stretch>
                      <a:fillRect/>
                    </a:stretch>
                  </pic:blipFill>
                  <pic:spPr>
                    <a:xfrm>
                      <a:off x="0" y="0"/>
                      <a:ext cx="5505450" cy="7724775"/>
                    </a:xfrm>
                    <a:prstGeom prst="rect">
                      <a:avLst/>
                    </a:prstGeom>
                    <a:ln>
                      <a:noFill/>
                    </a:ln>
                  </pic:spPr>
                </pic:pic>
              </a:graphicData>
            </a:graphic>
          </wp:inline>
        </w:drawing>
      </w:r>
    </w:p>
    <w:p w14:paraId="237F50D7">
      <w:r>
        <w:br w:type="page"/>
      </w:r>
    </w:p>
    <w:p w14:paraId="48ADA895">
      <w:pPr>
        <w:rPr>
          <w:rFonts w:hint="eastAsia"/>
          <w:lang w:eastAsia="zh-CN"/>
        </w:rPr>
      </w:pPr>
      <w:bookmarkStart w:id="140" w:name="_Toc20884"/>
      <w:r>
        <w:rPr>
          <w:rFonts w:hint="default" w:ascii="Times New Roman" w:hAnsi="Times New Roman" w:eastAsia="宋体" w:cs="Times New Roman"/>
          <w:b/>
          <w:bCs/>
          <w:color w:val="auto"/>
          <w:kern w:val="2"/>
          <w:sz w:val="24"/>
          <w:szCs w:val="24"/>
          <w:highlight w:val="none"/>
          <w:lang w:val="en-US" w:eastAsia="zh-CN" w:bidi="ar-SA"/>
        </w:rPr>
        <w:t>附图</w:t>
      </w:r>
      <w:r>
        <w:rPr>
          <w:rFonts w:hint="eastAsia" w:ascii="Times New Roman" w:hAnsi="Times New Roman" w:eastAsia="宋体" w:cs="Times New Roman"/>
          <w:b/>
          <w:bCs/>
          <w:color w:val="auto"/>
          <w:kern w:val="2"/>
          <w:sz w:val="24"/>
          <w:szCs w:val="24"/>
          <w:highlight w:val="none"/>
          <w:lang w:val="en-US" w:eastAsia="zh-CN" w:bidi="ar-SA"/>
        </w:rPr>
        <w:t>9</w:t>
      </w:r>
      <w:r>
        <w:rPr>
          <w:rFonts w:hint="default" w:ascii="Times New Roman" w:hAnsi="Times New Roman" w:eastAsia="宋体" w:cs="Times New Roman"/>
          <w:b/>
          <w:bCs/>
          <w:color w:val="auto"/>
          <w:kern w:val="2"/>
          <w:sz w:val="24"/>
          <w:szCs w:val="24"/>
          <w:highlight w:val="none"/>
          <w:lang w:val="en-US" w:eastAsia="zh-CN" w:bidi="ar-SA"/>
        </w:rPr>
        <w:t xml:space="preserve"> </w:t>
      </w:r>
      <w:r>
        <w:rPr>
          <w:rFonts w:hint="default" w:ascii="Times New Roman" w:hAnsi="Times New Roman" w:eastAsia="宋体" w:cs="Times New Roman"/>
          <w:b/>
          <w:bCs/>
          <w:color w:val="auto"/>
          <w:sz w:val="24"/>
          <w:szCs w:val="24"/>
          <w:highlight w:val="none"/>
          <w:lang w:eastAsia="zh-CN"/>
        </w:rPr>
        <w:t>生态红线分布图</w:t>
      </w:r>
      <w:bookmarkEnd w:id="140"/>
    </w:p>
    <w:p w14:paraId="38FE1027">
      <w:pPr>
        <w:pStyle w:val="3"/>
        <w:jc w:val="center"/>
        <w:rPr>
          <w:rFonts w:hint="eastAsia" w:ascii="Times New Roman" w:hAnsi="Times New Roman" w:eastAsia="宋体" w:cs="Times New Roman"/>
          <w:color w:val="auto"/>
          <w:highlight w:val="none"/>
          <w:lang w:eastAsia="zh-CN"/>
        </w:rPr>
      </w:pPr>
      <w:r>
        <w:rPr>
          <w:sz w:val="24"/>
        </w:rPr>
        <mc:AlternateContent>
          <mc:Choice Requires="wpg">
            <w:drawing>
              <wp:anchor distT="0" distB="0" distL="0" distR="0" simplePos="0" relativeHeight="251659264" behindDoc="0" locked="0" layoutInCell="1" allowOverlap="1">
                <wp:simplePos x="0" y="0"/>
                <wp:positionH relativeFrom="column">
                  <wp:posOffset>3510915</wp:posOffset>
                </wp:positionH>
                <wp:positionV relativeFrom="paragraph">
                  <wp:posOffset>3184525</wp:posOffset>
                </wp:positionV>
                <wp:extent cx="914400" cy="693420"/>
                <wp:effectExtent l="0" t="0" r="0" b="49530"/>
                <wp:wrapNone/>
                <wp:docPr id="1098" name="组合 174"/>
                <wp:cNvGraphicFramePr/>
                <a:graphic xmlns:a="http://schemas.openxmlformats.org/drawingml/2006/main">
                  <a:graphicData uri="http://schemas.microsoft.com/office/word/2010/wordprocessingGroup">
                    <wpg:wgp>
                      <wpg:cNvGrpSpPr/>
                      <wpg:grpSpPr>
                        <a:xfrm rot="0">
                          <a:off x="0" y="0"/>
                          <a:ext cx="914400" cy="693420"/>
                          <a:chOff x="6885" y="1344607"/>
                          <a:chExt cx="1440" cy="1092"/>
                        </a:xfrm>
                      </wpg:grpSpPr>
                      <wps:wsp>
                        <wps:cNvPr id="15" name="十字星 15"/>
                        <wps:cNvSpPr/>
                        <wps:spPr>
                          <a:xfrm>
                            <a:off x="7245" y="1345385"/>
                            <a:ext cx="284" cy="315"/>
                          </a:xfrm>
                          <a:prstGeom prst="star4">
                            <a:avLst/>
                          </a:prstGeom>
                          <a:solidFill>
                            <a:srgbClr val="00B0F0"/>
                          </a:solidFill>
                          <a:ln w="12700" cap="flat" cmpd="sng">
                            <a:solidFill>
                              <a:srgbClr val="000000"/>
                            </a:solidFill>
                            <a:prstDash val="solid"/>
                            <a:miter/>
                          </a:ln>
                        </wps:spPr>
                        <wps:bodyPr/>
                      </wps:wsp>
                      <wpg:grpSp>
                        <wpg:cNvPr id="16" name="组合 16"/>
                        <wpg:cNvGrpSpPr/>
                        <wpg:grpSpPr>
                          <a:xfrm>
                            <a:off x="6885" y="1344607"/>
                            <a:ext cx="1440" cy="510"/>
                            <a:chOff x="6885" y="1344607"/>
                            <a:chExt cx="1440" cy="510"/>
                          </a:xfrm>
                        </wpg:grpSpPr>
                        <wps:wsp>
                          <wps:cNvPr id="17" name="矩形标注 17"/>
                          <wps:cNvSpPr/>
                          <wps:spPr>
                            <a:xfrm>
                              <a:off x="7155" y="1344712"/>
                              <a:ext cx="899" cy="390"/>
                            </a:xfrm>
                            <a:prstGeom prst="wedgeRectCallout">
                              <a:avLst>
                                <a:gd name="adj1" fmla="val -20810"/>
                                <a:gd name="adj2" fmla="val 112564"/>
                              </a:avLst>
                            </a:prstGeom>
                            <a:solidFill>
                              <a:srgbClr val="FFFFFF"/>
                            </a:solidFill>
                            <a:ln w="12700" cap="flat" cmpd="sng">
                              <a:solidFill>
                                <a:srgbClr val="000000"/>
                              </a:solidFill>
                              <a:prstDash val="solid"/>
                              <a:miter/>
                            </a:ln>
                          </wps:spPr>
                          <wps:txbx>
                            <w:txbxContent>
                              <w:p w14:paraId="3DA3C2F1">
                                <w:pPr>
                                  <w:jc w:val="center"/>
                                </w:pPr>
                              </w:p>
                            </w:txbxContent>
                          </wps:txbx>
                          <wps:bodyPr vert="horz" wrap="square" lIns="91440" tIns="45720" rIns="91440" bIns="45720" anchor="ctr">
                            <a:noAutofit/>
                          </wps:bodyPr>
                        </wps:wsp>
                        <wps:wsp>
                          <wps:cNvPr id="18" name="矩形 18"/>
                          <wps:cNvSpPr/>
                          <wps:spPr>
                            <a:xfrm>
                              <a:off x="6885" y="1344607"/>
                              <a:ext cx="1440" cy="511"/>
                            </a:xfrm>
                            <a:prstGeom prst="rect">
                              <a:avLst/>
                            </a:prstGeom>
                            <a:ln>
                              <a:noFill/>
                            </a:ln>
                          </wps:spPr>
                          <wps:txbx>
                            <w:txbxContent>
                              <w:p w14:paraId="185D2020">
                                <w:pPr>
                                  <w:jc w:val="center"/>
                                  <w:rPr>
                                    <w:rFonts w:hint="eastAsia" w:eastAsia="宋体"/>
                                    <w:sz w:val="18"/>
                                    <w:szCs w:val="18"/>
                                    <w:lang w:val="en-US" w:eastAsia="zh-CN"/>
                                  </w:rPr>
                                </w:pPr>
                                <w:r>
                                  <w:rPr>
                                    <w:rFonts w:hint="eastAsia"/>
                                    <w:sz w:val="18"/>
                                    <w:szCs w:val="18"/>
                                    <w:lang w:val="en-US" w:eastAsia="zh-CN"/>
                                  </w:rPr>
                                  <w:t>建设项目</w:t>
                                </w:r>
                              </w:p>
                            </w:txbxContent>
                          </wps:txbx>
                          <wps:bodyPr vert="horz" wrap="square" lIns="91440" tIns="45720" rIns="91440" bIns="45720" anchor="t">
                            <a:noAutofit/>
                          </wps:bodyPr>
                        </wps:wsp>
                      </wpg:grpSp>
                    </wpg:wgp>
                  </a:graphicData>
                </a:graphic>
              </wp:anchor>
            </w:drawing>
          </mc:Choice>
          <mc:Fallback>
            <w:pict>
              <v:group id="组合 174" o:spid="_x0000_s1026" o:spt="203" style="position:absolute;left:0pt;margin-left:276.45pt;margin-top:250.75pt;height:54.6pt;width:72pt;z-index:251659264;mso-width-relative:page;mso-height-relative:page;" coordorigin="6885,1344607" coordsize="1440,1092" o:gfxdata="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">
                <o:lock v:ext="edit" aspectratio="f"/>
                <v:shape id="_x0000_s1026" o:spid="_x0000_s1026" o:spt="187" type="#_x0000_t187" style="position:absolute;left:7245;top:1345385;height:315;width:284;" fillcolor="#00B0F0" filled="t" stroked="t" coordsize="21600,21600" o:gfxdata="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T9fulugAAANsA&#10;AAAPAAAAAAAAAAEAIAAAACIAAABkcnMvZG93bnJldi54bWxQSwECFAAUAAAACACHTuJAMy8FnjsA&#10;AAA5AAAAEAAAAAAAAAABACAAAAAJAQAAZHJzL3NoYXBleG1sLnhtbFBLBQYAAAAABgAGAFsBAACz&#10;AwAAAAA=&#10;" adj="8100">
                  <v:fill on="t" focussize="0,0"/>
                  <v:stroke weight="1pt" color="#000000" joinstyle="miter"/>
                  <v:imagedata o:title=""/>
                  <o:lock v:ext="edit" aspectratio="f"/>
                </v:shape>
                <v:group id="_x0000_s1026" o:spid="_x0000_s1026" o:spt="203" style="position:absolute;left:6885;top:1344607;height:510;width:1440;" coordorigin="6885,1344607" coordsize="1440,510" o:gfxdata="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KrrPq7AAAA2wAAAA8AAAAAAAAAAQAgAAAAIgAAAGRycy9kb3ducmV2LnhtbFBL&#10;AQIUABQAAAAIAIdO4kAzLwWeOwAAADkAAAAVAAAAAAAAAAEAIAAAAAoBAABkcnMvZ3JvdXBzaGFw&#10;ZXhtbC54bWxQSwUGAAAAAAYABgBgAQAAxwMAAAAA&#10;">
                  <o:lock v:ext="edit" aspectratio="f"/>
                  <v:shape id="_x0000_s1026" o:spid="_x0000_s1026" o:spt="61" type="#_x0000_t61" style="position:absolute;left:7155;top:1344712;height:390;width:899;v-text-anchor:middle;" fillcolor="#FFFFFF" filled="t" stroked="t" coordsize="21600,21600" o:gfxdata="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cJkxvQAA&#10;ANsAAAAPAAAAAAAAAAEAIAAAACIAAABkcnMvZG93bnJldi54bWxQSwECFAAUAAAACACHTuJAMy8F&#10;njsAAAA5AAAAEAAAAAAAAAABACAAAAAMAQAAZHJzL3NoYXBleG1sLnhtbFBLBQYAAAAABgAGAFsB&#10;AAC2AwAAAAA=&#10;" adj="6305,35114">
                    <v:fill on="t" focussize="0,0"/>
                    <v:stroke weight="1pt" color="#000000" joinstyle="miter"/>
                    <v:imagedata o:title=""/>
                    <o:lock v:ext="edit" aspectratio="f"/>
                    <v:textbox>
                      <w:txbxContent>
                        <w:p w14:paraId="3DA3C2F1">
                          <w:pPr>
                            <w:jc w:val="center"/>
                          </w:pPr>
                        </w:p>
                      </w:txbxContent>
                    </v:textbox>
                  </v:shape>
                  <v:rect id="_x0000_s1026" o:spid="_x0000_s1026" o:spt="1" style="position:absolute;left:6885;top:1344607;height:511;width:1440;" filled="f" stroked="f" coordsize="21600,21600" o:gfxdata="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SagW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185D2020">
                          <w:pPr>
                            <w:jc w:val="center"/>
                            <w:rPr>
                              <w:rFonts w:hint="eastAsia" w:eastAsia="宋体"/>
                              <w:sz w:val="18"/>
                              <w:szCs w:val="18"/>
                              <w:lang w:val="en-US" w:eastAsia="zh-CN"/>
                            </w:rPr>
                          </w:pPr>
                          <w:r>
                            <w:rPr>
                              <w:rFonts w:hint="eastAsia"/>
                              <w:sz w:val="18"/>
                              <w:szCs w:val="18"/>
                              <w:lang w:val="en-US" w:eastAsia="zh-CN"/>
                            </w:rPr>
                            <w:t>建设项目</w:t>
                          </w:r>
                        </w:p>
                      </w:txbxContent>
                    </v:textbox>
                  </v:rect>
                </v:group>
              </v:group>
            </w:pict>
          </mc:Fallback>
        </mc:AlternateContent>
      </w:r>
      <w:r>
        <w:rPr>
          <w:position w:val="-263"/>
        </w:rPr>
        <w:drawing>
          <wp:inline distT="0" distB="0" distL="0" distR="0">
            <wp:extent cx="5266690" cy="8350885"/>
            <wp:effectExtent l="0" t="0" r="10160" b="12065"/>
            <wp:docPr id="1103" name="IM 30"/>
            <wp:cNvGraphicFramePr/>
            <a:graphic xmlns:a="http://schemas.openxmlformats.org/drawingml/2006/main">
              <a:graphicData uri="http://schemas.openxmlformats.org/drawingml/2006/picture">
                <pic:pic xmlns:pic="http://schemas.openxmlformats.org/drawingml/2006/picture">
                  <pic:nvPicPr>
                    <pic:cNvPr id="1103" name="IM 30"/>
                    <pic:cNvPicPr/>
                  </pic:nvPicPr>
                  <pic:blipFill>
                    <a:blip r:embed="rId47" cstate="print"/>
                    <a:srcRect/>
                    <a:stretch>
                      <a:fillRect/>
                    </a:stretch>
                  </pic:blipFill>
                  <pic:spPr>
                    <a:xfrm>
                      <a:off x="0" y="0"/>
                      <a:ext cx="5266690" cy="8350885"/>
                    </a:xfrm>
                    <a:prstGeom prst="rect">
                      <a:avLst/>
                    </a:prstGeom>
                  </pic:spPr>
                </pic:pic>
              </a:graphicData>
            </a:graphic>
          </wp:inline>
        </w:drawing>
      </w:r>
    </w:p>
    <w:p w14:paraId="7BDBD548">
      <w:pPr>
        <w:rPr>
          <w:rFonts w:hint="default" w:ascii="Times New Roman" w:hAnsi="Times New Roman" w:cs="Times New Roman"/>
          <w:color w:val="auto"/>
          <w:highlight w:val="none"/>
          <w:lang w:eastAsia="zh-CN"/>
        </w:rPr>
        <w:sectPr>
          <w:pgSz w:w="11906" w:h="16838"/>
          <w:pgMar w:top="1417" w:right="1134" w:bottom="1559" w:left="141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A30F9B7">
      <w:pPr>
        <w:pStyle w:val="43"/>
        <w:pageBreakBefore w:val="0"/>
        <w:numPr>
          <w:ilvl w:val="0"/>
          <w:numId w:val="0"/>
        </w:numPr>
        <w:wordWrap w:val="0"/>
        <w:overflowPunct/>
        <w:bidi w:val="0"/>
        <w:adjustRightInd/>
        <w:spacing w:line="240" w:lineRule="auto"/>
        <w:ind w:left="397" w:leftChars="0"/>
        <w:jc w:val="left"/>
        <w:textAlignment w:val="auto"/>
        <w:outlineLvl w:val="0"/>
        <w:rPr>
          <w:rFonts w:hint="default" w:ascii="Times New Roman" w:hAnsi="Times New Roman" w:eastAsia="宋体" w:cs="Times New Roman"/>
          <w:b/>
          <w:bCs/>
          <w:color w:val="auto"/>
          <w:sz w:val="24"/>
          <w:szCs w:val="24"/>
          <w:highlight w:val="none"/>
          <w:lang w:eastAsia="zh-CN"/>
        </w:rPr>
      </w:pPr>
      <w:bookmarkStart w:id="141" w:name="_Toc17156"/>
      <w:bookmarkStart w:id="142" w:name="_Toc11394"/>
      <w:r>
        <w:rPr>
          <w:rFonts w:hint="default" w:ascii="Times New Roman" w:hAnsi="Times New Roman" w:eastAsia="宋体" w:cs="Times New Roman"/>
          <w:b/>
          <w:bCs/>
          <w:color w:val="auto"/>
          <w:kern w:val="2"/>
          <w:sz w:val="24"/>
          <w:szCs w:val="24"/>
          <w:highlight w:val="none"/>
          <w:lang w:val="en-US" w:eastAsia="zh-CN" w:bidi="ar-SA"/>
        </w:rPr>
        <w:t>附图</w:t>
      </w:r>
      <w:r>
        <w:rPr>
          <w:rFonts w:hint="eastAsia" w:ascii="Times New Roman" w:hAnsi="Times New Roman" w:cs="Times New Roman"/>
          <w:b/>
          <w:bCs/>
          <w:color w:val="auto"/>
          <w:kern w:val="2"/>
          <w:sz w:val="24"/>
          <w:szCs w:val="24"/>
          <w:highlight w:val="none"/>
          <w:lang w:val="en-US" w:eastAsia="zh-CN" w:bidi="ar-SA"/>
        </w:rPr>
        <w:t>10</w:t>
      </w:r>
      <w:r>
        <w:rPr>
          <w:rFonts w:hint="default" w:ascii="Times New Roman" w:hAnsi="Times New Roman" w:eastAsia="宋体" w:cs="Times New Roman"/>
          <w:b/>
          <w:bCs/>
          <w:color w:val="auto"/>
          <w:kern w:val="2"/>
          <w:sz w:val="24"/>
          <w:szCs w:val="24"/>
          <w:highlight w:val="none"/>
          <w:lang w:val="en-US" w:eastAsia="zh-CN" w:bidi="ar-SA"/>
        </w:rPr>
        <w:t xml:space="preserve"> </w:t>
      </w:r>
      <w:bookmarkEnd w:id="141"/>
      <w:r>
        <w:rPr>
          <w:rFonts w:hint="default" w:ascii="Times New Roman" w:hAnsi="Times New Roman" w:eastAsia="宋体" w:cs="Times New Roman"/>
          <w:b/>
          <w:bCs/>
          <w:color w:val="auto"/>
          <w:sz w:val="24"/>
          <w:szCs w:val="24"/>
          <w:highlight w:val="none"/>
          <w:lang w:eastAsia="zh-CN"/>
        </w:rPr>
        <w:t>周边主要饮用水源保护区分布图</w:t>
      </w:r>
      <w:bookmarkEnd w:id="142"/>
    </w:p>
    <w:p w14:paraId="5B7D2A55">
      <w:pPr>
        <w:pStyle w:val="3"/>
        <w:jc w:val="center"/>
        <w:rPr>
          <w:rFonts w:hint="eastAsia" w:ascii="Times New Roman" w:hAnsi="Times New Roman" w:eastAsia="宋体" w:cs="Times New Roman"/>
          <w:color w:val="auto"/>
          <w:highlight w:val="none"/>
          <w:lang w:eastAsia="zh-CN"/>
        </w:rPr>
      </w:pPr>
      <w:r>
        <w:rPr>
          <w:sz w:val="24"/>
        </w:rPr>
        <mc:AlternateContent>
          <mc:Choice Requires="wpg">
            <w:drawing>
              <wp:anchor distT="0" distB="0" distL="0" distR="0" simplePos="0" relativeHeight="251659264" behindDoc="0" locked="0" layoutInCell="1" allowOverlap="1">
                <wp:simplePos x="0" y="0"/>
                <wp:positionH relativeFrom="column">
                  <wp:posOffset>1781810</wp:posOffset>
                </wp:positionH>
                <wp:positionV relativeFrom="paragraph">
                  <wp:posOffset>854075</wp:posOffset>
                </wp:positionV>
                <wp:extent cx="914400" cy="693420"/>
                <wp:effectExtent l="0" t="0" r="0" b="49530"/>
                <wp:wrapNone/>
                <wp:docPr id="1104" name="组合 169"/>
                <wp:cNvGraphicFramePr/>
                <a:graphic xmlns:a="http://schemas.openxmlformats.org/drawingml/2006/main">
                  <a:graphicData uri="http://schemas.microsoft.com/office/word/2010/wordprocessingGroup">
                    <wpg:wgp>
                      <wpg:cNvGrpSpPr/>
                      <wpg:grpSpPr>
                        <a:xfrm rot="0">
                          <a:off x="0" y="0"/>
                          <a:ext cx="914400" cy="693420"/>
                          <a:chOff x="6885" y="1344607"/>
                          <a:chExt cx="1440" cy="1092"/>
                        </a:xfrm>
                      </wpg:grpSpPr>
                      <wps:wsp>
                        <wps:cNvPr id="19" name="十字星 19"/>
                        <wps:cNvSpPr/>
                        <wps:spPr>
                          <a:xfrm>
                            <a:off x="7245" y="1345385"/>
                            <a:ext cx="284" cy="315"/>
                          </a:xfrm>
                          <a:prstGeom prst="star4">
                            <a:avLst/>
                          </a:prstGeom>
                          <a:solidFill>
                            <a:srgbClr val="00B0F0"/>
                          </a:solidFill>
                          <a:ln w="12700" cap="flat" cmpd="sng">
                            <a:solidFill>
                              <a:srgbClr val="000000"/>
                            </a:solidFill>
                            <a:prstDash val="solid"/>
                            <a:miter/>
                          </a:ln>
                        </wps:spPr>
                        <wps:bodyPr/>
                      </wps:wsp>
                      <wpg:grpSp>
                        <wpg:cNvPr id="20" name="组合 20"/>
                        <wpg:cNvGrpSpPr/>
                        <wpg:grpSpPr>
                          <a:xfrm>
                            <a:off x="6885" y="1344607"/>
                            <a:ext cx="1440" cy="510"/>
                            <a:chOff x="6885" y="1344607"/>
                            <a:chExt cx="1440" cy="510"/>
                          </a:xfrm>
                        </wpg:grpSpPr>
                        <wps:wsp>
                          <wps:cNvPr id="21" name="矩形标注 21"/>
                          <wps:cNvSpPr/>
                          <wps:spPr>
                            <a:xfrm>
                              <a:off x="7155" y="1344712"/>
                              <a:ext cx="899" cy="390"/>
                            </a:xfrm>
                            <a:prstGeom prst="wedgeRectCallout">
                              <a:avLst>
                                <a:gd name="adj1" fmla="val -20810"/>
                                <a:gd name="adj2" fmla="val 112564"/>
                              </a:avLst>
                            </a:prstGeom>
                            <a:solidFill>
                              <a:srgbClr val="FFFFFF"/>
                            </a:solidFill>
                            <a:ln w="12700" cap="flat" cmpd="sng">
                              <a:solidFill>
                                <a:srgbClr val="000000"/>
                              </a:solidFill>
                              <a:prstDash val="solid"/>
                              <a:miter/>
                            </a:ln>
                          </wps:spPr>
                          <wps:txbx>
                            <w:txbxContent>
                              <w:p w14:paraId="3E28090F">
                                <w:pPr>
                                  <w:jc w:val="center"/>
                                </w:pPr>
                              </w:p>
                            </w:txbxContent>
                          </wps:txbx>
                          <wps:bodyPr vert="horz" wrap="square" lIns="91440" tIns="45720" rIns="91440" bIns="45720" anchor="ctr">
                            <a:noAutofit/>
                          </wps:bodyPr>
                        </wps:wsp>
                        <wps:wsp>
                          <wps:cNvPr id="22" name="矩形 22"/>
                          <wps:cNvSpPr/>
                          <wps:spPr>
                            <a:xfrm>
                              <a:off x="6885" y="1344607"/>
                              <a:ext cx="1440" cy="511"/>
                            </a:xfrm>
                            <a:prstGeom prst="rect">
                              <a:avLst/>
                            </a:prstGeom>
                            <a:ln>
                              <a:noFill/>
                            </a:ln>
                          </wps:spPr>
                          <wps:txbx>
                            <w:txbxContent>
                              <w:p w14:paraId="2540E5BE">
                                <w:pPr>
                                  <w:jc w:val="center"/>
                                  <w:rPr>
                                    <w:rFonts w:hint="eastAsia" w:eastAsia="宋体"/>
                                    <w:sz w:val="18"/>
                                    <w:szCs w:val="18"/>
                                    <w:lang w:val="en-US" w:eastAsia="zh-CN"/>
                                  </w:rPr>
                                </w:pPr>
                                <w:r>
                                  <w:rPr>
                                    <w:rFonts w:hint="eastAsia"/>
                                    <w:sz w:val="18"/>
                                    <w:szCs w:val="18"/>
                                    <w:lang w:val="en-US" w:eastAsia="zh-CN"/>
                                  </w:rPr>
                                  <w:t>建设项目</w:t>
                                </w:r>
                              </w:p>
                            </w:txbxContent>
                          </wps:txbx>
                          <wps:bodyPr vert="horz" wrap="square" lIns="91440" tIns="45720" rIns="91440" bIns="45720" anchor="t">
                            <a:noAutofit/>
                          </wps:bodyPr>
                        </wps:wsp>
                      </wpg:grpSp>
                    </wpg:wgp>
                  </a:graphicData>
                </a:graphic>
              </wp:anchor>
            </w:drawing>
          </mc:Choice>
          <mc:Fallback>
            <w:pict>
              <v:group id="组合 169" o:spid="_x0000_s1026" o:spt="203" style="position:absolute;left:0pt;margin-left:140.3pt;margin-top:67.25pt;height:54.6pt;width:72pt;z-index:251659264;mso-width-relative:page;mso-height-relative:page;" coordorigin="6885,1344607" coordsize="1440,1092" o:gfxdata="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">
                <o:lock v:ext="edit" aspectratio="f"/>
                <v:shape id="_x0000_s1026" o:spid="_x0000_s1026" o:spt="187" type="#_x0000_t187" style="position:absolute;left:7245;top:1345385;height:315;width:284;" fillcolor="#00B0F0" filled="t" stroked="t" coordsize="21600,21600" o:gfxdata="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SuPGgugAAANsA&#10;AAAPAAAAAAAAAAEAIAAAACIAAABkcnMvZG93bnJldi54bWxQSwECFAAUAAAACACHTuJAMy8FnjsA&#10;AAA5AAAAEAAAAAAAAAABACAAAAAJAQAAZHJzL3NoYXBleG1sLnhtbFBLBQYAAAAABgAGAFsBAACz&#10;AwAAAAA=&#10;" adj="8100">
                  <v:fill on="t" focussize="0,0"/>
                  <v:stroke weight="1pt" color="#000000" joinstyle="miter"/>
                  <v:imagedata o:title=""/>
                  <o:lock v:ext="edit" aspectratio="f"/>
                </v:shape>
                <v:group id="_x0000_s1026" o:spid="_x0000_s1026" o:spt="203" style="position:absolute;left:6885;top:1344607;height:510;width:1440;" coordorigin="6885,1344607" coordsize="1440,510" o:gfxdata="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PGJbqLoAAADbAAAADwAAAAAAAAABACAAAAAiAAAAZHJzL2Rvd25yZXYueG1sUEsB&#10;AhQAFAAAAAgAh07iQDMvBZ47AAAAOQAAABUAAAAAAAAAAQAgAAAACQEAAGRycy9ncm91cHNoYXBl&#10;eG1sLnhtbFBLBQYAAAAABgAGAGABAADGAwAAAAA=&#10;">
                  <o:lock v:ext="edit" aspectratio="f"/>
                  <v:shape id="_x0000_s1026" o:spid="_x0000_s1026" o:spt="61" type="#_x0000_t61" style="position:absolute;left:7155;top:1344712;height:390;width:899;v-text-anchor:middle;" fillcolor="#FFFFFF" filled="t" stroked="t" coordsize="21600,21600" o:gfxdata="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7luY74A&#10;AADbAAAADwAAAAAAAAABACAAAAAiAAAAZHJzL2Rvd25yZXYueG1sUEsBAhQAFAAAAAgAh07iQDMv&#10;BZ47AAAAOQAAABAAAAAAAAAAAQAgAAAADQEAAGRycy9zaGFwZXhtbC54bWxQSwUGAAAAAAYABgBb&#10;AQAAtwMAAAAA&#10;" adj="6305,35114">
                    <v:fill on="t" focussize="0,0"/>
                    <v:stroke weight="1pt" color="#000000" joinstyle="miter"/>
                    <v:imagedata o:title=""/>
                    <o:lock v:ext="edit" aspectratio="f"/>
                    <v:textbox>
                      <w:txbxContent>
                        <w:p w14:paraId="3E28090F">
                          <w:pPr>
                            <w:jc w:val="center"/>
                          </w:pPr>
                        </w:p>
                      </w:txbxContent>
                    </v:textbox>
                  </v:shape>
                  <v:rect id="_x0000_s1026" o:spid="_x0000_s1026" o:spt="1" style="position:absolute;left:6885;top:1344607;height:511;width:1440;" filled="f" stroked="f" coordsize="21600,21600" o:gfxdata="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c1VQb4A&#10;AADb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2540E5BE">
                          <w:pPr>
                            <w:jc w:val="center"/>
                            <w:rPr>
                              <w:rFonts w:hint="eastAsia" w:eastAsia="宋体"/>
                              <w:sz w:val="18"/>
                              <w:szCs w:val="18"/>
                              <w:lang w:val="en-US" w:eastAsia="zh-CN"/>
                            </w:rPr>
                          </w:pPr>
                          <w:r>
                            <w:rPr>
                              <w:rFonts w:hint="eastAsia"/>
                              <w:sz w:val="18"/>
                              <w:szCs w:val="18"/>
                              <w:lang w:val="en-US" w:eastAsia="zh-CN"/>
                            </w:rPr>
                            <w:t>建设项目</w:t>
                          </w:r>
                        </w:p>
                      </w:txbxContent>
                    </v:textbox>
                  </v:rect>
                </v:group>
              </v:group>
            </w:pict>
          </mc:Fallback>
        </mc:AlternateContent>
      </w:r>
      <w:r>
        <w:rPr>
          <w:position w:val="-263"/>
        </w:rPr>
        <w:drawing>
          <wp:inline distT="0" distB="0" distL="0" distR="0">
            <wp:extent cx="5274945" cy="8369300"/>
            <wp:effectExtent l="0" t="0" r="1905" b="12700"/>
            <wp:docPr id="1109" name="IM 18"/>
            <wp:cNvGraphicFramePr/>
            <a:graphic xmlns:a="http://schemas.openxmlformats.org/drawingml/2006/main">
              <a:graphicData uri="http://schemas.openxmlformats.org/drawingml/2006/picture">
                <pic:pic xmlns:pic="http://schemas.openxmlformats.org/drawingml/2006/picture">
                  <pic:nvPicPr>
                    <pic:cNvPr id="1109" name="IM 18"/>
                    <pic:cNvPicPr/>
                  </pic:nvPicPr>
                  <pic:blipFill>
                    <a:blip r:embed="rId48" cstate="print"/>
                    <a:srcRect/>
                    <a:stretch>
                      <a:fillRect/>
                    </a:stretch>
                  </pic:blipFill>
                  <pic:spPr>
                    <a:xfrm>
                      <a:off x="0" y="0"/>
                      <a:ext cx="5274945" cy="8369300"/>
                    </a:xfrm>
                    <a:prstGeom prst="rect">
                      <a:avLst/>
                    </a:prstGeom>
                  </pic:spPr>
                </pic:pic>
              </a:graphicData>
            </a:graphic>
          </wp:inline>
        </w:drawing>
      </w:r>
    </w:p>
    <w:p w14:paraId="2AB4D25C">
      <w:pPr>
        <w:rPr>
          <w:rFonts w:hint="default" w:ascii="Times New Roman" w:hAnsi="Times New Roman" w:cs="Times New Roman"/>
          <w:color w:val="auto"/>
          <w:highlight w:val="none"/>
          <w:lang w:eastAsia="zh-CN"/>
        </w:rPr>
        <w:sectPr>
          <w:pgSz w:w="11906" w:h="16838"/>
          <w:pgMar w:top="1417" w:right="1134" w:bottom="1559" w:left="141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624AB477">
      <w:pPr>
        <w:pStyle w:val="3"/>
        <w:numPr>
          <w:ilvl w:val="0"/>
          <w:numId w:val="0"/>
        </w:numPr>
        <w:bidi w:val="0"/>
        <w:ind w:left="0" w:leftChars="0" w:firstLine="397" w:firstLineChars="0"/>
        <w:outlineLvl w:val="0"/>
        <w:rPr>
          <w:rFonts w:hint="default" w:ascii="Times New Roman" w:hAnsi="Times New Roman" w:eastAsia="宋体" w:cs="Times New Roman"/>
          <w:b/>
          <w:bCs/>
          <w:color w:val="auto"/>
          <w:sz w:val="24"/>
          <w:szCs w:val="24"/>
          <w:highlight w:val="none"/>
          <w:lang w:val="en-US" w:eastAsia="zh-CN"/>
        </w:rPr>
      </w:pPr>
      <w:bookmarkStart w:id="143" w:name="_Toc29931"/>
      <w:bookmarkStart w:id="144" w:name="_Toc2048"/>
      <w:r>
        <w:rPr>
          <w:rFonts w:hint="default" w:ascii="Times New Roman" w:hAnsi="Times New Roman" w:eastAsia="宋体" w:cs="Times New Roman"/>
          <w:b/>
          <w:bCs/>
          <w:color w:val="auto"/>
          <w:kern w:val="2"/>
          <w:sz w:val="24"/>
          <w:szCs w:val="24"/>
          <w:highlight w:val="none"/>
          <w:lang w:val="en-US" w:eastAsia="zh-CN" w:bidi="ar-SA"/>
        </w:rPr>
        <w:t>附图1</w:t>
      </w:r>
      <w:r>
        <w:rPr>
          <w:rFonts w:hint="eastAsia" w:ascii="Times New Roman" w:hAnsi="Times New Roman" w:cs="Times New Roman"/>
          <w:b/>
          <w:bCs/>
          <w:color w:val="auto"/>
          <w:kern w:val="2"/>
          <w:sz w:val="24"/>
          <w:szCs w:val="24"/>
          <w:highlight w:val="none"/>
          <w:lang w:val="en-US" w:eastAsia="zh-CN" w:bidi="ar-SA"/>
        </w:rPr>
        <w:t>1</w:t>
      </w:r>
      <w:r>
        <w:rPr>
          <w:rFonts w:hint="default" w:ascii="Times New Roman" w:hAnsi="Times New Roman" w:eastAsia="宋体" w:cs="Times New Roman"/>
          <w:b/>
          <w:bCs/>
          <w:color w:val="auto"/>
          <w:kern w:val="2"/>
          <w:sz w:val="24"/>
          <w:szCs w:val="24"/>
          <w:highlight w:val="none"/>
          <w:lang w:val="en-US" w:eastAsia="zh-CN" w:bidi="ar-SA"/>
        </w:rPr>
        <w:t xml:space="preserve"> </w:t>
      </w:r>
      <w:bookmarkEnd w:id="143"/>
      <w:r>
        <w:rPr>
          <w:rFonts w:hint="default" w:ascii="Times New Roman" w:hAnsi="Times New Roman" w:eastAsia="宋体" w:cs="Times New Roman"/>
          <w:b/>
          <w:bCs/>
          <w:color w:val="auto"/>
          <w:sz w:val="24"/>
          <w:szCs w:val="24"/>
          <w:highlight w:val="none"/>
          <w:lang w:eastAsia="zh-CN"/>
        </w:rPr>
        <w:t>区域生态功能区划示意</w:t>
      </w:r>
      <w:r>
        <w:rPr>
          <w:rFonts w:hint="default" w:ascii="Times New Roman" w:hAnsi="Times New Roman" w:cs="Times New Roman"/>
          <w:b/>
          <w:bCs/>
          <w:color w:val="auto"/>
          <w:sz w:val="24"/>
          <w:szCs w:val="24"/>
          <w:highlight w:val="none"/>
          <w:lang w:val="en-US" w:eastAsia="zh-CN"/>
        </w:rPr>
        <w:t>图</w:t>
      </w:r>
      <w:bookmarkEnd w:id="144"/>
    </w:p>
    <w:p w14:paraId="298FAB3D">
      <w:pPr>
        <w:pStyle w:val="3"/>
        <w:numPr>
          <w:ilvl w:val="0"/>
          <w:numId w:val="0"/>
        </w:numPr>
        <w:bidi w:val="0"/>
        <w:ind w:left="397" w:leftChars="0"/>
        <w:jc w:val="center"/>
        <w:rPr>
          <w:rFonts w:hint="default" w:ascii="Times New Roman" w:hAnsi="Times New Roman" w:cs="Times New Roman"/>
          <w:color w:val="auto"/>
          <w:highlight w:val="none"/>
        </w:rPr>
      </w:pPr>
      <w:r>
        <w:rPr>
          <w:sz w:val="24"/>
        </w:rPr>
        <mc:AlternateContent>
          <mc:Choice Requires="wpg">
            <w:drawing>
              <wp:anchor distT="0" distB="0" distL="0" distR="0" simplePos="0" relativeHeight="251659264" behindDoc="0" locked="0" layoutInCell="1" allowOverlap="1">
                <wp:simplePos x="0" y="0"/>
                <wp:positionH relativeFrom="column">
                  <wp:posOffset>3253740</wp:posOffset>
                </wp:positionH>
                <wp:positionV relativeFrom="paragraph">
                  <wp:posOffset>3673475</wp:posOffset>
                </wp:positionV>
                <wp:extent cx="914400" cy="693420"/>
                <wp:effectExtent l="0" t="0" r="0" b="49530"/>
                <wp:wrapNone/>
                <wp:docPr id="1110" name="组合 163"/>
                <wp:cNvGraphicFramePr/>
                <a:graphic xmlns:a="http://schemas.openxmlformats.org/drawingml/2006/main">
                  <a:graphicData uri="http://schemas.microsoft.com/office/word/2010/wordprocessingGroup">
                    <wpg:wgp>
                      <wpg:cNvGrpSpPr/>
                      <wpg:grpSpPr>
                        <a:xfrm rot="0">
                          <a:off x="0" y="0"/>
                          <a:ext cx="914400" cy="693420"/>
                          <a:chOff x="6885" y="1344607"/>
                          <a:chExt cx="1440" cy="1092"/>
                        </a:xfrm>
                      </wpg:grpSpPr>
                      <wps:wsp>
                        <wps:cNvPr id="23" name="十字星 23"/>
                        <wps:cNvSpPr/>
                        <wps:spPr>
                          <a:xfrm>
                            <a:off x="7245" y="1345385"/>
                            <a:ext cx="284" cy="315"/>
                          </a:xfrm>
                          <a:prstGeom prst="star4">
                            <a:avLst/>
                          </a:prstGeom>
                          <a:solidFill>
                            <a:srgbClr val="00B0F0"/>
                          </a:solidFill>
                          <a:ln w="12700" cap="flat" cmpd="sng">
                            <a:solidFill>
                              <a:srgbClr val="000000"/>
                            </a:solidFill>
                            <a:prstDash val="solid"/>
                            <a:miter/>
                          </a:ln>
                        </wps:spPr>
                        <wps:bodyPr/>
                      </wps:wsp>
                      <wpg:grpSp>
                        <wpg:cNvPr id="24" name="组合 24"/>
                        <wpg:cNvGrpSpPr/>
                        <wpg:grpSpPr>
                          <a:xfrm>
                            <a:off x="6885" y="1344607"/>
                            <a:ext cx="1440" cy="510"/>
                            <a:chOff x="6885" y="1344607"/>
                            <a:chExt cx="1440" cy="510"/>
                          </a:xfrm>
                        </wpg:grpSpPr>
                        <wps:wsp>
                          <wps:cNvPr id="25" name="矩形标注 25"/>
                          <wps:cNvSpPr/>
                          <wps:spPr>
                            <a:xfrm>
                              <a:off x="7155" y="1344712"/>
                              <a:ext cx="899" cy="390"/>
                            </a:xfrm>
                            <a:prstGeom prst="wedgeRectCallout">
                              <a:avLst>
                                <a:gd name="adj1" fmla="val -20810"/>
                                <a:gd name="adj2" fmla="val 112564"/>
                              </a:avLst>
                            </a:prstGeom>
                            <a:solidFill>
                              <a:srgbClr val="FFFFFF"/>
                            </a:solidFill>
                            <a:ln w="12700" cap="flat" cmpd="sng">
                              <a:solidFill>
                                <a:srgbClr val="000000"/>
                              </a:solidFill>
                              <a:prstDash val="solid"/>
                              <a:miter/>
                            </a:ln>
                          </wps:spPr>
                          <wps:txbx>
                            <w:txbxContent>
                              <w:p w14:paraId="4110B833">
                                <w:pPr>
                                  <w:jc w:val="center"/>
                                </w:pPr>
                              </w:p>
                            </w:txbxContent>
                          </wps:txbx>
                          <wps:bodyPr vert="horz" wrap="square" lIns="91440" tIns="45720" rIns="91440" bIns="45720" anchor="ctr">
                            <a:noAutofit/>
                          </wps:bodyPr>
                        </wps:wsp>
                        <wps:wsp>
                          <wps:cNvPr id="26" name="矩形 26"/>
                          <wps:cNvSpPr/>
                          <wps:spPr>
                            <a:xfrm>
                              <a:off x="6885" y="1344607"/>
                              <a:ext cx="1440" cy="511"/>
                            </a:xfrm>
                            <a:prstGeom prst="rect">
                              <a:avLst/>
                            </a:prstGeom>
                            <a:ln>
                              <a:noFill/>
                            </a:ln>
                          </wps:spPr>
                          <wps:txbx>
                            <w:txbxContent>
                              <w:p w14:paraId="0C5F0D79">
                                <w:pPr>
                                  <w:jc w:val="center"/>
                                  <w:rPr>
                                    <w:rFonts w:hint="eastAsia" w:eastAsia="宋体"/>
                                    <w:sz w:val="18"/>
                                    <w:szCs w:val="18"/>
                                    <w:lang w:val="en-US" w:eastAsia="zh-CN"/>
                                  </w:rPr>
                                </w:pPr>
                                <w:r>
                                  <w:rPr>
                                    <w:rFonts w:hint="eastAsia"/>
                                    <w:sz w:val="18"/>
                                    <w:szCs w:val="18"/>
                                    <w:lang w:val="en-US" w:eastAsia="zh-CN"/>
                                  </w:rPr>
                                  <w:t>建设项目</w:t>
                                </w:r>
                              </w:p>
                            </w:txbxContent>
                          </wps:txbx>
                          <wps:bodyPr vert="horz" wrap="square" lIns="91440" tIns="45720" rIns="91440" bIns="45720" anchor="t">
                            <a:noAutofit/>
                          </wps:bodyPr>
                        </wps:wsp>
                      </wpg:grpSp>
                    </wpg:wgp>
                  </a:graphicData>
                </a:graphic>
              </wp:anchor>
            </w:drawing>
          </mc:Choice>
          <mc:Fallback>
            <w:pict>
              <v:group id="组合 163" o:spid="_x0000_s1026" o:spt="203" style="position:absolute;left:0pt;margin-left:256.2pt;margin-top:289.25pt;height:54.6pt;width:72pt;z-index:251659264;mso-width-relative:page;mso-height-relative:page;" coordorigin="6885,1344607" coordsize="1440,1092" o:gfxdata="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">
                <o:lock v:ext="edit" aspectratio="f"/>
                <v:shape id="_x0000_s1026" o:spid="_x0000_s1026" o:spt="187" type="#_x0000_t187" style="position:absolute;left:7245;top:1345385;height:315;width:284;" fillcolor="#00B0F0" filled="t" stroked="t" coordsize="21600,21600" o:gfxdata="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08DPe8AAAA&#10;2wAAAA8AAAAAAAAAAQAgAAAAIgAAAGRycy9kb3ducmV2LnhtbFBLAQIUABQAAAAIAIdO4kAzLwWe&#10;OwAAADkAAAAQAAAAAAAAAAEAIAAAAAsBAABkcnMvc2hhcGV4bWwueG1sUEsFBgAAAAAGAAYAWwEA&#10;ALUDAAAAAA==&#10;" adj="8100">
                  <v:fill on="t" focussize="0,0"/>
                  <v:stroke weight="1pt" color="#000000" joinstyle="miter"/>
                  <v:imagedata o:title=""/>
                  <o:lock v:ext="edit" aspectratio="f"/>
                </v:shape>
                <v:group id="_x0000_s1026" o:spid="_x0000_s1026" o:spt="203" style="position:absolute;left:6885;top:1344607;height:510;width:1440;" coordorigin="6885,1344607" coordsize="1440,510" o:gfxdata="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DWV2rvwAAANsAAAAPAAAAAAAAAAEAIAAAACIAAABkcnMvZG93bnJldi54&#10;bWxQSwECFAAUAAAACACHTuJAMy8FnjsAAAA5AAAAFQAAAAAAAAABACAAAAAOAQAAZHJzL2dyb3Vw&#10;c2hhcGV4bWwueG1sUEsFBgAAAAAGAAYAYAEAAMsDAAAAAA==&#10;">
                  <o:lock v:ext="edit" aspectratio="f"/>
                  <v:shape id="_x0000_s1026" o:spid="_x0000_s1026" o:spt="61" type="#_x0000_t61" style="position:absolute;left:7155;top:1344712;height:390;width:899;v-text-anchor:middle;" fillcolor="#FFFFFF" filled="t" stroked="t" coordsize="21600,21600" o:gfxdata="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yCaGC/&#10;AAAA2wAAAA8AAAAAAAAAAQAgAAAAIgAAAGRycy9kb3ducmV2LnhtbFBLAQIUABQAAAAIAIdO4kAz&#10;LwWeOwAAADkAAAAQAAAAAAAAAAEAIAAAAA4BAABkcnMvc2hhcGV4bWwueG1sUEsFBgAAAAAGAAYA&#10;WwEAALgDAAAAAA==&#10;" adj="6305,35114">
                    <v:fill on="t" focussize="0,0"/>
                    <v:stroke weight="1pt" color="#000000" joinstyle="miter"/>
                    <v:imagedata o:title=""/>
                    <o:lock v:ext="edit" aspectratio="f"/>
                    <v:textbox>
                      <w:txbxContent>
                        <w:p w14:paraId="4110B833">
                          <w:pPr>
                            <w:jc w:val="center"/>
                          </w:pPr>
                        </w:p>
                      </w:txbxContent>
                    </v:textbox>
                  </v:shape>
                  <v:rect id="_x0000_s1026" o:spid="_x0000_s1026" o:spt="1" style="position:absolute;left:6885;top:1344607;height:511;width:1440;" filled="f" stroked="f" coordsize="21600,21600" o:gfxdata="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72U0K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0C5F0D79">
                          <w:pPr>
                            <w:jc w:val="center"/>
                            <w:rPr>
                              <w:rFonts w:hint="eastAsia" w:eastAsia="宋体"/>
                              <w:sz w:val="18"/>
                              <w:szCs w:val="18"/>
                              <w:lang w:val="en-US" w:eastAsia="zh-CN"/>
                            </w:rPr>
                          </w:pPr>
                          <w:r>
                            <w:rPr>
                              <w:rFonts w:hint="eastAsia"/>
                              <w:sz w:val="18"/>
                              <w:szCs w:val="18"/>
                              <w:lang w:val="en-US" w:eastAsia="zh-CN"/>
                            </w:rPr>
                            <w:t>建设项目</w:t>
                          </w:r>
                        </w:p>
                      </w:txbxContent>
                    </v:textbox>
                  </v:rect>
                </v:group>
              </v:group>
            </w:pict>
          </mc:Fallback>
        </mc:AlternateContent>
      </w:r>
      <w:r>
        <w:rPr>
          <w:position w:val="-263"/>
        </w:rPr>
        <w:drawing>
          <wp:inline distT="0" distB="0" distL="0" distR="0">
            <wp:extent cx="5266690" cy="8350885"/>
            <wp:effectExtent l="0" t="0" r="10160" b="12065"/>
            <wp:docPr id="1115" name="IM 28"/>
            <wp:cNvGraphicFramePr/>
            <a:graphic xmlns:a="http://schemas.openxmlformats.org/drawingml/2006/main">
              <a:graphicData uri="http://schemas.openxmlformats.org/drawingml/2006/picture">
                <pic:pic xmlns:pic="http://schemas.openxmlformats.org/drawingml/2006/picture">
                  <pic:nvPicPr>
                    <pic:cNvPr id="1115" name="IM 28"/>
                    <pic:cNvPicPr/>
                  </pic:nvPicPr>
                  <pic:blipFill>
                    <a:blip r:embed="rId49" cstate="print"/>
                    <a:srcRect/>
                    <a:stretch>
                      <a:fillRect/>
                    </a:stretch>
                  </pic:blipFill>
                  <pic:spPr>
                    <a:xfrm>
                      <a:off x="0" y="0"/>
                      <a:ext cx="5266690" cy="8350885"/>
                    </a:xfrm>
                    <a:prstGeom prst="rect">
                      <a:avLst/>
                    </a:prstGeom>
                  </pic:spPr>
                </pic:pic>
              </a:graphicData>
            </a:graphic>
          </wp:inline>
        </w:drawing>
      </w:r>
    </w:p>
    <w:p w14:paraId="12FCFABC">
      <w:pPr>
        <w:rPr>
          <w:rFonts w:hint="default" w:ascii="Times New Roman" w:hAnsi="Times New Roman" w:cs="Times New Roman"/>
          <w:color w:val="auto"/>
          <w:highlight w:val="none"/>
          <w:lang w:eastAsia="zh-CN"/>
        </w:rPr>
        <w:sectPr>
          <w:pgSz w:w="11906" w:h="16838"/>
          <w:pgMar w:top="1417" w:right="1134" w:bottom="1559" w:left="141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DC69E4A">
      <w:pPr>
        <w:pStyle w:val="3"/>
        <w:numPr>
          <w:ilvl w:val="0"/>
          <w:numId w:val="0"/>
        </w:numPr>
        <w:bidi w:val="0"/>
        <w:ind w:left="0" w:leftChars="0" w:firstLine="397" w:firstLineChars="0"/>
        <w:jc w:val="left"/>
        <w:outlineLvl w:val="0"/>
        <w:rPr>
          <w:rFonts w:hint="default" w:ascii="Times New Roman" w:hAnsi="Times New Roman" w:eastAsia="宋体" w:cs="Times New Roman"/>
          <w:b/>
          <w:bCs/>
          <w:color w:val="auto"/>
          <w:sz w:val="24"/>
          <w:szCs w:val="24"/>
          <w:highlight w:val="none"/>
          <w:lang w:eastAsia="zh-CN"/>
        </w:rPr>
      </w:pPr>
      <w:bookmarkStart w:id="145" w:name="_Toc24068"/>
      <w:bookmarkStart w:id="146" w:name="_Toc792"/>
      <w:r>
        <w:rPr>
          <w:rFonts w:hint="default" w:ascii="Times New Roman" w:hAnsi="Times New Roman" w:eastAsia="宋体" w:cs="Times New Roman"/>
          <w:b/>
          <w:bCs/>
          <w:color w:val="auto"/>
          <w:kern w:val="2"/>
          <w:sz w:val="24"/>
          <w:szCs w:val="24"/>
          <w:highlight w:val="none"/>
          <w:lang w:val="en-US" w:eastAsia="zh-CN" w:bidi="ar-SA"/>
        </w:rPr>
        <w:t>附图1</w:t>
      </w:r>
      <w:r>
        <w:rPr>
          <w:rFonts w:hint="eastAsia" w:ascii="Times New Roman" w:hAnsi="Times New Roman" w:cs="Times New Roman"/>
          <w:b/>
          <w:bCs/>
          <w:color w:val="auto"/>
          <w:kern w:val="2"/>
          <w:sz w:val="24"/>
          <w:szCs w:val="24"/>
          <w:highlight w:val="none"/>
          <w:lang w:val="en-US" w:eastAsia="zh-CN" w:bidi="ar-SA"/>
        </w:rPr>
        <w:t>2</w:t>
      </w:r>
      <w:r>
        <w:rPr>
          <w:rFonts w:hint="default" w:ascii="Times New Roman" w:hAnsi="Times New Roman" w:eastAsia="宋体" w:cs="Times New Roman"/>
          <w:b/>
          <w:bCs/>
          <w:color w:val="auto"/>
          <w:kern w:val="2"/>
          <w:sz w:val="24"/>
          <w:szCs w:val="24"/>
          <w:highlight w:val="none"/>
          <w:lang w:val="en-US" w:eastAsia="zh-CN" w:bidi="ar-SA"/>
        </w:rPr>
        <w:t xml:space="preserve"> </w:t>
      </w:r>
      <w:bookmarkEnd w:id="145"/>
      <w:r>
        <w:rPr>
          <w:rFonts w:hint="default" w:ascii="Times New Roman" w:hAnsi="Times New Roman" w:eastAsia="宋体" w:cs="Times New Roman"/>
          <w:b/>
          <w:bCs/>
          <w:color w:val="auto"/>
          <w:sz w:val="24"/>
          <w:szCs w:val="24"/>
          <w:highlight w:val="none"/>
          <w:lang w:eastAsia="zh-CN"/>
        </w:rPr>
        <w:t>周边</w:t>
      </w:r>
      <w:r>
        <w:rPr>
          <w:rFonts w:hint="eastAsia" w:cs="Times New Roman"/>
          <w:b/>
          <w:bCs/>
          <w:color w:val="auto"/>
          <w:sz w:val="24"/>
          <w:szCs w:val="24"/>
          <w:highlight w:val="none"/>
          <w:lang w:eastAsia="zh-CN"/>
        </w:rPr>
        <w:t>永久基本农田</w:t>
      </w:r>
      <w:r>
        <w:rPr>
          <w:rFonts w:hint="default" w:ascii="Times New Roman" w:hAnsi="Times New Roman" w:eastAsia="宋体" w:cs="Times New Roman"/>
          <w:b/>
          <w:bCs/>
          <w:color w:val="auto"/>
          <w:sz w:val="24"/>
          <w:szCs w:val="24"/>
          <w:highlight w:val="none"/>
          <w:lang w:eastAsia="zh-CN"/>
        </w:rPr>
        <w:t>、耕地、园地分布图</w:t>
      </w:r>
      <w:bookmarkEnd w:id="146"/>
    </w:p>
    <w:p w14:paraId="54FA0EAD">
      <w:pPr>
        <w:pStyle w:val="3"/>
        <w:numPr>
          <w:ilvl w:val="0"/>
          <w:numId w:val="0"/>
        </w:numPr>
        <w:bidi w:val="0"/>
        <w:ind w:left="397" w:leftChars="0"/>
        <w:jc w:val="center"/>
        <w:rPr>
          <w:rFonts w:hint="default" w:ascii="Times New Roman" w:hAnsi="Times New Roman" w:eastAsia="宋体" w:cs="Times New Roman"/>
          <w:b/>
          <w:bCs/>
          <w:color w:val="auto"/>
          <w:sz w:val="24"/>
          <w:szCs w:val="24"/>
          <w:highlight w:val="none"/>
          <w:lang w:eastAsia="zh-CN"/>
        </w:rPr>
        <w:sectPr>
          <w:pgSz w:w="11906" w:h="16838"/>
          <w:pgMar w:top="1417" w:right="1134" w:bottom="1559" w:left="1417"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sz w:val="24"/>
        </w:rPr>
        <mc:AlternateContent>
          <mc:Choice Requires="wpg">
            <w:drawing>
              <wp:anchor distT="0" distB="0" distL="0" distR="0" simplePos="0" relativeHeight="251659264" behindDoc="0" locked="0" layoutInCell="1" allowOverlap="1">
                <wp:simplePos x="0" y="0"/>
                <wp:positionH relativeFrom="column">
                  <wp:posOffset>2392045</wp:posOffset>
                </wp:positionH>
                <wp:positionV relativeFrom="paragraph">
                  <wp:posOffset>3416935</wp:posOffset>
                </wp:positionV>
                <wp:extent cx="914400" cy="693420"/>
                <wp:effectExtent l="0" t="0" r="0" b="49530"/>
                <wp:wrapNone/>
                <wp:docPr id="1116" name="组合 164"/>
                <wp:cNvGraphicFramePr/>
                <a:graphic xmlns:a="http://schemas.openxmlformats.org/drawingml/2006/main">
                  <a:graphicData uri="http://schemas.microsoft.com/office/word/2010/wordprocessingGroup">
                    <wpg:wgp>
                      <wpg:cNvGrpSpPr/>
                      <wpg:grpSpPr>
                        <a:xfrm rot="0">
                          <a:off x="0" y="0"/>
                          <a:ext cx="914400" cy="693420"/>
                          <a:chOff x="6885" y="1344607"/>
                          <a:chExt cx="1440" cy="1092"/>
                        </a:xfrm>
                      </wpg:grpSpPr>
                      <wps:wsp>
                        <wps:cNvPr id="27" name="十字星 27"/>
                        <wps:cNvSpPr/>
                        <wps:spPr>
                          <a:xfrm>
                            <a:off x="7245" y="1345385"/>
                            <a:ext cx="284" cy="315"/>
                          </a:xfrm>
                          <a:prstGeom prst="star4">
                            <a:avLst/>
                          </a:prstGeom>
                          <a:solidFill>
                            <a:srgbClr val="00B0F0"/>
                          </a:solidFill>
                          <a:ln w="12700" cap="flat" cmpd="sng">
                            <a:solidFill>
                              <a:srgbClr val="000000"/>
                            </a:solidFill>
                            <a:prstDash val="solid"/>
                            <a:miter/>
                          </a:ln>
                        </wps:spPr>
                        <wps:bodyPr/>
                      </wps:wsp>
                      <wpg:grpSp>
                        <wpg:cNvPr id="28" name="组合 28"/>
                        <wpg:cNvGrpSpPr/>
                        <wpg:grpSpPr>
                          <a:xfrm>
                            <a:off x="6885" y="1344607"/>
                            <a:ext cx="1440" cy="510"/>
                            <a:chOff x="6885" y="1344607"/>
                            <a:chExt cx="1440" cy="510"/>
                          </a:xfrm>
                        </wpg:grpSpPr>
                        <wps:wsp>
                          <wps:cNvPr id="29" name="矩形标注 29"/>
                          <wps:cNvSpPr/>
                          <wps:spPr>
                            <a:xfrm>
                              <a:off x="7155" y="1344712"/>
                              <a:ext cx="899" cy="390"/>
                            </a:xfrm>
                            <a:prstGeom prst="wedgeRectCallout">
                              <a:avLst>
                                <a:gd name="adj1" fmla="val -20810"/>
                                <a:gd name="adj2" fmla="val 112564"/>
                              </a:avLst>
                            </a:prstGeom>
                            <a:solidFill>
                              <a:srgbClr val="FFFFFF"/>
                            </a:solidFill>
                            <a:ln w="12700" cap="flat" cmpd="sng">
                              <a:solidFill>
                                <a:srgbClr val="000000"/>
                              </a:solidFill>
                              <a:prstDash val="solid"/>
                              <a:miter/>
                            </a:ln>
                          </wps:spPr>
                          <wps:txbx>
                            <w:txbxContent>
                              <w:p w14:paraId="3F82A287">
                                <w:pPr>
                                  <w:jc w:val="center"/>
                                </w:pPr>
                              </w:p>
                            </w:txbxContent>
                          </wps:txbx>
                          <wps:bodyPr vert="horz" wrap="square" lIns="91440" tIns="45720" rIns="91440" bIns="45720" anchor="ctr">
                            <a:noAutofit/>
                          </wps:bodyPr>
                        </wps:wsp>
                        <wps:wsp>
                          <wps:cNvPr id="30" name="矩形 30"/>
                          <wps:cNvSpPr/>
                          <wps:spPr>
                            <a:xfrm>
                              <a:off x="6885" y="1344607"/>
                              <a:ext cx="1440" cy="511"/>
                            </a:xfrm>
                            <a:prstGeom prst="rect">
                              <a:avLst/>
                            </a:prstGeom>
                            <a:ln>
                              <a:noFill/>
                            </a:ln>
                          </wps:spPr>
                          <wps:txbx>
                            <w:txbxContent>
                              <w:p w14:paraId="379B9631">
                                <w:pPr>
                                  <w:jc w:val="center"/>
                                  <w:rPr>
                                    <w:rFonts w:hint="eastAsia" w:eastAsia="宋体"/>
                                    <w:sz w:val="18"/>
                                    <w:szCs w:val="18"/>
                                    <w:lang w:val="en-US" w:eastAsia="zh-CN"/>
                                  </w:rPr>
                                </w:pPr>
                                <w:r>
                                  <w:rPr>
                                    <w:rFonts w:hint="eastAsia"/>
                                    <w:sz w:val="18"/>
                                    <w:szCs w:val="18"/>
                                    <w:lang w:val="en-US" w:eastAsia="zh-CN"/>
                                  </w:rPr>
                                  <w:t>建设项目</w:t>
                                </w:r>
                              </w:p>
                            </w:txbxContent>
                          </wps:txbx>
                          <wps:bodyPr vert="horz" wrap="square" lIns="91440" tIns="45720" rIns="91440" bIns="45720" anchor="t">
                            <a:noAutofit/>
                          </wps:bodyPr>
                        </wps:wsp>
                      </wpg:grpSp>
                    </wpg:wgp>
                  </a:graphicData>
                </a:graphic>
              </wp:anchor>
            </w:drawing>
          </mc:Choice>
          <mc:Fallback>
            <w:pict>
              <v:group id="组合 164" o:spid="_x0000_s1026" o:spt="203" style="position:absolute;left:0pt;margin-left:188.35pt;margin-top:269.05pt;height:54.6pt;width:72pt;z-index:251659264;mso-width-relative:page;mso-height-relative:page;" coordorigin="6885,1344607" coordsize="1440,1092" o:gfxdata="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">
                <o:lock v:ext="edit" aspectratio="f"/>
                <v:shape id="_x0000_s1026" o:spid="_x0000_s1026" o:spt="187" type="#_x0000_t187" style="position:absolute;left:7245;top:1345385;height:315;width:284;" fillcolor="#00B0F0" filled="t" stroked="t" coordsize="21600,21600" o:gfxdata="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HCvS8AAAA&#10;2wAAAA8AAAAAAAAAAQAgAAAAIgAAAGRycy9kb3ducmV2LnhtbFBLAQIUABQAAAAIAIdO4kAzLwWe&#10;OwAAADkAAAAQAAAAAAAAAAEAIAAAAAsBAABkcnMvc2hhcGV4bWwueG1sUEsFBgAAAAAGAAYAWwEA&#10;ALUDAAAAAA==&#10;" adj="8100">
                  <v:fill on="t" focussize="0,0"/>
                  <v:stroke weight="1pt" color="#000000" joinstyle="miter"/>
                  <v:imagedata o:title=""/>
                  <o:lock v:ext="edit" aspectratio="f"/>
                </v:shape>
                <v:group id="_x0000_s1026" o:spid="_x0000_s1026" o:spt="203" style="position:absolute;left:6885;top:1344607;height:510;width:1440;" coordorigin="6885,1344607" coordsize="1440,510" o:gfxdata="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whRXrroAAADbAAAADwAAAAAAAAABACAAAAAiAAAAZHJzL2Rvd25yZXYueG1sUEsB&#10;AhQAFAAAAAgAh07iQDMvBZ47AAAAOQAAABUAAAAAAAAAAQAgAAAACQEAAGRycy9ncm91cHNoYXBl&#10;eG1sLnhtbFBLBQYAAAAABgAGAGABAADGAwAAAAA=&#10;">
                  <o:lock v:ext="edit" aspectratio="f"/>
                  <v:shape id="_x0000_s1026" o:spid="_x0000_s1026" o:spt="61" type="#_x0000_t61" style="position:absolute;left:7155;top:1344712;height:390;width:899;v-text-anchor:middle;" fillcolor="#FFFFFF" filled="t" stroked="t" coordsize="21600,21600" o:gfxdata="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c9iZb4A&#10;AADbAAAADwAAAAAAAAABACAAAAAiAAAAZHJzL2Rvd25yZXYueG1sUEsBAhQAFAAAAAgAh07iQDMv&#10;BZ47AAAAOQAAABAAAAAAAAAAAQAgAAAADQEAAGRycy9zaGFwZXhtbC54bWxQSwUGAAAAAAYABgBb&#10;AQAAtwMAAAAA&#10;" adj="6305,35114">
                    <v:fill on="t" focussize="0,0"/>
                    <v:stroke weight="1pt" color="#000000" joinstyle="miter"/>
                    <v:imagedata o:title=""/>
                    <o:lock v:ext="edit" aspectratio="f"/>
                    <v:textbox>
                      <w:txbxContent>
                        <w:p w14:paraId="3F82A287">
                          <w:pPr>
                            <w:jc w:val="center"/>
                          </w:pPr>
                        </w:p>
                      </w:txbxContent>
                    </v:textbox>
                  </v:shape>
                  <v:rect id="_x0000_s1026" o:spid="_x0000_s1026" o:spt="1" style="position:absolute;left:6885;top:1344607;height:511;width:1440;" filled="f" stroked="f" coordsize="21600,21600" o:gfxdata="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4r4cL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379B9631">
                          <w:pPr>
                            <w:jc w:val="center"/>
                            <w:rPr>
                              <w:rFonts w:hint="eastAsia" w:eastAsia="宋体"/>
                              <w:sz w:val="18"/>
                              <w:szCs w:val="18"/>
                              <w:lang w:val="en-US" w:eastAsia="zh-CN"/>
                            </w:rPr>
                          </w:pPr>
                          <w:r>
                            <w:rPr>
                              <w:rFonts w:hint="eastAsia"/>
                              <w:sz w:val="18"/>
                              <w:szCs w:val="18"/>
                              <w:lang w:val="en-US" w:eastAsia="zh-CN"/>
                            </w:rPr>
                            <w:t>建设项目</w:t>
                          </w:r>
                        </w:p>
                      </w:txbxContent>
                    </v:textbox>
                  </v:rect>
                </v:group>
              </v:group>
            </w:pict>
          </mc:Fallback>
        </mc:AlternateContent>
      </w:r>
      <w:r>
        <w:rPr>
          <w:position w:val="-263"/>
        </w:rPr>
        <w:drawing>
          <wp:inline distT="0" distB="0" distL="0" distR="0">
            <wp:extent cx="5266690" cy="8168005"/>
            <wp:effectExtent l="0" t="0" r="10160" b="4445"/>
            <wp:docPr id="1121" name="IM 66"/>
            <wp:cNvGraphicFramePr/>
            <a:graphic xmlns:a="http://schemas.openxmlformats.org/drawingml/2006/main">
              <a:graphicData uri="http://schemas.openxmlformats.org/drawingml/2006/picture">
                <pic:pic xmlns:pic="http://schemas.openxmlformats.org/drawingml/2006/picture">
                  <pic:nvPicPr>
                    <pic:cNvPr id="1121" name="IM 66"/>
                    <pic:cNvPicPr/>
                  </pic:nvPicPr>
                  <pic:blipFill>
                    <a:blip r:embed="rId50" cstate="print"/>
                    <a:srcRect/>
                    <a:stretch>
                      <a:fillRect/>
                    </a:stretch>
                  </pic:blipFill>
                  <pic:spPr>
                    <a:xfrm>
                      <a:off x="0" y="0"/>
                      <a:ext cx="5266690" cy="8168005"/>
                    </a:xfrm>
                    <a:prstGeom prst="rect">
                      <a:avLst/>
                    </a:prstGeom>
                  </pic:spPr>
                </pic:pic>
              </a:graphicData>
            </a:graphic>
          </wp:inline>
        </w:drawing>
      </w:r>
    </w:p>
    <w:p w14:paraId="23C1056C">
      <w:pPr>
        <w:pStyle w:val="43"/>
        <w:numPr>
          <w:ilvl w:val="0"/>
          <w:numId w:val="0"/>
        </w:numPr>
        <w:adjustRightInd/>
        <w:spacing w:line="240" w:lineRule="auto"/>
        <w:ind w:left="0" w:leftChars="0" w:firstLine="397" w:firstLineChars="0"/>
        <w:jc w:val="left"/>
        <w:textAlignment w:val="auto"/>
        <w:outlineLvl w:val="0"/>
        <w:rPr>
          <w:rFonts w:hint="default" w:ascii="Times New Roman" w:hAnsi="Times New Roman" w:eastAsia="宋体" w:cs="Times New Roman"/>
          <w:b/>
          <w:bCs/>
          <w:color w:val="auto"/>
          <w:sz w:val="24"/>
          <w:szCs w:val="24"/>
          <w:highlight w:val="none"/>
          <w:lang w:eastAsia="zh-CN"/>
        </w:rPr>
      </w:pPr>
      <w:bookmarkStart w:id="147" w:name="_Toc16585"/>
      <w:bookmarkStart w:id="148" w:name="_Toc28856"/>
      <w:bookmarkStart w:id="149" w:name="_Toc9538"/>
      <w:r>
        <w:rPr>
          <w:rFonts w:hint="default" w:ascii="Times New Roman" w:hAnsi="Times New Roman" w:eastAsia="宋体" w:cs="Times New Roman"/>
          <w:b/>
          <w:bCs/>
          <w:color w:val="auto"/>
          <w:kern w:val="0"/>
          <w:sz w:val="24"/>
          <w:szCs w:val="24"/>
          <w:highlight w:val="none"/>
          <w:lang w:val="en-US" w:eastAsia="zh-CN" w:bidi="ar-SA"/>
        </w:rPr>
        <w:t xml:space="preserve">附图13 </w:t>
      </w:r>
      <w:r>
        <w:rPr>
          <w:rFonts w:hint="default" w:ascii="Times New Roman" w:hAnsi="Times New Roman" w:eastAsia="宋体" w:cs="Times New Roman"/>
          <w:b/>
          <w:bCs/>
          <w:color w:val="auto"/>
          <w:sz w:val="24"/>
          <w:szCs w:val="24"/>
          <w:highlight w:val="none"/>
          <w:lang w:eastAsia="zh-CN"/>
        </w:rPr>
        <w:t>项目周边现状图</w:t>
      </w:r>
      <w:bookmarkEnd w:id="147"/>
      <w:bookmarkEnd w:id="148"/>
      <w:bookmarkEnd w:id="149"/>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5"/>
        <w:gridCol w:w="4786"/>
      </w:tblGrid>
      <w:tr w14:paraId="67B8B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85" w:type="dxa"/>
            <w:vAlign w:val="center"/>
          </w:tcPr>
          <w:p w14:paraId="3F3A0A84">
            <w:pPr>
              <w:pStyle w:val="2"/>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drawing>
                <wp:inline distT="0" distB="0" distL="0" distR="0">
                  <wp:extent cx="2894330" cy="2170430"/>
                  <wp:effectExtent l="0" t="0" r="1270" b="1270"/>
                  <wp:docPr id="1122" name="图片 26" descr="403669d6d9ee04d2edbd3ec40ff0822b"/>
                  <wp:cNvGraphicFramePr/>
                  <a:graphic xmlns:a="http://schemas.openxmlformats.org/drawingml/2006/main">
                    <a:graphicData uri="http://schemas.openxmlformats.org/drawingml/2006/picture">
                      <pic:pic xmlns:pic="http://schemas.openxmlformats.org/drawingml/2006/picture">
                        <pic:nvPicPr>
                          <pic:cNvPr id="1122" name="图片 26" descr="403669d6d9ee04d2edbd3ec40ff0822b"/>
                          <pic:cNvPicPr/>
                        </pic:nvPicPr>
                        <pic:blipFill>
                          <a:blip r:embed="rId51" cstate="print"/>
                          <a:srcRect/>
                          <a:stretch>
                            <a:fillRect/>
                          </a:stretch>
                        </pic:blipFill>
                        <pic:spPr>
                          <a:xfrm>
                            <a:off x="0" y="0"/>
                            <a:ext cx="2894330" cy="2170430"/>
                          </a:xfrm>
                          <a:prstGeom prst="rect">
                            <a:avLst/>
                          </a:prstGeom>
                        </pic:spPr>
                      </pic:pic>
                    </a:graphicData>
                  </a:graphic>
                </wp:inline>
              </w:drawing>
            </w:r>
          </w:p>
        </w:tc>
        <w:tc>
          <w:tcPr>
            <w:tcW w:w="4786" w:type="dxa"/>
            <w:vAlign w:val="center"/>
          </w:tcPr>
          <w:p w14:paraId="2C779600">
            <w:pPr>
              <w:pStyle w:val="2"/>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drawing>
                <wp:inline distT="0" distB="0" distL="0" distR="0">
                  <wp:extent cx="2374900" cy="1781175"/>
                  <wp:effectExtent l="0" t="0" r="6350" b="9525"/>
                  <wp:docPr id="1123" name="图片 8" descr="1126eedcbb84b18987a0f19c574eab81"/>
                  <wp:cNvGraphicFramePr/>
                  <a:graphic xmlns:a="http://schemas.openxmlformats.org/drawingml/2006/main">
                    <a:graphicData uri="http://schemas.openxmlformats.org/drawingml/2006/picture">
                      <pic:pic xmlns:pic="http://schemas.openxmlformats.org/drawingml/2006/picture">
                        <pic:nvPicPr>
                          <pic:cNvPr id="1123" name="图片 8" descr="1126eedcbb84b18987a0f19c574eab81"/>
                          <pic:cNvPicPr/>
                        </pic:nvPicPr>
                        <pic:blipFill>
                          <a:blip r:embed="rId52" cstate="print"/>
                          <a:srcRect/>
                          <a:stretch>
                            <a:fillRect/>
                          </a:stretch>
                        </pic:blipFill>
                        <pic:spPr>
                          <a:xfrm>
                            <a:off x="0" y="0"/>
                            <a:ext cx="2374900" cy="1781175"/>
                          </a:xfrm>
                          <a:prstGeom prst="rect">
                            <a:avLst/>
                          </a:prstGeom>
                        </pic:spPr>
                      </pic:pic>
                    </a:graphicData>
                  </a:graphic>
                </wp:inline>
              </w:drawing>
            </w:r>
          </w:p>
        </w:tc>
      </w:tr>
      <w:tr w14:paraId="6FFAB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85" w:type="dxa"/>
            <w:vAlign w:val="center"/>
          </w:tcPr>
          <w:p w14:paraId="1857ECDF">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lang w:val="en-US" w:eastAsia="zh-CN"/>
              </w:rPr>
              <w:t xml:space="preserve">西面 </w:t>
            </w:r>
          </w:p>
        </w:tc>
        <w:tc>
          <w:tcPr>
            <w:tcW w:w="4786" w:type="dxa"/>
            <w:vAlign w:val="center"/>
          </w:tcPr>
          <w:p w14:paraId="732CF085">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 xml:space="preserve">北面 </w:t>
            </w:r>
          </w:p>
        </w:tc>
      </w:tr>
      <w:tr w14:paraId="3A202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85" w:type="dxa"/>
            <w:vAlign w:val="center"/>
          </w:tcPr>
          <w:p w14:paraId="52D74DD8">
            <w:pPr>
              <w:pStyle w:val="2"/>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drawing>
                <wp:inline distT="0" distB="0" distL="0" distR="0">
                  <wp:extent cx="2894330" cy="2170430"/>
                  <wp:effectExtent l="0" t="0" r="1270" b="1270"/>
                  <wp:docPr id="1124" name="图片 10" descr="7c808170631fd41a2c70a595e01e57c1"/>
                  <wp:cNvGraphicFramePr/>
                  <a:graphic xmlns:a="http://schemas.openxmlformats.org/drawingml/2006/main">
                    <a:graphicData uri="http://schemas.openxmlformats.org/drawingml/2006/picture">
                      <pic:pic xmlns:pic="http://schemas.openxmlformats.org/drawingml/2006/picture">
                        <pic:nvPicPr>
                          <pic:cNvPr id="1124" name="图片 10" descr="7c808170631fd41a2c70a595e01e57c1"/>
                          <pic:cNvPicPr/>
                        </pic:nvPicPr>
                        <pic:blipFill>
                          <a:blip r:embed="rId53" cstate="print"/>
                          <a:srcRect/>
                          <a:stretch>
                            <a:fillRect/>
                          </a:stretch>
                        </pic:blipFill>
                        <pic:spPr>
                          <a:xfrm>
                            <a:off x="0" y="0"/>
                            <a:ext cx="2894330" cy="2170430"/>
                          </a:xfrm>
                          <a:prstGeom prst="rect">
                            <a:avLst/>
                          </a:prstGeom>
                        </pic:spPr>
                      </pic:pic>
                    </a:graphicData>
                  </a:graphic>
                </wp:inline>
              </w:drawing>
            </w:r>
          </w:p>
        </w:tc>
        <w:tc>
          <w:tcPr>
            <w:tcW w:w="4786" w:type="dxa"/>
            <w:vAlign w:val="center"/>
          </w:tcPr>
          <w:p w14:paraId="01198710">
            <w:pPr>
              <w:pStyle w:val="2"/>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drawing>
                <wp:inline distT="0" distB="0" distL="0" distR="0">
                  <wp:extent cx="2894330" cy="2170430"/>
                  <wp:effectExtent l="0" t="0" r="1270" b="1270"/>
                  <wp:docPr id="1125" name="图片 37" descr="1be43994bb18f9ee66bc74deb71e0d68"/>
                  <wp:cNvGraphicFramePr/>
                  <a:graphic xmlns:a="http://schemas.openxmlformats.org/drawingml/2006/main">
                    <a:graphicData uri="http://schemas.openxmlformats.org/drawingml/2006/picture">
                      <pic:pic xmlns:pic="http://schemas.openxmlformats.org/drawingml/2006/picture">
                        <pic:nvPicPr>
                          <pic:cNvPr id="1125" name="图片 37" descr="1be43994bb18f9ee66bc74deb71e0d68"/>
                          <pic:cNvPicPr/>
                        </pic:nvPicPr>
                        <pic:blipFill>
                          <a:blip r:embed="rId54" cstate="print"/>
                          <a:srcRect/>
                          <a:stretch>
                            <a:fillRect/>
                          </a:stretch>
                        </pic:blipFill>
                        <pic:spPr>
                          <a:xfrm>
                            <a:off x="0" y="0"/>
                            <a:ext cx="2894330" cy="2170430"/>
                          </a:xfrm>
                          <a:prstGeom prst="rect">
                            <a:avLst/>
                          </a:prstGeom>
                        </pic:spPr>
                      </pic:pic>
                    </a:graphicData>
                  </a:graphic>
                </wp:inline>
              </w:drawing>
            </w:r>
          </w:p>
        </w:tc>
      </w:tr>
      <w:tr w14:paraId="78A90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85" w:type="dxa"/>
            <w:vAlign w:val="center"/>
          </w:tcPr>
          <w:p w14:paraId="6AED98D7">
            <w:pPr>
              <w:pStyle w:val="2"/>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 xml:space="preserve">南面 </w:t>
            </w:r>
          </w:p>
        </w:tc>
        <w:tc>
          <w:tcPr>
            <w:tcW w:w="4786" w:type="dxa"/>
            <w:vAlign w:val="center"/>
          </w:tcPr>
          <w:p w14:paraId="1567231F">
            <w:pPr>
              <w:pStyle w:val="2"/>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 xml:space="preserve">东面 </w:t>
            </w:r>
          </w:p>
        </w:tc>
      </w:tr>
    </w:tbl>
    <w:p w14:paraId="6E4DE663">
      <w:pPr>
        <w:pStyle w:val="2"/>
        <w:rPr>
          <w:rFonts w:hint="default" w:ascii="Times New Roman" w:hAnsi="Times New Roman" w:cs="Times New Roman"/>
          <w:b/>
          <w:bCs/>
          <w:color w:val="auto"/>
          <w:szCs w:val="22"/>
          <w:highlight w:val="none"/>
        </w:rPr>
      </w:pPr>
    </w:p>
    <w:p w14:paraId="1C1967AD">
      <w:pPr>
        <w:pStyle w:val="50"/>
        <w:ind w:right="-120"/>
        <w:rPr>
          <w:rFonts w:hint="default" w:ascii="Times New Roman" w:hAnsi="Times New Roman" w:cs="Times New Roman"/>
          <w:color w:val="auto"/>
          <w:highlight w:val="none"/>
        </w:rPr>
        <w:sectPr>
          <w:pgSz w:w="11906" w:h="16838"/>
          <w:pgMar w:top="1417" w:right="1134" w:bottom="1559" w:left="141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638C4185">
      <w:pPr>
        <w:pStyle w:val="43"/>
        <w:numPr>
          <w:ilvl w:val="0"/>
          <w:numId w:val="0"/>
        </w:numPr>
        <w:adjustRightInd/>
        <w:spacing w:line="240" w:lineRule="auto"/>
        <w:ind w:left="0" w:leftChars="0" w:firstLine="397" w:firstLineChars="0"/>
        <w:jc w:val="left"/>
        <w:textAlignment w:val="auto"/>
        <w:outlineLvl w:val="0"/>
        <w:rPr>
          <w:rFonts w:hint="default" w:ascii="Times New Roman" w:hAnsi="Times New Roman" w:eastAsia="宋体" w:cs="Times New Roman"/>
          <w:b/>
          <w:bCs/>
          <w:color w:val="auto"/>
          <w:sz w:val="24"/>
          <w:szCs w:val="24"/>
          <w:highlight w:val="none"/>
          <w:lang w:val="en-US" w:eastAsia="zh-CN"/>
        </w:rPr>
      </w:pPr>
      <w:bookmarkStart w:id="150" w:name="_Toc21198"/>
      <w:bookmarkStart w:id="151" w:name="_Toc13241"/>
      <w:r>
        <w:rPr>
          <w:rFonts w:hint="default" w:ascii="Times New Roman" w:hAnsi="Times New Roman" w:cs="Times New Roman"/>
          <w:color w:val="auto"/>
          <w:highlight w:val="none"/>
        </w:rPr>
        <mc:AlternateContent>
          <mc:Choice Requires="wps">
            <w:drawing>
              <wp:anchor distT="0" distB="0" distL="0" distR="0" simplePos="0" relativeHeight="251659264" behindDoc="0" locked="0" layoutInCell="1" allowOverlap="1">
                <wp:simplePos x="0" y="0"/>
                <wp:positionH relativeFrom="column">
                  <wp:posOffset>4758055</wp:posOffset>
                </wp:positionH>
                <wp:positionV relativeFrom="paragraph">
                  <wp:posOffset>2183765</wp:posOffset>
                </wp:positionV>
                <wp:extent cx="1010920" cy="393065"/>
                <wp:effectExtent l="172085" t="9525" r="17145" b="35560"/>
                <wp:wrapNone/>
                <wp:docPr id="1126" name="圆角矩形标注 38"/>
                <wp:cNvGraphicFramePr/>
                <a:graphic xmlns:a="http://schemas.openxmlformats.org/drawingml/2006/main">
                  <a:graphicData uri="http://schemas.microsoft.com/office/word/2010/wordprocessingShape">
                    <wps:wsp>
                      <wps:cNvSpPr/>
                      <wps:spPr>
                        <a:xfrm>
                          <a:off x="0" y="0"/>
                          <a:ext cx="1010920" cy="393064"/>
                        </a:xfrm>
                        <a:prstGeom prst="wedgeRoundRectCallout">
                          <a:avLst>
                            <a:gd name="adj1" fmla="val -63505"/>
                            <a:gd name="adj2" fmla="val 50000"/>
                            <a:gd name="adj3" fmla="val 16667"/>
                          </a:avLst>
                        </a:prstGeom>
                        <a:solidFill>
                          <a:srgbClr val="FFFFFF"/>
                        </a:solidFill>
                        <a:ln w="19050" cap="flat" cmpd="sng">
                          <a:solidFill>
                            <a:srgbClr val="000000"/>
                          </a:solidFill>
                          <a:prstDash val="solid"/>
                          <a:miter/>
                        </a:ln>
                      </wps:spPr>
                      <wps:txbx>
                        <w:txbxContent>
                          <w:p w14:paraId="5A42D411">
                            <w:pPr>
                              <w:jc w:val="center"/>
                              <w:rPr>
                                <w:rFonts w:hint="eastAsia" w:eastAsia="宋体"/>
                                <w:color w:val="auto"/>
                                <w:lang w:eastAsia="zh-CN"/>
                                <w14:textOutline w14:w="9525" w14:cap="flat" w14:cmpd="sng">
                                  <w14:solidFill>
                                    <w14:srgbClr w14:val="000000"/>
                                  </w14:solidFill>
                                  <w14:prstDash w14:val="solid"/>
                                  <w14:round/>
                                </w14:textOutline>
                              </w:rPr>
                            </w:pPr>
                            <w:r>
                              <w:rPr>
                                <w:rFonts w:hint="eastAsia"/>
                                <w:color w:val="auto"/>
                                <w:lang w:eastAsia="zh-CN"/>
                                <w14:textOutline w14:w="9525" w14:cap="flat" w14:cmpd="sng">
                                  <w14:solidFill>
                                    <w14:srgbClr w14:val="000000"/>
                                  </w14:solidFill>
                                  <w14:prstDash w14:val="solid"/>
                                  <w14:round/>
                                </w14:textOutline>
                              </w:rPr>
                              <w:t>建设项目</w:t>
                            </w:r>
                          </w:p>
                        </w:txbxContent>
                      </wps:txbx>
                      <wps:bodyPr vert="horz" wrap="square" lIns="91440" tIns="45720" rIns="91440" bIns="45720" anchor="ctr">
                        <a:noAutofit/>
                      </wps:bodyPr>
                    </wps:wsp>
                  </a:graphicData>
                </a:graphic>
              </wp:anchor>
            </w:drawing>
          </mc:Choice>
          <mc:Fallback>
            <w:pict>
              <v:shape id="圆角矩形标注 38" o:spid="_x0000_s1026" o:spt="62" type="#_x0000_t62" style="position:absolute;left:0pt;margin-left:374.65pt;margin-top:171.95pt;height:30.95pt;width:79.6pt;z-index:251659264;v-text-anchor:middle;mso-width-relative:page;mso-height-relative:page;" fillcolor="#FFFFFF" filled="t" stroked="t" coordsize="21600,21600" o:gfxdata="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0CFf32gAAAAsBAAAPAAAAAAAAAAEAIAAAACIAAABkcnMvZG93bnJldi54&#10;bWxQSwECFAAUAAAACACHTuJAl4yhRWoCAADWBAAADgAAAAAAAAABACAAAAApAQAAZHJzL2Uyb0Rv&#10;Yy54bWxQSwUGAAAAAAYABgBZAQAABQYAAAAA&#10;" adj="-2917,21600,14400">
                <v:fill on="t" focussize="0,0"/>
                <v:stroke weight="1.5pt" color="#000000" joinstyle="miter"/>
                <v:imagedata o:title=""/>
                <o:lock v:ext="edit" aspectratio="f"/>
                <v:textbox>
                  <w:txbxContent>
                    <w:p w14:paraId="5A42D411">
                      <w:pPr>
                        <w:jc w:val="center"/>
                        <w:rPr>
                          <w:rFonts w:hint="eastAsia" w:eastAsia="宋体"/>
                          <w:color w:val="auto"/>
                          <w:lang w:eastAsia="zh-CN"/>
                          <w14:textOutline w14:w="9525" w14:cap="flat" w14:cmpd="sng">
                            <w14:solidFill>
                              <w14:srgbClr w14:val="000000"/>
                            </w14:solidFill>
                            <w14:prstDash w14:val="solid"/>
                            <w14:round/>
                          </w14:textOutline>
                        </w:rPr>
                      </w:pPr>
                      <w:r>
                        <w:rPr>
                          <w:rFonts w:hint="eastAsia"/>
                          <w:color w:val="auto"/>
                          <w:lang w:eastAsia="zh-CN"/>
                          <w14:textOutline w14:w="9525" w14:cap="flat" w14:cmpd="sng">
                            <w14:solidFill>
                              <w14:srgbClr w14:val="000000"/>
                            </w14:solidFill>
                            <w14:prstDash w14:val="solid"/>
                            <w14:round/>
                          </w14:textOutline>
                        </w:rPr>
                        <w:t>建设项目</w:t>
                      </w:r>
                    </w:p>
                  </w:txbxContent>
                </v:textbox>
              </v:shape>
            </w:pict>
          </mc:Fallback>
        </mc:AlternateContent>
      </w:r>
      <w:r>
        <w:rPr>
          <w:rFonts w:hint="default" w:ascii="Times New Roman" w:hAnsi="Times New Roman" w:cs="Times New Roman"/>
          <w:color w:val="auto"/>
          <w:highlight w:val="none"/>
        </w:rPr>
        <w:drawing>
          <wp:anchor distT="0" distB="0" distL="0" distR="0" simplePos="0" relativeHeight="251659264" behindDoc="0" locked="0" layoutInCell="1" allowOverlap="1">
            <wp:simplePos x="0" y="0"/>
            <wp:positionH relativeFrom="column">
              <wp:posOffset>7745730</wp:posOffset>
            </wp:positionH>
            <wp:positionV relativeFrom="paragraph">
              <wp:posOffset>238760</wp:posOffset>
            </wp:positionV>
            <wp:extent cx="1045845" cy="1019175"/>
            <wp:effectExtent l="0" t="0" r="1905" b="9525"/>
            <wp:wrapNone/>
            <wp:docPr id="1127" name="图片 26"/>
            <wp:cNvGraphicFramePr/>
            <a:graphic xmlns:a="http://schemas.openxmlformats.org/drawingml/2006/main">
              <a:graphicData uri="http://schemas.openxmlformats.org/drawingml/2006/picture">
                <pic:pic xmlns:pic="http://schemas.openxmlformats.org/drawingml/2006/picture">
                  <pic:nvPicPr>
                    <pic:cNvPr id="1127" name="图片 26"/>
                    <pic:cNvPicPr/>
                  </pic:nvPicPr>
                  <pic:blipFill>
                    <a:blip r:embed="rId34" cstate="print"/>
                    <a:srcRect/>
                    <a:stretch>
                      <a:fillRect/>
                    </a:stretch>
                  </pic:blipFill>
                  <pic:spPr>
                    <a:xfrm>
                      <a:off x="0" y="0"/>
                      <a:ext cx="1045844" cy="1019175"/>
                    </a:xfrm>
                    <a:prstGeom prst="rect">
                      <a:avLst/>
                    </a:prstGeom>
                    <a:ln>
                      <a:noFill/>
                    </a:ln>
                  </pic:spPr>
                </pic:pic>
              </a:graphicData>
            </a:graphic>
          </wp:anchor>
        </w:drawing>
      </w:r>
      <w:r>
        <w:rPr>
          <w:rFonts w:hint="default" w:ascii="Times New Roman" w:hAnsi="Times New Roman" w:eastAsia="宋体" w:cs="Times New Roman"/>
          <w:b/>
          <w:bCs/>
          <w:color w:val="auto"/>
          <w:kern w:val="0"/>
          <w:sz w:val="24"/>
          <w:szCs w:val="24"/>
          <w:highlight w:val="none"/>
          <w:lang w:val="en-US" w:eastAsia="zh-CN" w:bidi="ar-SA"/>
        </w:rPr>
        <w:t xml:space="preserve">附图14 </w:t>
      </w:r>
      <w:r>
        <w:rPr>
          <w:rFonts w:hint="default" w:ascii="Times New Roman" w:hAnsi="Times New Roman" w:eastAsia="宋体" w:cs="Times New Roman"/>
          <w:b/>
          <w:bCs/>
          <w:color w:val="auto"/>
          <w:sz w:val="24"/>
          <w:szCs w:val="24"/>
          <w:highlight w:val="none"/>
          <w:lang w:val="en-US" w:eastAsia="zh-CN"/>
        </w:rPr>
        <w:t>广东省“三线一单”截图</w:t>
      </w:r>
      <w:bookmarkEnd w:id="150"/>
      <w:r>
        <w:rPr>
          <w:rFonts w:hint="default" w:ascii="Times New Roman" w:hAnsi="Times New Roman" w:eastAsia="宋体" w:cs="Times New Roman"/>
          <w:b/>
          <w:bCs/>
          <w:color w:val="auto"/>
          <w:sz w:val="24"/>
          <w:szCs w:val="24"/>
          <w:highlight w:val="none"/>
          <w:lang w:val="en-US" w:eastAsia="zh-CN"/>
        </w:rPr>
        <w:drawing>
          <wp:inline distT="0" distB="0" distL="0" distR="0">
            <wp:extent cx="8791575" cy="4329430"/>
            <wp:effectExtent l="0" t="0" r="9525" b="13970"/>
            <wp:docPr id="1128" name="图片 131" descr="粤联昌 三线一单1"/>
            <wp:cNvGraphicFramePr/>
            <a:graphic xmlns:a="http://schemas.openxmlformats.org/drawingml/2006/main">
              <a:graphicData uri="http://schemas.openxmlformats.org/drawingml/2006/picture">
                <pic:pic xmlns:pic="http://schemas.openxmlformats.org/drawingml/2006/picture">
                  <pic:nvPicPr>
                    <pic:cNvPr id="1128" name="图片 131" descr="粤联昌 三线一单1"/>
                    <pic:cNvPicPr/>
                  </pic:nvPicPr>
                  <pic:blipFill>
                    <a:blip r:embed="rId55" cstate="print"/>
                    <a:srcRect/>
                    <a:stretch>
                      <a:fillRect/>
                    </a:stretch>
                  </pic:blipFill>
                  <pic:spPr>
                    <a:xfrm>
                      <a:off x="0" y="0"/>
                      <a:ext cx="8791575" cy="4329430"/>
                    </a:xfrm>
                    <a:prstGeom prst="rect">
                      <a:avLst/>
                    </a:prstGeom>
                  </pic:spPr>
                </pic:pic>
              </a:graphicData>
            </a:graphic>
          </wp:inline>
        </w:drawing>
      </w:r>
      <w:bookmarkEnd w:id="151"/>
    </w:p>
    <w:p w14:paraId="3046077E">
      <w:pPr>
        <w:pStyle w:val="42"/>
        <w:rPr>
          <w:rFonts w:hint="default"/>
          <w:lang w:val="en-US" w:eastAsia="zh-CN"/>
        </w:rPr>
      </w:pPr>
      <w:r>
        <w:rPr>
          <w:rFonts w:hint="default" w:ascii="Times New Roman" w:hAnsi="Times New Roman" w:cs="Times New Roman"/>
          <w:color w:val="auto"/>
          <w:highlight w:val="none"/>
        </w:rPr>
        <mc:AlternateContent>
          <mc:Choice Requires="wps">
            <w:drawing>
              <wp:anchor distT="0" distB="0" distL="0" distR="0" simplePos="0" relativeHeight="251659264" behindDoc="0" locked="0" layoutInCell="1" allowOverlap="1">
                <wp:simplePos x="0" y="0"/>
                <wp:positionH relativeFrom="column">
                  <wp:posOffset>4780915</wp:posOffset>
                </wp:positionH>
                <wp:positionV relativeFrom="paragraph">
                  <wp:posOffset>1957070</wp:posOffset>
                </wp:positionV>
                <wp:extent cx="1010920" cy="393065"/>
                <wp:effectExtent l="172085" t="9525" r="17145" b="35560"/>
                <wp:wrapNone/>
                <wp:docPr id="1129" name="圆角矩形标注 38"/>
                <wp:cNvGraphicFramePr/>
                <a:graphic xmlns:a="http://schemas.openxmlformats.org/drawingml/2006/main">
                  <a:graphicData uri="http://schemas.microsoft.com/office/word/2010/wordprocessingShape">
                    <wps:wsp>
                      <wps:cNvSpPr/>
                      <wps:spPr>
                        <a:xfrm>
                          <a:off x="0" y="0"/>
                          <a:ext cx="1010920" cy="393064"/>
                        </a:xfrm>
                        <a:prstGeom prst="wedgeRoundRectCallout">
                          <a:avLst>
                            <a:gd name="adj1" fmla="val -63505"/>
                            <a:gd name="adj2" fmla="val 50000"/>
                            <a:gd name="adj3" fmla="val 16667"/>
                          </a:avLst>
                        </a:prstGeom>
                        <a:solidFill>
                          <a:srgbClr val="FFFFFF"/>
                        </a:solidFill>
                        <a:ln w="19050" cap="flat" cmpd="sng">
                          <a:solidFill>
                            <a:srgbClr val="000000"/>
                          </a:solidFill>
                          <a:prstDash val="solid"/>
                          <a:miter/>
                        </a:ln>
                      </wps:spPr>
                      <wps:txbx>
                        <w:txbxContent>
                          <w:p w14:paraId="5FF10C30">
                            <w:pPr>
                              <w:jc w:val="center"/>
                              <w:rPr>
                                <w:rFonts w:hint="eastAsia" w:eastAsia="宋体"/>
                                <w:color w:val="auto"/>
                                <w:lang w:eastAsia="zh-CN"/>
                                <w14:textOutline w14:w="9525" w14:cap="flat" w14:cmpd="sng">
                                  <w14:solidFill>
                                    <w14:srgbClr w14:val="000000"/>
                                  </w14:solidFill>
                                  <w14:prstDash w14:val="solid"/>
                                  <w14:round/>
                                </w14:textOutline>
                              </w:rPr>
                            </w:pPr>
                            <w:r>
                              <w:rPr>
                                <w:rFonts w:hint="eastAsia"/>
                                <w:color w:val="auto"/>
                                <w:lang w:eastAsia="zh-CN"/>
                                <w14:textOutline w14:w="9525" w14:cap="flat" w14:cmpd="sng">
                                  <w14:solidFill>
                                    <w14:srgbClr w14:val="000000"/>
                                  </w14:solidFill>
                                  <w14:prstDash w14:val="solid"/>
                                  <w14:round/>
                                </w14:textOutline>
                              </w:rPr>
                              <w:t>建设项目</w:t>
                            </w:r>
                          </w:p>
                        </w:txbxContent>
                      </wps:txbx>
                      <wps:bodyPr vert="horz" wrap="square" lIns="91440" tIns="45720" rIns="91440" bIns="45720" anchor="ctr">
                        <a:noAutofit/>
                      </wps:bodyPr>
                    </wps:wsp>
                  </a:graphicData>
                </a:graphic>
              </wp:anchor>
            </w:drawing>
          </mc:Choice>
          <mc:Fallback>
            <w:pict>
              <v:shape id="圆角矩形标注 38" o:spid="_x0000_s1026" o:spt="62" type="#_x0000_t62" style="position:absolute;left:0pt;margin-left:376.45pt;margin-top:154.1pt;height:30.95pt;width:79.6pt;z-index:251659264;v-text-anchor:middle;mso-width-relative:page;mso-height-relative:page;" fillcolor="#FFFFFF" filled="t" stroked="t" coordsize="21600,21600" o:gfxdata="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Jec8g3ZAAAACwEAAA8AAAAAAAAAAQAgAAAAIgAAAGRycy9kb3ducmV2Lnht&#10;bFBLAQIUABQAAAAIAIdO4kDLEHaKagIAANYEAAAOAAAAAAAAAAEAIAAAACgBAABkcnMvZTJvRG9j&#10;LnhtbFBLBQYAAAAABgAGAFkBAAAEBgAAAAA=&#10;" adj="-2917,21600,14400">
                <v:fill on="t" focussize="0,0"/>
                <v:stroke weight="1.5pt" color="#000000" joinstyle="miter"/>
                <v:imagedata o:title=""/>
                <o:lock v:ext="edit" aspectratio="f"/>
                <v:textbox>
                  <w:txbxContent>
                    <w:p w14:paraId="5FF10C30">
                      <w:pPr>
                        <w:jc w:val="center"/>
                        <w:rPr>
                          <w:rFonts w:hint="eastAsia" w:eastAsia="宋体"/>
                          <w:color w:val="auto"/>
                          <w:lang w:eastAsia="zh-CN"/>
                          <w14:textOutline w14:w="9525" w14:cap="flat" w14:cmpd="sng">
                            <w14:solidFill>
                              <w14:srgbClr w14:val="000000"/>
                            </w14:solidFill>
                            <w14:prstDash w14:val="solid"/>
                            <w14:round/>
                          </w14:textOutline>
                        </w:rPr>
                      </w:pPr>
                      <w:r>
                        <w:rPr>
                          <w:rFonts w:hint="eastAsia"/>
                          <w:color w:val="auto"/>
                          <w:lang w:eastAsia="zh-CN"/>
                          <w14:textOutline w14:w="9525" w14:cap="flat" w14:cmpd="sng">
                            <w14:solidFill>
                              <w14:srgbClr w14:val="000000"/>
                            </w14:solidFill>
                            <w14:prstDash w14:val="solid"/>
                            <w14:round/>
                          </w14:textOutline>
                        </w:rPr>
                        <w:t>建设项目</w:t>
                      </w:r>
                    </w:p>
                  </w:txbxContent>
                </v:textbox>
              </v:shape>
            </w:pict>
          </mc:Fallback>
        </mc:AlternateContent>
      </w:r>
      <w:r>
        <w:rPr>
          <w:rFonts w:hint="default" w:ascii="Times New Roman" w:hAnsi="Times New Roman" w:cs="Times New Roman"/>
          <w:color w:val="auto"/>
          <w:highlight w:val="none"/>
        </w:rPr>
        <w:drawing>
          <wp:anchor distT="0" distB="0" distL="0" distR="0" simplePos="0" relativeHeight="251659264" behindDoc="0" locked="0" layoutInCell="1" allowOverlap="1">
            <wp:simplePos x="0" y="0"/>
            <wp:positionH relativeFrom="column">
              <wp:posOffset>7732395</wp:posOffset>
            </wp:positionH>
            <wp:positionV relativeFrom="paragraph">
              <wp:posOffset>121920</wp:posOffset>
            </wp:positionV>
            <wp:extent cx="1045845" cy="1019175"/>
            <wp:effectExtent l="0" t="0" r="1905" b="9525"/>
            <wp:wrapNone/>
            <wp:docPr id="1130" name="图片 26"/>
            <wp:cNvGraphicFramePr/>
            <a:graphic xmlns:a="http://schemas.openxmlformats.org/drawingml/2006/main">
              <a:graphicData uri="http://schemas.openxmlformats.org/drawingml/2006/picture">
                <pic:pic xmlns:pic="http://schemas.openxmlformats.org/drawingml/2006/picture">
                  <pic:nvPicPr>
                    <pic:cNvPr id="1130" name="图片 26"/>
                    <pic:cNvPicPr/>
                  </pic:nvPicPr>
                  <pic:blipFill>
                    <a:blip r:embed="rId34" cstate="print"/>
                    <a:srcRect/>
                    <a:stretch>
                      <a:fillRect/>
                    </a:stretch>
                  </pic:blipFill>
                  <pic:spPr>
                    <a:xfrm>
                      <a:off x="0" y="0"/>
                      <a:ext cx="1045844" cy="1019175"/>
                    </a:xfrm>
                    <a:prstGeom prst="rect">
                      <a:avLst/>
                    </a:prstGeom>
                    <a:ln>
                      <a:noFill/>
                    </a:ln>
                  </pic:spPr>
                </pic:pic>
              </a:graphicData>
            </a:graphic>
          </wp:anchor>
        </w:drawing>
      </w:r>
      <w:r>
        <w:rPr>
          <w:rFonts w:hint="default"/>
          <w:lang w:val="en-US" w:eastAsia="zh-CN"/>
        </w:rPr>
        <w:drawing>
          <wp:inline distT="0" distB="0" distL="0" distR="0">
            <wp:extent cx="8682990" cy="4305300"/>
            <wp:effectExtent l="0" t="0" r="3810" b="0"/>
            <wp:docPr id="1131" name="图片 132" descr="粤联昌 三线一单2"/>
            <wp:cNvGraphicFramePr/>
            <a:graphic xmlns:a="http://schemas.openxmlformats.org/drawingml/2006/main">
              <a:graphicData uri="http://schemas.openxmlformats.org/drawingml/2006/picture">
                <pic:pic xmlns:pic="http://schemas.openxmlformats.org/drawingml/2006/picture">
                  <pic:nvPicPr>
                    <pic:cNvPr id="1131" name="图片 132" descr="粤联昌 三线一单2"/>
                    <pic:cNvPicPr/>
                  </pic:nvPicPr>
                  <pic:blipFill>
                    <a:blip r:embed="rId56" cstate="print"/>
                    <a:srcRect/>
                    <a:stretch>
                      <a:fillRect/>
                    </a:stretch>
                  </pic:blipFill>
                  <pic:spPr>
                    <a:xfrm>
                      <a:off x="0" y="0"/>
                      <a:ext cx="8682990" cy="4305300"/>
                    </a:xfrm>
                    <a:prstGeom prst="rect">
                      <a:avLst/>
                    </a:prstGeom>
                  </pic:spPr>
                </pic:pic>
              </a:graphicData>
            </a:graphic>
          </wp:inline>
        </w:drawing>
      </w:r>
    </w:p>
    <w:p w14:paraId="042509F0">
      <w:pPr>
        <w:pStyle w:val="4"/>
        <w:ind w:left="0"/>
        <w:jc w:val="center"/>
        <w:rPr>
          <w:rFonts w:hint="default" w:ascii="Times New Roman" w:hAnsi="Times New Roman" w:cs="Times New Roman"/>
          <w:color w:val="auto"/>
          <w:sz w:val="32"/>
          <w:highlight w:val="none"/>
        </w:rPr>
        <w:sectPr>
          <w:pgSz w:w="16838" w:h="11906" w:orient="landscape"/>
          <w:pgMar w:top="1417" w:right="1417" w:bottom="1134" w:left="1559" w:header="851" w:footer="992" w:gutter="0"/>
          <w:pgBorders>
            <w:top w:val="none" w:sz="0" w:space="0"/>
            <w:left w:val="none" w:sz="0" w:space="0"/>
            <w:bottom w:val="none" w:sz="0" w:space="0"/>
            <w:right w:val="none" w:sz="0" w:space="0"/>
          </w:pgBorders>
          <w:pgNumType w:fmt="decimal"/>
          <w:cols w:space="0" w:num="1"/>
          <w:docGrid w:type="lines" w:linePitch="334" w:charSpace="0"/>
        </w:sectPr>
      </w:pPr>
    </w:p>
    <w:p w14:paraId="0C4AE87E">
      <w:pPr>
        <w:pStyle w:val="43"/>
        <w:numPr>
          <w:ilvl w:val="0"/>
          <w:numId w:val="0"/>
        </w:numPr>
        <w:adjustRightInd/>
        <w:spacing w:line="240" w:lineRule="auto"/>
        <w:ind w:left="0" w:leftChars="0" w:firstLine="397" w:firstLineChars="0"/>
        <w:jc w:val="left"/>
        <w:textAlignment w:val="auto"/>
        <w:outlineLvl w:val="0"/>
        <w:rPr>
          <w:rFonts w:hint="default" w:ascii="Times New Roman" w:hAnsi="Times New Roman" w:eastAsia="宋体" w:cs="Times New Roman"/>
          <w:b/>
          <w:bCs/>
          <w:color w:val="auto"/>
          <w:sz w:val="24"/>
          <w:szCs w:val="24"/>
          <w:highlight w:val="none"/>
          <w:lang w:val="en-US" w:eastAsia="zh-CN"/>
        </w:rPr>
      </w:pPr>
      <w:bookmarkStart w:id="152" w:name="_Toc11922"/>
      <w:bookmarkStart w:id="153" w:name="_Toc27663"/>
      <w:r>
        <w:rPr>
          <w:rFonts w:hint="default" w:ascii="Times New Roman" w:hAnsi="Times New Roman" w:eastAsia="宋体" w:cs="Times New Roman"/>
          <w:b/>
          <w:bCs/>
          <w:color w:val="auto"/>
          <w:kern w:val="0"/>
          <w:sz w:val="24"/>
          <w:szCs w:val="24"/>
          <w:highlight w:val="none"/>
          <w:lang w:val="en-US" w:eastAsia="zh-CN" w:bidi="ar-SA"/>
        </w:rPr>
        <w:t xml:space="preserve">附图15 </w:t>
      </w:r>
      <w:r>
        <w:rPr>
          <w:rFonts w:hint="eastAsia" w:cs="Times New Roman"/>
          <w:b/>
          <w:bCs/>
          <w:color w:val="auto"/>
          <w:kern w:val="0"/>
          <w:sz w:val="24"/>
          <w:szCs w:val="24"/>
          <w:highlight w:val="none"/>
          <w:lang w:val="en-US" w:eastAsia="zh-CN" w:bidi="ar-SA"/>
        </w:rPr>
        <w:t>本</w:t>
      </w:r>
      <w:r>
        <w:rPr>
          <w:rFonts w:hint="default" w:ascii="Times New Roman" w:hAnsi="Times New Roman" w:eastAsia="宋体" w:cs="Times New Roman"/>
          <w:b/>
          <w:bCs/>
          <w:color w:val="auto"/>
          <w:sz w:val="24"/>
          <w:szCs w:val="24"/>
          <w:highlight w:val="none"/>
          <w:lang w:val="en-US" w:eastAsia="zh-CN"/>
        </w:rPr>
        <w:t>项目与大气</w:t>
      </w:r>
      <w:r>
        <w:rPr>
          <w:rFonts w:hint="default" w:ascii="Times New Roman" w:hAnsi="Times New Roman" w:cs="Times New Roman"/>
          <w:b/>
          <w:bCs/>
          <w:color w:val="auto"/>
          <w:sz w:val="24"/>
          <w:szCs w:val="24"/>
          <w:highlight w:val="none"/>
          <w:lang w:val="en-US" w:eastAsia="zh-CN"/>
        </w:rPr>
        <w:t>引用</w:t>
      </w:r>
      <w:r>
        <w:rPr>
          <w:rFonts w:hint="default" w:ascii="Times New Roman" w:hAnsi="Times New Roman" w:eastAsia="宋体" w:cs="Times New Roman"/>
          <w:b/>
          <w:bCs/>
          <w:color w:val="auto"/>
          <w:sz w:val="24"/>
          <w:szCs w:val="24"/>
          <w:highlight w:val="none"/>
          <w:lang w:val="en-US" w:eastAsia="zh-CN"/>
        </w:rPr>
        <w:t>监测点位置图</w:t>
      </w:r>
      <w:bookmarkEnd w:id="152"/>
      <w:bookmarkEnd w:id="153"/>
    </w:p>
    <w:p w14:paraId="7EC6A978">
      <w:pPr>
        <w:pStyle w:val="4"/>
        <w:ind w:left="0"/>
        <w:jc w:val="center"/>
        <w:rPr>
          <w:rFonts w:hint="default" w:ascii="Times New Roman" w:hAnsi="Times New Roman" w:eastAsia="宋体" w:cs="Times New Roman"/>
          <w:b/>
          <w:bCs/>
          <w:color w:val="auto"/>
          <w:sz w:val="24"/>
          <w:szCs w:val="24"/>
          <w:highlight w:val="none"/>
          <w:lang w:val="en-US" w:eastAsia="zh-CN"/>
        </w:rPr>
        <w:sectPr>
          <w:pgSz w:w="11906" w:h="16838"/>
          <w:pgMar w:top="1417" w:right="1134" w:bottom="1559" w:left="1417" w:header="851" w:footer="992" w:gutter="0"/>
          <w:pgBorders>
            <w:top w:val="none" w:sz="0" w:space="0"/>
            <w:left w:val="none" w:sz="0" w:space="0"/>
            <w:bottom w:val="none" w:sz="0" w:space="0"/>
            <w:right w:val="none" w:sz="0" w:space="0"/>
          </w:pgBorders>
          <w:pgNumType w:fmt="decimal"/>
          <w:cols w:space="0" w:num="1"/>
          <w:docGrid w:type="lines" w:linePitch="334" w:charSpace="0"/>
        </w:sectPr>
      </w:pPr>
      <w:r>
        <w:rPr>
          <w:sz w:val="32"/>
        </w:rPr>
        <w:drawing>
          <wp:inline distT="0" distB="0" distL="0" distR="0">
            <wp:extent cx="5568315" cy="7819390"/>
            <wp:effectExtent l="0" t="0" r="13335" b="10160"/>
            <wp:docPr id="1133" name="图片 133" descr="粤联昌 距离监测点"/>
            <wp:cNvGraphicFramePr/>
            <a:graphic xmlns:a="http://schemas.openxmlformats.org/drawingml/2006/main">
              <a:graphicData uri="http://schemas.openxmlformats.org/drawingml/2006/picture">
                <pic:pic xmlns:pic="http://schemas.openxmlformats.org/drawingml/2006/picture">
                  <pic:nvPicPr>
                    <pic:cNvPr id="1133" name="图片 133" descr="粤联昌 距离监测点"/>
                    <pic:cNvPicPr/>
                  </pic:nvPicPr>
                  <pic:blipFill>
                    <a:blip r:embed="rId57" cstate="print"/>
                    <a:srcRect/>
                    <a:stretch>
                      <a:fillRect/>
                    </a:stretch>
                  </pic:blipFill>
                  <pic:spPr>
                    <a:xfrm>
                      <a:off x="0" y="0"/>
                      <a:ext cx="5568315" cy="7819390"/>
                    </a:xfrm>
                    <a:prstGeom prst="rect">
                      <a:avLst/>
                    </a:prstGeom>
                  </pic:spPr>
                </pic:pic>
              </a:graphicData>
            </a:graphic>
          </wp:inline>
        </w:drawing>
      </w:r>
      <w:r>
        <w:rPr>
          <w:sz w:val="24"/>
        </w:rPr>
        <mc:AlternateContent>
          <mc:Choice Requires="wps">
            <w:drawing>
              <wp:anchor distT="0" distB="0" distL="0" distR="0" simplePos="0" relativeHeight="251659264" behindDoc="0" locked="0" layoutInCell="1" allowOverlap="1">
                <wp:simplePos x="0" y="0"/>
                <wp:positionH relativeFrom="column">
                  <wp:posOffset>917575</wp:posOffset>
                </wp:positionH>
                <wp:positionV relativeFrom="paragraph">
                  <wp:posOffset>791210</wp:posOffset>
                </wp:positionV>
                <wp:extent cx="266065" cy="142240"/>
                <wp:effectExtent l="6350" t="6350" r="13335" b="22860"/>
                <wp:wrapNone/>
                <wp:docPr id="37" name="矩形 33"/>
                <wp:cNvGraphicFramePr/>
                <a:graphic xmlns:a="http://schemas.openxmlformats.org/drawingml/2006/main">
                  <a:graphicData uri="http://schemas.microsoft.com/office/word/2010/wordprocessingShape">
                    <wps:wsp>
                      <wps:cNvSpPr/>
                      <wps:spPr>
                        <a:xfrm>
                          <a:off x="0" y="0"/>
                          <a:ext cx="266065" cy="142240"/>
                        </a:xfrm>
                        <a:prstGeom prst="rect">
                          <a:avLst/>
                        </a:prstGeom>
                        <a:ln w="12700" cap="flat" cmpd="sng">
                          <a:solidFill>
                            <a:srgbClr val="FF0000"/>
                          </a:solidFill>
                          <a:prstDash val="solid"/>
                          <a:miter/>
                        </a:ln>
                      </wps:spPr>
                      <wps:bodyPr/>
                    </wps:wsp>
                  </a:graphicData>
                </a:graphic>
              </wp:anchor>
            </w:drawing>
          </mc:Choice>
          <mc:Fallback>
            <w:pict>
              <v:rect id="矩形 33" o:spid="_x0000_s1026" o:spt="1" style="position:absolute;left:0pt;margin-left:72.25pt;margin-top:62.3pt;height:11.2pt;width:20.95pt;z-index:251659264;mso-width-relative:page;mso-height-relative:page;" filled="f" stroked="t" coordsize="21600,21600" o:gfxdata="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4tNxM9gAAAALAQAADwAAAAAAAAABACAAAAAiAAAA&#10;ZHJzL2Rvd25yZXYueG1sUEsBAhQAFAAAAAgAh07iQEFfiwjOAQAAjAMAAA4AAAAAAAAAAQAgAAAA&#10;JwEAAGRycy9lMm9Eb2MueG1sUEsFBgAAAAAGAAYAWQEAAGcFAAAAAA==&#10;">
                <v:fill on="f" focussize="0,0"/>
                <v:stroke weight="1pt" color="#FF0000" joinstyle="miter"/>
                <v:imagedata o:title=""/>
                <o:lock v:ext="edit" aspectratio="f"/>
              </v:rect>
            </w:pict>
          </mc:Fallback>
        </mc:AlternateContent>
      </w:r>
      <w:r>
        <w:rPr>
          <w:sz w:val="32"/>
        </w:rPr>
        <mc:AlternateContent>
          <mc:Choice Requires="wps">
            <w:drawing>
              <wp:anchor distT="0" distB="0" distL="0" distR="0" simplePos="0" relativeHeight="251659264" behindDoc="0" locked="0" layoutInCell="1" allowOverlap="1">
                <wp:simplePos x="0" y="0"/>
                <wp:positionH relativeFrom="column">
                  <wp:posOffset>1741805</wp:posOffset>
                </wp:positionH>
                <wp:positionV relativeFrom="paragraph">
                  <wp:posOffset>3871595</wp:posOffset>
                </wp:positionV>
                <wp:extent cx="766445" cy="335280"/>
                <wp:effectExtent l="4445" t="4445" r="10160" b="22225"/>
                <wp:wrapNone/>
                <wp:docPr id="1132" name="文本框 209"/>
                <wp:cNvGraphicFramePr/>
                <a:graphic xmlns:a="http://schemas.openxmlformats.org/drawingml/2006/main">
                  <a:graphicData uri="http://schemas.microsoft.com/office/word/2010/wordprocessingShape">
                    <wps:wsp>
                      <wps:cNvSpPr/>
                      <wps:spPr>
                        <a:xfrm>
                          <a:off x="0" y="0"/>
                          <a:ext cx="766445" cy="335279"/>
                        </a:xfrm>
                        <a:prstGeom prst="rect">
                          <a:avLst/>
                        </a:prstGeom>
                        <a:solidFill>
                          <a:srgbClr val="FFFFFF"/>
                        </a:solidFill>
                        <a:ln w="6350" cap="flat" cmpd="sng">
                          <a:solidFill>
                            <a:srgbClr val="000000"/>
                          </a:solidFill>
                          <a:prstDash val="solid"/>
                          <a:round/>
                        </a:ln>
                      </wps:spPr>
                      <wps:txbx>
                        <w:txbxContent>
                          <w:p w14:paraId="298A300C">
                            <w:pPr>
                              <w:keepNext w:val="0"/>
                              <w:keepLines w:val="0"/>
                              <w:pageBreakBefore w:val="0"/>
                              <w:widowControl w:val="0"/>
                              <w:kinsoku/>
                              <w:wordWrap/>
                              <w:overflowPunct/>
                              <w:topLinePunct w:val="0"/>
                              <w:bidi w:val="0"/>
                              <w:adjustRightInd/>
                              <w:snapToGrid/>
                              <w:spacing w:line="240" w:lineRule="auto"/>
                              <w:textAlignment w:val="auto"/>
                              <w:rPr>
                                <w:rFonts w:hint="default" w:eastAsia="宋体"/>
                                <w:sz w:val="28"/>
                                <w:szCs w:val="28"/>
                                <w:lang w:val="en-US" w:eastAsia="zh-CN"/>
                              </w:rPr>
                            </w:pPr>
                            <w:r>
                              <w:rPr>
                                <w:rFonts w:hint="eastAsia"/>
                                <w:sz w:val="28"/>
                                <w:szCs w:val="28"/>
                                <w:lang w:val="en-US" w:eastAsia="zh-CN"/>
                              </w:rPr>
                              <w:t>2439m</w:t>
                            </w:r>
                          </w:p>
                        </w:txbxContent>
                      </wps:txbx>
                      <wps:bodyPr vert="horz" wrap="square" lIns="91440" tIns="45720" rIns="91440" bIns="45720" anchor="t">
                        <a:noAutofit/>
                      </wps:bodyPr>
                    </wps:wsp>
                  </a:graphicData>
                </a:graphic>
              </wp:anchor>
            </w:drawing>
          </mc:Choice>
          <mc:Fallback>
            <w:pict>
              <v:rect id="文本框 209" o:spid="_x0000_s1026" o:spt="1" style="position:absolute;left:0pt;margin-left:137.15pt;margin-top:304.85pt;height:26.4pt;width:60.35pt;z-index:251659264;mso-width-relative:page;mso-height-relative:page;" fillcolor="#FFFFFF" filled="t" stroked="t" coordsize="21600,21600" o:gfxdata="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c8932NoA&#10;AAALAQAADwAAAAAAAAABACAAAAAiAAAAZHJzL2Rvd25yZXYueG1sUEsBAhQAFAAAAAgAh07iQOl5&#10;aNYdAgAAQwQAAA4AAAAAAAAAAQAgAAAAKQEAAGRycy9lMm9Eb2MueG1sUEsFBgAAAAAGAAYAWQEA&#10;ALgFAAAAAA==&#10;">
                <v:fill on="t" focussize="0,0"/>
                <v:stroke weight="0.5pt" color="#000000" joinstyle="round"/>
                <v:imagedata o:title=""/>
                <o:lock v:ext="edit" aspectratio="f"/>
                <v:textbox>
                  <w:txbxContent>
                    <w:p w14:paraId="298A300C">
                      <w:pPr>
                        <w:keepNext w:val="0"/>
                        <w:keepLines w:val="0"/>
                        <w:pageBreakBefore w:val="0"/>
                        <w:widowControl w:val="0"/>
                        <w:kinsoku/>
                        <w:wordWrap/>
                        <w:overflowPunct/>
                        <w:topLinePunct w:val="0"/>
                        <w:bidi w:val="0"/>
                        <w:adjustRightInd/>
                        <w:snapToGrid/>
                        <w:spacing w:line="240" w:lineRule="auto"/>
                        <w:textAlignment w:val="auto"/>
                        <w:rPr>
                          <w:rFonts w:hint="default" w:eastAsia="宋体"/>
                          <w:sz w:val="28"/>
                          <w:szCs w:val="28"/>
                          <w:lang w:val="en-US" w:eastAsia="zh-CN"/>
                        </w:rPr>
                      </w:pPr>
                      <w:r>
                        <w:rPr>
                          <w:rFonts w:hint="eastAsia"/>
                          <w:sz w:val="28"/>
                          <w:szCs w:val="28"/>
                          <w:lang w:val="en-US" w:eastAsia="zh-CN"/>
                        </w:rPr>
                        <w:t>2439m</w:t>
                      </w:r>
                    </w:p>
                  </w:txbxContent>
                </v:textbox>
              </v:rect>
            </w:pict>
          </mc:Fallback>
        </mc:AlternateContent>
      </w:r>
      <w:r>
        <w:rPr>
          <w:sz w:val="32"/>
        </w:rPr>
        <mc:AlternateContent>
          <mc:Choice Requires="wps">
            <w:drawing>
              <wp:anchor distT="0" distB="0" distL="114300" distR="114300" simplePos="0" relativeHeight="251660288" behindDoc="0" locked="0" layoutInCell="1" allowOverlap="1">
                <wp:simplePos x="0" y="0"/>
                <wp:positionH relativeFrom="column">
                  <wp:posOffset>1214120</wp:posOffset>
                </wp:positionH>
                <wp:positionV relativeFrom="paragraph">
                  <wp:posOffset>535940</wp:posOffset>
                </wp:positionV>
                <wp:extent cx="698500" cy="336550"/>
                <wp:effectExtent l="4445" t="4445" r="20955" b="20955"/>
                <wp:wrapNone/>
                <wp:docPr id="33" name="文本框 33"/>
                <wp:cNvGraphicFramePr/>
                <a:graphic xmlns:a="http://schemas.openxmlformats.org/drawingml/2006/main">
                  <a:graphicData uri="http://schemas.microsoft.com/office/word/2010/wordprocessingShape">
                    <wps:wsp>
                      <wps:cNvSpPr txBox="1"/>
                      <wps:spPr>
                        <a:xfrm>
                          <a:off x="0" y="0"/>
                          <a:ext cx="698500" cy="3365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FCBF861">
                            <w:pPr>
                              <w:rPr>
                                <w:rFonts w:hint="eastAsia" w:eastAsia="宋体"/>
                                <w:lang w:val="en-US" w:eastAsia="zh-CN"/>
                              </w:rPr>
                            </w:pPr>
                            <w:r>
                              <w:rPr>
                                <w:rFonts w:hint="eastAsia"/>
                                <w:lang w:val="en-US" w:eastAsia="zh-CN"/>
                              </w:rPr>
                              <w:t>本项目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5.6pt;margin-top:42.2pt;height:26.5pt;width:55pt;z-index:251660288;mso-width-relative:page;mso-height-relative:page;" fillcolor="#FFFFFF [3201]" filled="t" stroked="t" coordsize="21600,21600" o:gfxdata="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5jiVWtUAAAAK&#10;AQAADwAAAAAAAAABACAAAAAiAAAAZHJzL2Rvd25yZXYueG1sUEsBAhQAFAAAAAgAh07iQJEE6IZY&#10;AgAAuAQAAA4AAAAAAAAAAQAgAAAAJAEAAGRycy9lMm9Eb2MueG1sUEsFBgAAAAAGAAYAWQEAAO4F&#10;AAAAAA==&#10;">
                <v:fill on="t" focussize="0,0"/>
                <v:stroke weight="0.5pt" color="#000000 [3204]" joinstyle="round"/>
                <v:imagedata o:title=""/>
                <o:lock v:ext="edit" aspectratio="f"/>
                <v:textbox>
                  <w:txbxContent>
                    <w:p w14:paraId="5FCBF861">
                      <w:pPr>
                        <w:rPr>
                          <w:rFonts w:hint="eastAsia" w:eastAsia="宋体"/>
                          <w:lang w:val="en-US" w:eastAsia="zh-CN"/>
                        </w:rPr>
                      </w:pPr>
                      <w:r>
                        <w:rPr>
                          <w:rFonts w:hint="eastAsia"/>
                          <w:lang w:val="en-US" w:eastAsia="zh-CN"/>
                        </w:rPr>
                        <w:t>本项目</w:t>
                      </w:r>
                    </w:p>
                  </w:txbxContent>
                </v:textbox>
              </v:shape>
            </w:pict>
          </mc:Fallback>
        </mc:AlternateContent>
      </w:r>
      <w:r>
        <w:rPr>
          <w:sz w:val="32"/>
        </w:rPr>
        <mc:AlternateContent>
          <mc:Choice Requires="wps">
            <w:drawing>
              <wp:anchor distT="0" distB="0" distL="0" distR="0" simplePos="0" relativeHeight="251659264" behindDoc="0" locked="0" layoutInCell="1" allowOverlap="1">
                <wp:simplePos x="0" y="0"/>
                <wp:positionH relativeFrom="column">
                  <wp:posOffset>1083310</wp:posOffset>
                </wp:positionH>
                <wp:positionV relativeFrom="paragraph">
                  <wp:posOffset>933450</wp:posOffset>
                </wp:positionV>
                <wp:extent cx="1087120" cy="6537960"/>
                <wp:effectExtent l="19050" t="3175" r="74930" b="12065"/>
                <wp:wrapNone/>
                <wp:docPr id="1134" name="直接箭头连接符 208"/>
                <wp:cNvGraphicFramePr/>
                <a:graphic xmlns:a="http://schemas.openxmlformats.org/drawingml/2006/main">
                  <a:graphicData uri="http://schemas.microsoft.com/office/word/2010/wordprocessingShape">
                    <wps:wsp>
                      <wps:cNvCnPr/>
                      <wps:spPr>
                        <a:xfrm>
                          <a:off x="0" y="0"/>
                          <a:ext cx="1087120" cy="6537960"/>
                        </a:xfrm>
                        <a:prstGeom prst="straightConnector1">
                          <a:avLst/>
                        </a:prstGeom>
                        <a:ln w="38100" cap="flat" cmpd="sng">
                          <a:solidFill>
                            <a:srgbClr val="5B9BD5"/>
                          </a:solidFill>
                          <a:prstDash val="solid"/>
                          <a:miter/>
                          <a:tailEnd type="arrow" w="med" len="med"/>
                        </a:ln>
                      </wps:spPr>
                      <wps:bodyPr/>
                    </wps:wsp>
                  </a:graphicData>
                </a:graphic>
              </wp:anchor>
            </w:drawing>
          </mc:Choice>
          <mc:Fallback>
            <w:pict>
              <v:shape id="直接箭头连接符 208" o:spid="_x0000_s1026" o:spt="32" type="#_x0000_t32" style="position:absolute;left:0pt;margin-left:85.3pt;margin-top:73.5pt;height:514.8pt;width:85.6pt;z-index:251659264;mso-width-relative:page;mso-height-relative:page;" filled="f" stroked="t" coordsize="21600,21600" o:gfxdata="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81wme9kAAAAMAQAADwAAAAAAAAABACAA&#10;AAAiAAAAZHJzL2Rvd25yZXYueG1sUEsBAhQAFAAAAAgAh07iQAj50BoMAgAA2QMAAA4AAAAAAAAA&#10;AQAgAAAAKAEAAGRycy9lMm9Eb2MueG1sUEsFBgAAAAAGAAYAWQEAAKYFAAAAAA==&#10;">
                <v:fill on="f" focussize="0,0"/>
                <v:stroke weight="3pt" color="#5B9BD5" joinstyle="miter" endarrow="open"/>
                <v:imagedata o:title=""/>
                <o:lock v:ext="edit" aspectratio="f"/>
              </v:shape>
            </w:pict>
          </mc:Fallback>
        </mc:AlternateContent>
      </w:r>
      <w:r>
        <w:rPr>
          <w:rFonts w:hint="default" w:ascii="Times New Roman" w:hAnsi="Times New Roman" w:cs="Times New Roman"/>
          <w:color w:val="auto"/>
          <w:highlight w:val="none"/>
        </w:rPr>
        <w:drawing>
          <wp:anchor distT="0" distB="0" distL="0" distR="0" simplePos="0" relativeHeight="251659264" behindDoc="0" locked="0" layoutInCell="1" allowOverlap="1">
            <wp:simplePos x="0" y="0"/>
            <wp:positionH relativeFrom="column">
              <wp:posOffset>4324350</wp:posOffset>
            </wp:positionH>
            <wp:positionV relativeFrom="paragraph">
              <wp:posOffset>68580</wp:posOffset>
            </wp:positionV>
            <wp:extent cx="1344930" cy="1311275"/>
            <wp:effectExtent l="0" t="0" r="7620" b="3175"/>
            <wp:wrapNone/>
            <wp:docPr id="1135" name="图片 26"/>
            <wp:cNvGraphicFramePr/>
            <a:graphic xmlns:a="http://schemas.openxmlformats.org/drawingml/2006/main">
              <a:graphicData uri="http://schemas.openxmlformats.org/drawingml/2006/picture">
                <pic:pic xmlns:pic="http://schemas.openxmlformats.org/drawingml/2006/picture">
                  <pic:nvPicPr>
                    <pic:cNvPr id="1135" name="图片 26"/>
                    <pic:cNvPicPr/>
                  </pic:nvPicPr>
                  <pic:blipFill>
                    <a:blip r:embed="rId34" cstate="print"/>
                    <a:srcRect/>
                    <a:stretch>
                      <a:fillRect/>
                    </a:stretch>
                  </pic:blipFill>
                  <pic:spPr>
                    <a:xfrm>
                      <a:off x="0" y="0"/>
                      <a:ext cx="1344930" cy="1311275"/>
                    </a:xfrm>
                    <a:prstGeom prst="rect">
                      <a:avLst/>
                    </a:prstGeom>
                    <a:ln>
                      <a:noFill/>
                    </a:ln>
                  </pic:spPr>
                </pic:pic>
              </a:graphicData>
            </a:graphic>
          </wp:anchor>
        </w:drawing>
      </w:r>
    </w:p>
    <w:p w14:paraId="3B50AD7A">
      <w:pPr>
        <w:pStyle w:val="43"/>
        <w:numPr>
          <w:ilvl w:val="0"/>
          <w:numId w:val="0"/>
        </w:numPr>
        <w:adjustRightInd/>
        <w:spacing w:line="240" w:lineRule="auto"/>
        <w:ind w:left="0" w:leftChars="0" w:firstLine="397" w:firstLineChars="0"/>
        <w:jc w:val="left"/>
        <w:textAlignment w:val="auto"/>
        <w:outlineLvl w:val="0"/>
        <w:rPr>
          <w:rFonts w:hint="default" w:ascii="Times New Roman" w:hAnsi="Times New Roman" w:eastAsia="宋体" w:cs="Times New Roman"/>
          <w:b/>
          <w:bCs/>
          <w:color w:val="auto"/>
          <w:sz w:val="24"/>
          <w:szCs w:val="24"/>
          <w:highlight w:val="none"/>
          <w:lang w:val="en-US" w:eastAsia="zh-CN"/>
        </w:rPr>
      </w:pPr>
      <w:bookmarkStart w:id="154" w:name="_Toc4110"/>
      <w:bookmarkStart w:id="155" w:name="_Toc26330"/>
      <w:r>
        <w:rPr>
          <w:rFonts w:hint="default" w:ascii="Times New Roman" w:hAnsi="Times New Roman" w:eastAsia="宋体" w:cs="Times New Roman"/>
          <w:b/>
          <w:bCs/>
          <w:color w:val="auto"/>
          <w:kern w:val="0"/>
          <w:sz w:val="24"/>
          <w:szCs w:val="24"/>
          <w:highlight w:val="none"/>
          <w:lang w:val="en-US" w:eastAsia="zh-CN" w:bidi="ar-SA"/>
        </w:rPr>
        <w:t xml:space="preserve">附图16 </w:t>
      </w:r>
      <w:r>
        <w:rPr>
          <w:rFonts w:hint="default" w:ascii="Times New Roman" w:hAnsi="Times New Roman" w:eastAsia="宋体" w:cs="Times New Roman"/>
          <w:b/>
          <w:bCs/>
          <w:color w:val="auto"/>
          <w:sz w:val="24"/>
          <w:szCs w:val="24"/>
          <w:highlight w:val="none"/>
          <w:lang w:val="en-US" w:eastAsia="zh-CN"/>
        </w:rPr>
        <w:t>乐昌产业转移工业园管网分布图</w:t>
      </w:r>
      <w:bookmarkEnd w:id="154"/>
      <w:bookmarkEnd w:id="155"/>
    </w:p>
    <w:p w14:paraId="19C12AB5">
      <w:pPr>
        <w:pStyle w:val="2"/>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mc:AlternateContent>
          <mc:Choice Requires="wps">
            <w:drawing>
              <wp:anchor distT="0" distB="0" distL="0" distR="0" simplePos="0" relativeHeight="251659264" behindDoc="0" locked="0" layoutInCell="1" allowOverlap="1">
                <wp:simplePos x="0" y="0"/>
                <wp:positionH relativeFrom="column">
                  <wp:posOffset>1773555</wp:posOffset>
                </wp:positionH>
                <wp:positionV relativeFrom="paragraph">
                  <wp:posOffset>4218940</wp:posOffset>
                </wp:positionV>
                <wp:extent cx="1010920" cy="405130"/>
                <wp:effectExtent l="9525" t="9525" r="27305" b="233045"/>
                <wp:wrapNone/>
                <wp:docPr id="1136" name="圆角矩形标注 38"/>
                <wp:cNvGraphicFramePr/>
                <a:graphic xmlns:a="http://schemas.openxmlformats.org/drawingml/2006/main">
                  <a:graphicData uri="http://schemas.microsoft.com/office/word/2010/wordprocessingShape">
                    <wps:wsp>
                      <wps:cNvSpPr/>
                      <wps:spPr>
                        <a:xfrm>
                          <a:off x="0" y="0"/>
                          <a:ext cx="1010919" cy="405129"/>
                        </a:xfrm>
                        <a:prstGeom prst="wedgeRoundRectCallout">
                          <a:avLst>
                            <a:gd name="adj1" fmla="val -21536"/>
                            <a:gd name="adj2" fmla="val 102868"/>
                            <a:gd name="adj3" fmla="val 16667"/>
                          </a:avLst>
                        </a:prstGeom>
                        <a:solidFill>
                          <a:srgbClr val="FFFFFF"/>
                        </a:solidFill>
                        <a:ln w="19050" cap="flat" cmpd="sng">
                          <a:solidFill>
                            <a:srgbClr val="000000"/>
                          </a:solidFill>
                          <a:prstDash val="solid"/>
                          <a:miter/>
                        </a:ln>
                      </wps:spPr>
                      <wps:txbx>
                        <w:txbxContent>
                          <w:p w14:paraId="419CE1E1">
                            <w:pPr>
                              <w:jc w:val="center"/>
                              <w:rPr>
                                <w:rFonts w:hint="eastAsia" w:eastAsia="宋体"/>
                                <w:color w:val="auto"/>
                                <w:lang w:eastAsia="zh-CN"/>
                                <w14:textOutline w14:w="9525" w14:cap="flat" w14:cmpd="sng">
                                  <w14:solidFill>
                                    <w14:srgbClr w14:val="000000"/>
                                  </w14:solidFill>
                                  <w14:prstDash w14:val="solid"/>
                                  <w14:round/>
                                </w14:textOutline>
                              </w:rPr>
                            </w:pPr>
                            <w:r>
                              <w:rPr>
                                <w:rFonts w:hint="eastAsia"/>
                                <w:color w:val="auto"/>
                                <w:lang w:eastAsia="zh-CN"/>
                                <w14:textOutline w14:w="9525" w14:cap="flat" w14:cmpd="sng">
                                  <w14:solidFill>
                                    <w14:srgbClr w14:val="000000"/>
                                  </w14:solidFill>
                                  <w14:prstDash w14:val="solid"/>
                                  <w14:round/>
                                </w14:textOutline>
                              </w:rPr>
                              <w:t>建设项目</w:t>
                            </w:r>
                          </w:p>
                        </w:txbxContent>
                      </wps:txbx>
                      <wps:bodyPr vert="horz" wrap="square" lIns="91440" tIns="45720" rIns="91440" bIns="45720" anchor="ctr">
                        <a:noAutofit/>
                      </wps:bodyPr>
                    </wps:wsp>
                  </a:graphicData>
                </a:graphic>
              </wp:anchor>
            </w:drawing>
          </mc:Choice>
          <mc:Fallback>
            <w:pict>
              <v:shape id="圆角矩形标注 38" o:spid="_x0000_s1026" o:spt="62" type="#_x0000_t62" style="position:absolute;left:0pt;margin-left:139.65pt;margin-top:332.2pt;height:31.9pt;width:79.6pt;z-index:251659264;v-text-anchor:middle;mso-width-relative:page;mso-height-relative:page;" fillcolor="#FFFFFF" filled="t" stroked="t" coordsize="21600,21600" o:gfxdata="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Gsx/VdsAAAALAQAADwAAAAAAAAABACAAAAAiAAAAZHJzL2Rvd25y&#10;ZXYueG1sUEsBAhQAFAAAAAgAh07iQJ2iWcJtAgAA1wQAAA4AAAAAAAAAAQAgAAAAKgEAAGRycy9l&#10;Mm9Eb2MueG1sUEsFBgAAAAAGAAYAWQEAAAkGAAAAAA==&#10;" adj="6148,33019,14400">
                <v:fill on="t" focussize="0,0"/>
                <v:stroke weight="1.5pt" color="#000000" joinstyle="miter"/>
                <v:imagedata o:title=""/>
                <o:lock v:ext="edit" aspectratio="f"/>
                <v:textbox>
                  <w:txbxContent>
                    <w:p w14:paraId="419CE1E1">
                      <w:pPr>
                        <w:jc w:val="center"/>
                        <w:rPr>
                          <w:rFonts w:hint="eastAsia" w:eastAsia="宋体"/>
                          <w:color w:val="auto"/>
                          <w:lang w:eastAsia="zh-CN"/>
                          <w14:textOutline w14:w="9525" w14:cap="flat" w14:cmpd="sng">
                            <w14:solidFill>
                              <w14:srgbClr w14:val="000000"/>
                            </w14:solidFill>
                            <w14:prstDash w14:val="solid"/>
                            <w14:round/>
                          </w14:textOutline>
                        </w:rPr>
                      </w:pPr>
                      <w:r>
                        <w:rPr>
                          <w:rFonts w:hint="eastAsia"/>
                          <w:color w:val="auto"/>
                          <w:lang w:eastAsia="zh-CN"/>
                          <w14:textOutline w14:w="9525" w14:cap="flat" w14:cmpd="sng">
                            <w14:solidFill>
                              <w14:srgbClr w14:val="000000"/>
                            </w14:solidFill>
                            <w14:prstDash w14:val="solid"/>
                            <w14:round/>
                          </w14:textOutline>
                        </w:rPr>
                        <w:t>建设项目</w:t>
                      </w:r>
                    </w:p>
                  </w:txbxContent>
                </v:textbox>
              </v:shape>
            </w:pict>
          </mc:Fallback>
        </mc:AlternateContent>
      </w:r>
      <w:r>
        <w:rPr>
          <w:sz w:val="24"/>
        </w:rPr>
        <mc:AlternateContent>
          <mc:Choice Requires="wps">
            <w:drawing>
              <wp:anchor distT="0" distB="0" distL="0" distR="0" simplePos="0" relativeHeight="251659264" behindDoc="0" locked="0" layoutInCell="1" allowOverlap="1">
                <wp:simplePos x="0" y="0"/>
                <wp:positionH relativeFrom="column">
                  <wp:posOffset>2014220</wp:posOffset>
                </wp:positionH>
                <wp:positionV relativeFrom="paragraph">
                  <wp:posOffset>4892040</wp:posOffset>
                </wp:positionV>
                <wp:extent cx="116205" cy="103505"/>
                <wp:effectExtent l="6350" t="6350" r="10795" b="23495"/>
                <wp:wrapNone/>
                <wp:docPr id="1137" name="矩形 196"/>
                <wp:cNvGraphicFramePr/>
                <a:graphic xmlns:a="http://schemas.openxmlformats.org/drawingml/2006/main">
                  <a:graphicData uri="http://schemas.microsoft.com/office/word/2010/wordprocessingShape">
                    <wps:wsp>
                      <wps:cNvSpPr/>
                      <wps:spPr>
                        <a:xfrm>
                          <a:off x="0" y="0"/>
                          <a:ext cx="116204" cy="103504"/>
                        </a:xfrm>
                        <a:prstGeom prst="rect">
                          <a:avLst/>
                        </a:prstGeom>
                        <a:solidFill>
                          <a:srgbClr val="FF0000"/>
                        </a:solidFill>
                        <a:ln w="12700" cap="flat" cmpd="sng">
                          <a:solidFill>
                            <a:srgbClr val="000000"/>
                          </a:solidFill>
                          <a:prstDash val="solid"/>
                          <a:miter/>
                        </a:ln>
                      </wps:spPr>
                      <wps:bodyPr/>
                    </wps:wsp>
                  </a:graphicData>
                </a:graphic>
              </wp:anchor>
            </w:drawing>
          </mc:Choice>
          <mc:Fallback>
            <w:pict>
              <v:rect id="矩形 196" o:spid="_x0000_s1026" o:spt="1" style="position:absolute;left:0pt;margin-left:158.6pt;margin-top:385.2pt;height:8.15pt;width:9.15pt;z-index:251659264;mso-width-relative:page;mso-height-relative:page;" fillcolor="#FF0000" filled="t" stroked="t" coordsize="21600,21600" o:gfxdata="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ZYDnp2gAAAAsBAAAPAAAAAAAA&#10;AAEAIAAAACIAAABkcnMvZG93bnJldi54bWxQSwECFAAUAAAACACHTuJAMkFfQdcBAADDAwAADgAA&#10;AAAAAAABACAAAAApAQAAZHJzL2Uyb0RvYy54bWxQSwUGAAAAAAYABgBZAQAAcgUAAAAA&#10;">
                <v:fill on="t" focussize="0,0"/>
                <v:stroke weight="1pt" color="#000000" joinstyle="miter"/>
                <v:imagedata o:title=""/>
                <o:lock v:ext="edit" aspectratio="f"/>
              </v:rect>
            </w:pict>
          </mc:Fallback>
        </mc:AlternateContent>
      </w:r>
      <w:r>
        <w:rPr>
          <w:rFonts w:hint="default" w:ascii="Times New Roman" w:hAnsi="Times New Roman" w:cs="Times New Roman"/>
          <w:color w:val="auto"/>
          <w:highlight w:val="none"/>
        </w:rPr>
        <w:drawing>
          <wp:inline distT="0" distB="0" distL="0" distR="0">
            <wp:extent cx="5361305" cy="7717790"/>
            <wp:effectExtent l="0" t="0" r="10795" b="16510"/>
            <wp:docPr id="1138" name="图片 3"/>
            <wp:cNvGraphicFramePr/>
            <a:graphic xmlns:a="http://schemas.openxmlformats.org/drawingml/2006/main">
              <a:graphicData uri="http://schemas.openxmlformats.org/drawingml/2006/picture">
                <pic:pic xmlns:pic="http://schemas.openxmlformats.org/drawingml/2006/picture">
                  <pic:nvPicPr>
                    <pic:cNvPr id="1138" name="图片 3"/>
                    <pic:cNvPicPr/>
                  </pic:nvPicPr>
                  <pic:blipFill>
                    <a:blip r:embed="rId58" cstate="print"/>
                    <a:srcRect/>
                    <a:stretch>
                      <a:fillRect/>
                    </a:stretch>
                  </pic:blipFill>
                  <pic:spPr>
                    <a:xfrm>
                      <a:off x="0" y="0"/>
                      <a:ext cx="5361305" cy="7717790"/>
                    </a:xfrm>
                    <a:prstGeom prst="rect">
                      <a:avLst/>
                    </a:prstGeom>
                    <a:ln>
                      <a:noFill/>
                    </a:ln>
                  </pic:spPr>
                </pic:pic>
              </a:graphicData>
            </a:graphic>
          </wp:inline>
        </w:drawing>
      </w:r>
    </w:p>
    <w:p w14:paraId="40E059DA">
      <w:pPr>
        <w:rPr>
          <w:rFonts w:hint="default" w:ascii="Times New Roman" w:hAnsi="Times New Roman" w:cs="Times New Roman"/>
          <w:color w:val="auto"/>
          <w:highlight w:val="none"/>
        </w:rPr>
        <w:sectPr>
          <w:pgSz w:w="11906" w:h="16838"/>
          <w:pgMar w:top="1417" w:right="1134" w:bottom="1559" w:left="1417" w:header="851" w:footer="992" w:gutter="0"/>
          <w:pgBorders>
            <w:top w:val="none" w:sz="0" w:space="0"/>
            <w:left w:val="none" w:sz="0" w:space="0"/>
            <w:bottom w:val="none" w:sz="0" w:space="0"/>
            <w:right w:val="none" w:sz="0" w:space="0"/>
          </w:pgBorders>
          <w:pgNumType w:fmt="decimal"/>
          <w:cols w:space="0" w:num="1"/>
          <w:docGrid w:type="lines" w:linePitch="334" w:charSpace="0"/>
        </w:sectPr>
      </w:pPr>
    </w:p>
    <w:p w14:paraId="119E0648">
      <w:pPr>
        <w:pStyle w:val="43"/>
        <w:numPr>
          <w:ilvl w:val="0"/>
          <w:numId w:val="0"/>
        </w:numPr>
        <w:adjustRightInd/>
        <w:spacing w:line="240" w:lineRule="auto"/>
        <w:ind w:left="0" w:leftChars="0" w:firstLine="397" w:firstLineChars="0"/>
        <w:jc w:val="left"/>
        <w:textAlignment w:val="auto"/>
        <w:outlineLvl w:val="0"/>
        <w:rPr>
          <w:rFonts w:hint="default" w:ascii="Times New Roman" w:hAnsi="Times New Roman" w:eastAsia="宋体" w:cs="Times New Roman"/>
          <w:b/>
          <w:bCs/>
          <w:color w:val="auto"/>
          <w:sz w:val="24"/>
          <w:szCs w:val="24"/>
          <w:highlight w:val="none"/>
          <w:lang w:val="en-US" w:eastAsia="zh-CN"/>
        </w:rPr>
      </w:pPr>
      <w:bookmarkStart w:id="156" w:name="_Toc9079"/>
      <w:bookmarkStart w:id="157" w:name="_Toc31680"/>
      <w:r>
        <w:rPr>
          <w:rFonts w:hint="default" w:ascii="Times New Roman" w:hAnsi="Times New Roman" w:eastAsia="宋体" w:cs="Times New Roman"/>
          <w:b/>
          <w:bCs/>
          <w:color w:val="auto"/>
          <w:kern w:val="0"/>
          <w:sz w:val="24"/>
          <w:szCs w:val="24"/>
          <w:highlight w:val="none"/>
          <w:lang w:val="en-US" w:eastAsia="zh-CN" w:bidi="ar-SA"/>
        </w:rPr>
        <w:t xml:space="preserve">附图17 </w:t>
      </w:r>
      <w:r>
        <w:rPr>
          <w:rFonts w:hint="eastAsia" w:cs="Times New Roman"/>
          <w:b/>
          <w:bCs/>
          <w:color w:val="auto"/>
          <w:sz w:val="24"/>
          <w:szCs w:val="24"/>
          <w:highlight w:val="none"/>
          <w:lang w:val="en-US" w:eastAsia="zh-CN"/>
        </w:rPr>
        <w:t>本</w:t>
      </w:r>
      <w:r>
        <w:rPr>
          <w:rFonts w:hint="default" w:ascii="Times New Roman" w:hAnsi="Times New Roman" w:eastAsia="宋体" w:cs="Times New Roman"/>
          <w:b/>
          <w:bCs/>
          <w:color w:val="auto"/>
          <w:sz w:val="24"/>
          <w:szCs w:val="24"/>
          <w:highlight w:val="none"/>
          <w:lang w:val="en-US" w:eastAsia="zh-CN"/>
        </w:rPr>
        <w:t>项目与韶关市区武江饮用水水源保护区关系示意图</w:t>
      </w:r>
      <w:bookmarkEnd w:id="156"/>
      <w:bookmarkEnd w:id="157"/>
    </w:p>
    <w:p w14:paraId="3D92E806">
      <w:pPr>
        <w:jc w:val="center"/>
      </w:pPr>
      <w:r>
        <w:rPr>
          <w:sz w:val="24"/>
        </w:rPr>
        <mc:AlternateContent>
          <mc:Choice Requires="wps">
            <w:drawing>
              <wp:anchor distT="0" distB="0" distL="0" distR="0" simplePos="0" relativeHeight="251659264" behindDoc="0" locked="0" layoutInCell="1" allowOverlap="1">
                <wp:simplePos x="0" y="0"/>
                <wp:positionH relativeFrom="column">
                  <wp:posOffset>5585460</wp:posOffset>
                </wp:positionH>
                <wp:positionV relativeFrom="paragraph">
                  <wp:posOffset>488950</wp:posOffset>
                </wp:positionV>
                <wp:extent cx="127000" cy="76200"/>
                <wp:effectExtent l="5080" t="4445" r="20320" b="14605"/>
                <wp:wrapNone/>
                <wp:docPr id="36" name="矩形 33"/>
                <wp:cNvGraphicFramePr/>
                <a:graphic xmlns:a="http://schemas.openxmlformats.org/drawingml/2006/main">
                  <a:graphicData uri="http://schemas.microsoft.com/office/word/2010/wordprocessingShape">
                    <wps:wsp>
                      <wps:cNvSpPr/>
                      <wps:spPr>
                        <a:xfrm>
                          <a:off x="0" y="0"/>
                          <a:ext cx="127000" cy="76200"/>
                        </a:xfrm>
                        <a:prstGeom prst="rect">
                          <a:avLst/>
                        </a:prstGeom>
                        <a:ln w="9525" cap="flat" cmpd="sng">
                          <a:solidFill>
                            <a:srgbClr val="FF0000"/>
                          </a:solidFill>
                          <a:prstDash val="solid"/>
                          <a:miter/>
                        </a:ln>
                      </wps:spPr>
                      <wps:bodyPr/>
                    </wps:wsp>
                  </a:graphicData>
                </a:graphic>
              </wp:anchor>
            </w:drawing>
          </mc:Choice>
          <mc:Fallback>
            <w:pict>
              <v:rect id="矩形 33" o:spid="_x0000_s1026" o:spt="1" style="position:absolute;left:0pt;margin-left:439.8pt;margin-top:38.5pt;height:6pt;width:10pt;z-index:251659264;mso-width-relative:page;mso-height-relative:page;" filled="f" stroked="t" coordsize="21600,21600" o:gfxdata="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Cr40i2AAAAAkBAAAPAAAAAAAAAAEAIAAAACIAAABkcnMv&#10;ZG93bnJldi54bWxQSwECFAAUAAAACACHTuJApmbUHMoBAACKAwAADgAAAAAAAAABACAAAAAnAQAA&#10;ZHJzL2Uyb0RvYy54bWxQSwUGAAAAAAYABgBZAQAAYwUAAAAA&#10;">
                <v:fill on="f" focussize="0,0"/>
                <v:stroke color="#FF0000" joinstyle="miter"/>
                <v:imagedata o:title=""/>
                <o:lock v:ext="edit" aspectratio="f"/>
              </v:rect>
            </w:pict>
          </mc:Fallback>
        </mc:AlternateContent>
      </w:r>
      <w:r>
        <w:rPr>
          <w:sz w:val="21"/>
        </w:rPr>
        <mc:AlternateContent>
          <mc:Choice Requires="wps">
            <w:drawing>
              <wp:anchor distT="0" distB="0" distL="0" distR="0" simplePos="0" relativeHeight="251659264" behindDoc="0" locked="0" layoutInCell="1" allowOverlap="1">
                <wp:simplePos x="0" y="0"/>
                <wp:positionH relativeFrom="column">
                  <wp:posOffset>3932555</wp:posOffset>
                </wp:positionH>
                <wp:positionV relativeFrom="paragraph">
                  <wp:posOffset>1936750</wp:posOffset>
                </wp:positionV>
                <wp:extent cx="520700" cy="259715"/>
                <wp:effectExtent l="5080" t="4445" r="7620" b="21590"/>
                <wp:wrapNone/>
                <wp:docPr id="1139" name="文本框 204"/>
                <wp:cNvGraphicFramePr/>
                <a:graphic xmlns:a="http://schemas.openxmlformats.org/drawingml/2006/main">
                  <a:graphicData uri="http://schemas.microsoft.com/office/word/2010/wordprocessingShape">
                    <wps:wsp>
                      <wps:cNvSpPr/>
                      <wps:spPr>
                        <a:xfrm>
                          <a:off x="0" y="0"/>
                          <a:ext cx="520699" cy="259714"/>
                        </a:xfrm>
                        <a:prstGeom prst="rect">
                          <a:avLst/>
                        </a:prstGeom>
                        <a:solidFill>
                          <a:srgbClr val="FFFFFF"/>
                        </a:solidFill>
                        <a:ln w="6350" cap="flat" cmpd="sng">
                          <a:solidFill>
                            <a:srgbClr val="000000"/>
                          </a:solidFill>
                          <a:prstDash val="solid"/>
                          <a:round/>
                        </a:ln>
                      </wps:spPr>
                      <wps:txbx>
                        <w:txbxContent>
                          <w:p w14:paraId="59607180">
                            <w:pPr>
                              <w:keepNext w:val="0"/>
                              <w:keepLines w:val="0"/>
                              <w:pageBreakBefore w:val="0"/>
                              <w:widowControl w:val="0"/>
                              <w:kinsoku/>
                              <w:wordWrap/>
                              <w:overflowPunct/>
                              <w:topLinePunct w:val="0"/>
                              <w:bidi w:val="0"/>
                              <w:adjustRightInd/>
                              <w:snapToGrid/>
                              <w:spacing w:line="240" w:lineRule="auto"/>
                              <w:textAlignment w:val="auto"/>
                              <w:rPr>
                                <w:rFonts w:hint="default" w:eastAsia="宋体"/>
                                <w:sz w:val="18"/>
                                <w:szCs w:val="18"/>
                                <w:lang w:val="en-US" w:eastAsia="zh-CN"/>
                              </w:rPr>
                            </w:pPr>
                            <w:r>
                              <w:rPr>
                                <w:rFonts w:hint="eastAsia"/>
                                <w:sz w:val="18"/>
                                <w:szCs w:val="18"/>
                                <w:lang w:val="en-US" w:eastAsia="zh-CN"/>
                              </w:rPr>
                              <w:t>4409m</w:t>
                            </w:r>
                          </w:p>
                        </w:txbxContent>
                      </wps:txbx>
                      <wps:bodyPr vert="horz" wrap="square" lIns="91440" tIns="45720" rIns="91440" bIns="45720" anchor="t">
                        <a:noAutofit/>
                      </wps:bodyPr>
                    </wps:wsp>
                  </a:graphicData>
                </a:graphic>
              </wp:anchor>
            </w:drawing>
          </mc:Choice>
          <mc:Fallback>
            <w:pict>
              <v:rect id="文本框 204" o:spid="_x0000_s1026" o:spt="1" style="position:absolute;left:0pt;margin-left:309.65pt;margin-top:152.5pt;height:20.45pt;width:41pt;z-index:251659264;mso-width-relative:page;mso-height-relative:page;" fillcolor="#FFFFFF" filled="t" stroked="t" coordsize="21600,21600" o:gfxdata="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EagOYzYAAAA&#10;CwEAAA8AAAAAAAAAAQAgAAAAIgAAAGRycy9kb3ducmV2LnhtbFBLAQIUABQAAAAIAIdO4kC8R2pN&#10;HQIAAEMEAAAOAAAAAAAAAAEAIAAAACcBAABkcnMvZTJvRG9jLnhtbFBLBQYAAAAABgAGAFkBAAC2&#10;BQAAAAA=&#10;">
                <v:fill on="t" focussize="0,0"/>
                <v:stroke weight="0.5pt" color="#000000" joinstyle="round"/>
                <v:imagedata o:title=""/>
                <o:lock v:ext="edit" aspectratio="f"/>
                <v:textbox>
                  <w:txbxContent>
                    <w:p w14:paraId="59607180">
                      <w:pPr>
                        <w:keepNext w:val="0"/>
                        <w:keepLines w:val="0"/>
                        <w:pageBreakBefore w:val="0"/>
                        <w:widowControl w:val="0"/>
                        <w:kinsoku/>
                        <w:wordWrap/>
                        <w:overflowPunct/>
                        <w:topLinePunct w:val="0"/>
                        <w:bidi w:val="0"/>
                        <w:adjustRightInd/>
                        <w:snapToGrid/>
                        <w:spacing w:line="240" w:lineRule="auto"/>
                        <w:textAlignment w:val="auto"/>
                        <w:rPr>
                          <w:rFonts w:hint="default" w:eastAsia="宋体"/>
                          <w:sz w:val="18"/>
                          <w:szCs w:val="18"/>
                          <w:lang w:val="en-US" w:eastAsia="zh-CN"/>
                        </w:rPr>
                      </w:pPr>
                      <w:r>
                        <w:rPr>
                          <w:rFonts w:hint="eastAsia"/>
                          <w:sz w:val="18"/>
                          <w:szCs w:val="18"/>
                          <w:lang w:val="en-US" w:eastAsia="zh-CN"/>
                        </w:rPr>
                        <w:t>4409m</w:t>
                      </w:r>
                    </w:p>
                  </w:txbxContent>
                </v:textbox>
              </v:rect>
            </w:pict>
          </mc:Fallback>
        </mc:AlternateContent>
      </w:r>
      <w:r>
        <w:rPr>
          <w:sz w:val="32"/>
        </w:rPr>
        <mc:AlternateContent>
          <mc:Choice Requires="wps">
            <w:drawing>
              <wp:anchor distT="0" distB="0" distL="114300" distR="114300" simplePos="0" relativeHeight="251660288" behindDoc="0" locked="0" layoutInCell="1" allowOverlap="1">
                <wp:simplePos x="0" y="0"/>
                <wp:positionH relativeFrom="column">
                  <wp:posOffset>5743575</wp:posOffset>
                </wp:positionH>
                <wp:positionV relativeFrom="paragraph">
                  <wp:posOffset>306070</wp:posOffset>
                </wp:positionV>
                <wp:extent cx="698500" cy="336550"/>
                <wp:effectExtent l="4445" t="4445" r="20955" b="20955"/>
                <wp:wrapNone/>
                <wp:docPr id="34" name="文本框 34"/>
                <wp:cNvGraphicFramePr/>
                <a:graphic xmlns:a="http://schemas.openxmlformats.org/drawingml/2006/main">
                  <a:graphicData uri="http://schemas.microsoft.com/office/word/2010/wordprocessingShape">
                    <wps:wsp>
                      <wps:cNvSpPr txBox="1"/>
                      <wps:spPr>
                        <a:xfrm>
                          <a:off x="0" y="0"/>
                          <a:ext cx="698500" cy="3365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A1F39AC">
                            <w:pPr>
                              <w:rPr>
                                <w:rFonts w:hint="eastAsia" w:eastAsia="宋体"/>
                                <w:lang w:val="en-US" w:eastAsia="zh-CN"/>
                              </w:rPr>
                            </w:pPr>
                            <w:r>
                              <w:rPr>
                                <w:rFonts w:hint="eastAsia"/>
                                <w:lang w:val="en-US" w:eastAsia="zh-CN"/>
                              </w:rPr>
                              <w:t>本项目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2.25pt;margin-top:24.1pt;height:26.5pt;width:55pt;z-index:251660288;mso-width-relative:page;mso-height-relative:page;" fillcolor="#FFFFFF [3201]" filled="t" stroked="t" coordsize="21600,21600" o:gfxdata="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b88snWAAAA&#10;CwEAAA8AAAAAAAAAAQAgAAAAIgAAAGRycy9kb3ducmV2LnhtbFBLAQIUABQAAAAIAIdO4kDPBLg1&#10;WAIAALgEAAAOAAAAAAAAAAEAIAAAACUBAABkcnMvZTJvRG9jLnhtbFBLBQYAAAAABgAGAFkBAADv&#10;BQAAAAA=&#10;">
                <v:fill on="t" focussize="0,0"/>
                <v:stroke weight="0.5pt" color="#000000 [3204]" joinstyle="round"/>
                <v:imagedata o:title=""/>
                <o:lock v:ext="edit" aspectratio="f"/>
                <v:textbox>
                  <w:txbxContent>
                    <w:p w14:paraId="7A1F39AC">
                      <w:pPr>
                        <w:rPr>
                          <w:rFonts w:hint="eastAsia" w:eastAsia="宋体"/>
                          <w:lang w:val="en-US" w:eastAsia="zh-CN"/>
                        </w:rPr>
                      </w:pPr>
                      <w:r>
                        <w:rPr>
                          <w:rFonts w:hint="eastAsia"/>
                          <w:lang w:val="en-US" w:eastAsia="zh-CN"/>
                        </w:rPr>
                        <w:t>本项目</w:t>
                      </w:r>
                    </w:p>
                  </w:txbxContent>
                </v:textbox>
              </v:shape>
            </w:pict>
          </mc:Fallback>
        </mc:AlternateContent>
      </w:r>
      <w:r>
        <w:rPr>
          <w:sz w:val="21"/>
        </w:rPr>
        <w:drawing>
          <wp:inline distT="0" distB="0" distL="0" distR="0">
            <wp:extent cx="5941695" cy="5425440"/>
            <wp:effectExtent l="0" t="0" r="1905" b="3810"/>
            <wp:docPr id="1142" name="图片 134" descr="粤联昌 距离水系"/>
            <wp:cNvGraphicFramePr/>
            <a:graphic xmlns:a="http://schemas.openxmlformats.org/drawingml/2006/main">
              <a:graphicData uri="http://schemas.openxmlformats.org/drawingml/2006/picture">
                <pic:pic xmlns:pic="http://schemas.openxmlformats.org/drawingml/2006/picture">
                  <pic:nvPicPr>
                    <pic:cNvPr id="1142" name="图片 134" descr="粤联昌 距离水系"/>
                    <pic:cNvPicPr/>
                  </pic:nvPicPr>
                  <pic:blipFill>
                    <a:blip r:embed="rId59" cstate="print"/>
                    <a:srcRect/>
                    <a:stretch>
                      <a:fillRect/>
                    </a:stretch>
                  </pic:blipFill>
                  <pic:spPr>
                    <a:xfrm>
                      <a:off x="0" y="0"/>
                      <a:ext cx="5941695" cy="5425440"/>
                    </a:xfrm>
                    <a:prstGeom prst="rect">
                      <a:avLst/>
                    </a:prstGeom>
                  </pic:spPr>
                </pic:pic>
              </a:graphicData>
            </a:graphic>
          </wp:inline>
        </w:drawing>
      </w:r>
      <w:r>
        <w:rPr>
          <w:rFonts w:hint="default" w:ascii="Times New Roman" w:hAnsi="Times New Roman" w:cs="Times New Roman"/>
          <w:color w:val="auto"/>
          <w:highlight w:val="none"/>
        </w:rPr>
        <mc:AlternateContent>
          <mc:Choice Requires="wps">
            <w:drawing>
              <wp:anchor distT="0" distB="0" distL="0" distR="0" simplePos="0" relativeHeight="251659264" behindDoc="0" locked="0" layoutInCell="1" allowOverlap="1">
                <wp:simplePos x="0" y="0"/>
                <wp:positionH relativeFrom="column">
                  <wp:posOffset>3612515</wp:posOffset>
                </wp:positionH>
                <wp:positionV relativeFrom="paragraph">
                  <wp:posOffset>4451985</wp:posOffset>
                </wp:positionV>
                <wp:extent cx="2581910" cy="434340"/>
                <wp:effectExtent l="388620" t="9525" r="20320" b="89535"/>
                <wp:wrapNone/>
                <wp:docPr id="1140" name="圆角矩形标注 38"/>
                <wp:cNvGraphicFramePr/>
                <a:graphic xmlns:a="http://schemas.openxmlformats.org/drawingml/2006/main">
                  <a:graphicData uri="http://schemas.microsoft.com/office/word/2010/wordprocessingShape">
                    <wps:wsp>
                      <wps:cNvSpPr/>
                      <wps:spPr>
                        <a:xfrm>
                          <a:off x="0" y="0"/>
                          <a:ext cx="2581910" cy="434340"/>
                        </a:xfrm>
                        <a:prstGeom prst="wedgeRoundRectCallout">
                          <a:avLst>
                            <a:gd name="adj1" fmla="val -62543"/>
                            <a:gd name="adj2" fmla="val 59210"/>
                            <a:gd name="adj3" fmla="val 16667"/>
                          </a:avLst>
                        </a:prstGeom>
                        <a:solidFill>
                          <a:srgbClr val="FFFFFF"/>
                        </a:solidFill>
                        <a:ln w="19050" cap="flat" cmpd="sng">
                          <a:solidFill>
                            <a:srgbClr val="000000"/>
                          </a:solidFill>
                          <a:prstDash val="solid"/>
                          <a:miter/>
                        </a:ln>
                      </wps:spPr>
                      <wps:txbx>
                        <w:txbxContent>
                          <w:p w14:paraId="31C3F327">
                            <w:pPr>
                              <w:jc w:val="center"/>
                              <w:rPr>
                                <w:rFonts w:hint="eastAsia"/>
                                <w:color w:val="000000"/>
                                <w:sz w:val="21"/>
                                <w:szCs w:val="21"/>
                                <w:lang w:eastAsia="zh-CN"/>
                              </w:rPr>
                            </w:pPr>
                            <w:r>
                              <w:rPr>
                                <w:rFonts w:hint="eastAsia"/>
                                <w:color w:val="000000"/>
                                <w:sz w:val="21"/>
                                <w:szCs w:val="21"/>
                                <w:lang w:eastAsia="zh-CN"/>
                              </w:rPr>
                              <w:t>韶关市武江饮用水水源保护区准保护区</w:t>
                            </w:r>
                          </w:p>
                        </w:txbxContent>
                      </wps:txbx>
                      <wps:bodyPr vert="horz" wrap="square" lIns="91440" tIns="45720" rIns="91440" bIns="45720" anchor="ctr">
                        <a:noAutofit/>
                      </wps:bodyPr>
                    </wps:wsp>
                  </a:graphicData>
                </a:graphic>
              </wp:anchor>
            </w:drawing>
          </mc:Choice>
          <mc:Fallback>
            <w:pict>
              <v:shape id="圆角矩形标注 38" o:spid="_x0000_s1026" o:spt="62" type="#_x0000_t62" style="position:absolute;left:0pt;margin-left:284.45pt;margin-top:350.55pt;height:34.2pt;width:203.3pt;z-index:251659264;v-text-anchor:middle;mso-width-relative:page;mso-height-relative:page;" fillcolor="#FFFFFF" filled="t" stroked="t" coordsize="21600,21600" o:gfxdata="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RIMDANoAAAALAQAADwAAAAAAAAABACAAAAAiAAAAZHJzL2Rvd25yZXYu&#10;eG1sUEsBAhQAFAAAAAgAh07iQOmuC+1rAgAA1gQAAA4AAAAAAAAAAQAgAAAAKQEAAGRycy9lMm9E&#10;b2MueG1sUEsFBgAAAAAGAAYAWQEAAAYGAAAAAA==&#10;" adj="-2709,23589,14400">
                <v:fill on="t" focussize="0,0"/>
                <v:stroke weight="1.5pt" color="#000000" joinstyle="miter"/>
                <v:imagedata o:title=""/>
                <o:lock v:ext="edit" aspectratio="f"/>
                <v:textbox>
                  <w:txbxContent>
                    <w:p w14:paraId="31C3F327">
                      <w:pPr>
                        <w:jc w:val="center"/>
                        <w:rPr>
                          <w:rFonts w:hint="eastAsia"/>
                          <w:color w:val="000000"/>
                          <w:sz w:val="21"/>
                          <w:szCs w:val="21"/>
                          <w:lang w:eastAsia="zh-CN"/>
                        </w:rPr>
                      </w:pPr>
                      <w:r>
                        <w:rPr>
                          <w:rFonts w:hint="eastAsia"/>
                          <w:color w:val="000000"/>
                          <w:sz w:val="21"/>
                          <w:szCs w:val="21"/>
                          <w:lang w:eastAsia="zh-CN"/>
                        </w:rPr>
                        <w:t>韶关市武江饮用水水源保护区准保护区</w:t>
                      </w:r>
                    </w:p>
                  </w:txbxContent>
                </v:textbox>
              </v:shape>
            </w:pict>
          </mc:Fallback>
        </mc:AlternateContent>
      </w:r>
      <w:r>
        <w:rPr>
          <w:sz w:val="21"/>
        </w:rPr>
        <mc:AlternateContent>
          <mc:Choice Requires="wps">
            <w:drawing>
              <wp:anchor distT="0" distB="0" distL="0" distR="0" simplePos="0" relativeHeight="251659264" behindDoc="0" locked="0" layoutInCell="1" allowOverlap="1">
                <wp:simplePos x="0" y="0"/>
                <wp:positionH relativeFrom="column">
                  <wp:posOffset>2440305</wp:posOffset>
                </wp:positionH>
                <wp:positionV relativeFrom="paragraph">
                  <wp:posOffset>579755</wp:posOffset>
                </wp:positionV>
                <wp:extent cx="3159760" cy="2574925"/>
                <wp:effectExtent l="0" t="5080" r="21590" b="10795"/>
                <wp:wrapNone/>
                <wp:docPr id="1141" name="直接箭头连接符 203"/>
                <wp:cNvGraphicFramePr/>
                <a:graphic xmlns:a="http://schemas.openxmlformats.org/drawingml/2006/main">
                  <a:graphicData uri="http://schemas.microsoft.com/office/word/2010/wordprocessingShape">
                    <wps:wsp>
                      <wps:cNvCnPr/>
                      <wps:spPr>
                        <a:xfrm flipH="1">
                          <a:off x="0" y="0"/>
                          <a:ext cx="3159760" cy="2574925"/>
                        </a:xfrm>
                        <a:prstGeom prst="straightConnector1">
                          <a:avLst/>
                        </a:prstGeom>
                        <a:ln w="12700" cap="flat" cmpd="sng">
                          <a:solidFill>
                            <a:srgbClr val="5B9BD5"/>
                          </a:solidFill>
                          <a:prstDash val="solid"/>
                          <a:miter/>
                          <a:tailEnd type="arrow" w="med" len="med"/>
                        </a:ln>
                      </wps:spPr>
                      <wps:bodyPr/>
                    </wps:wsp>
                  </a:graphicData>
                </a:graphic>
              </wp:anchor>
            </w:drawing>
          </mc:Choice>
          <mc:Fallback>
            <w:pict>
              <v:shape id="直接箭头连接符 203" o:spid="_x0000_s1026" o:spt="32" type="#_x0000_t32" style="position:absolute;left:0pt;flip:x;margin-left:192.15pt;margin-top:45.65pt;height:202.75pt;width:248.8pt;z-index:251659264;mso-width-relative:page;mso-height-relative:page;" filled="f" stroked="t" coordsize="21600,21600" o:gfxdata="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UkKJwtgAAAAKAQAADwAAAAAAAAAB&#10;ACAAAAAiAAAAZHJzL2Rvd25yZXYueG1sUEsBAhQAFAAAAAgAh07iQCTx6DwQAgAA4wMAAA4AAAAA&#10;AAAAAQAgAAAAJwEAAGRycy9lMm9Eb2MueG1sUEsFBgAAAAAGAAYAWQEAAKkFAAAAAA==&#10;">
                <v:fill on="f" focussize="0,0"/>
                <v:stroke weight="1pt" color="#5B9BD5" joinstyle="miter" endarrow="open"/>
                <v:imagedata o:title=""/>
                <o:lock v:ext="edit" aspectratio="f"/>
              </v:shape>
            </w:pict>
          </mc:Fallback>
        </mc:AlternateContent>
      </w:r>
      <w:r>
        <w:rPr>
          <w:rFonts w:hint="default" w:ascii="Times New Roman" w:hAnsi="Times New Roman" w:cs="Times New Roman"/>
          <w:color w:val="auto"/>
          <w:highlight w:val="none"/>
        </w:rPr>
        <w:drawing>
          <wp:anchor distT="0" distB="0" distL="0" distR="0" simplePos="0" relativeHeight="251659264" behindDoc="0" locked="0" layoutInCell="1" allowOverlap="1">
            <wp:simplePos x="0" y="0"/>
            <wp:positionH relativeFrom="column">
              <wp:posOffset>-6144260</wp:posOffset>
            </wp:positionH>
            <wp:positionV relativeFrom="paragraph">
              <wp:posOffset>2033905</wp:posOffset>
            </wp:positionV>
            <wp:extent cx="1870075" cy="1162050"/>
            <wp:effectExtent l="0" t="0" r="15875" b="0"/>
            <wp:wrapNone/>
            <wp:docPr id="1143" name="图片 15"/>
            <wp:cNvGraphicFramePr/>
            <a:graphic xmlns:a="http://schemas.openxmlformats.org/drawingml/2006/main">
              <a:graphicData uri="http://schemas.openxmlformats.org/drawingml/2006/picture">
                <pic:pic xmlns:pic="http://schemas.openxmlformats.org/drawingml/2006/picture">
                  <pic:nvPicPr>
                    <pic:cNvPr id="1143" name="图片 15"/>
                    <pic:cNvPicPr/>
                  </pic:nvPicPr>
                  <pic:blipFill>
                    <a:blip r:embed="rId60" cstate="print"/>
                    <a:srcRect t="67892" r="63458"/>
                    <a:stretch>
                      <a:fillRect/>
                    </a:stretch>
                  </pic:blipFill>
                  <pic:spPr>
                    <a:xfrm>
                      <a:off x="0" y="0"/>
                      <a:ext cx="1870075" cy="1162050"/>
                    </a:xfrm>
                    <a:prstGeom prst="rect">
                      <a:avLst/>
                    </a:prstGeom>
                    <a:ln>
                      <a:noFill/>
                    </a:ln>
                  </pic:spPr>
                </pic:pic>
              </a:graphicData>
            </a:graphic>
          </wp:anchor>
        </w:drawing>
      </w:r>
      <w:r>
        <w:rPr>
          <w:rFonts w:hint="default" w:ascii="Times New Roman" w:hAnsi="Times New Roman" w:cs="Times New Roman"/>
          <w:color w:val="auto"/>
          <w:highlight w:val="none"/>
        </w:rPr>
        <w:drawing>
          <wp:anchor distT="0" distB="0" distL="0" distR="0" simplePos="0" relativeHeight="251659264" behindDoc="0" locked="0" layoutInCell="1" allowOverlap="1">
            <wp:simplePos x="0" y="0"/>
            <wp:positionH relativeFrom="column">
              <wp:posOffset>7432675</wp:posOffset>
            </wp:positionH>
            <wp:positionV relativeFrom="paragraph">
              <wp:posOffset>-5492115</wp:posOffset>
            </wp:positionV>
            <wp:extent cx="1159510" cy="1130935"/>
            <wp:effectExtent l="0" t="0" r="2540" b="12065"/>
            <wp:wrapNone/>
            <wp:docPr id="1144" name="图片 26"/>
            <wp:cNvGraphicFramePr/>
            <a:graphic xmlns:a="http://schemas.openxmlformats.org/drawingml/2006/main">
              <a:graphicData uri="http://schemas.openxmlformats.org/drawingml/2006/picture">
                <pic:pic xmlns:pic="http://schemas.openxmlformats.org/drawingml/2006/picture">
                  <pic:nvPicPr>
                    <pic:cNvPr id="1144" name="图片 26"/>
                    <pic:cNvPicPr/>
                  </pic:nvPicPr>
                  <pic:blipFill>
                    <a:blip r:embed="rId34" cstate="print"/>
                    <a:srcRect/>
                    <a:stretch>
                      <a:fillRect/>
                    </a:stretch>
                  </pic:blipFill>
                  <pic:spPr>
                    <a:xfrm>
                      <a:off x="0" y="0"/>
                      <a:ext cx="1159509" cy="1130935"/>
                    </a:xfrm>
                    <a:prstGeom prst="rect">
                      <a:avLst/>
                    </a:prstGeom>
                    <a:ln>
                      <a:noFill/>
                    </a:ln>
                  </pic:spPr>
                </pic:pic>
              </a:graphicData>
            </a:graphic>
          </wp:anchor>
        </w:drawing>
      </w:r>
      <w:bookmarkStart w:id="158" w:name="_GoBack"/>
      <w:bookmarkEnd w:id="158"/>
    </w:p>
    <w:sectPr>
      <w:headerReference r:id="rId7" w:type="default"/>
      <w:footerReference r:id="rId8" w:type="default"/>
      <w:pgSz w:w="16838" w:h="11906" w:orient="landscape"/>
      <w:pgMar w:top="1417" w:right="1417" w:bottom="1134" w:left="1559" w:header="851" w:footer="992" w:gutter="0"/>
      <w:pgBorders>
        <w:top w:val="none" w:sz="0" w:space="0"/>
        <w:left w:val="none" w:sz="0" w:space="0"/>
        <w:bottom w:val="none" w:sz="0" w:space="0"/>
        <w:right w:val="none" w:sz="0" w:space="0"/>
      </w:pgBorders>
      <w:pgNumType w:fmt="decimal"/>
      <w:cols w:space="0" w:num="1"/>
      <w:docGrid w:type="lines" w:linePitch="334"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DD7554F-225C-464B-82E4-3F85421E2532}"/>
  </w:font>
  <w:font w:name="Arial">
    <w:panose1 w:val="020B0604020202020204"/>
    <w:charset w:val="01"/>
    <w:family w:val="swiss"/>
    <w:pitch w:val="default"/>
    <w:sig w:usb0="E0002EFF" w:usb1="C000785B" w:usb2="00000009" w:usb3="00000000" w:csb0="400001FF" w:csb1="FFFF0000"/>
    <w:embedRegular r:id="rId2" w:fontKey="{64BB5F81-4923-4ED9-83C2-A6FE9D922834}"/>
  </w:font>
  <w:font w:name="黑体">
    <w:panose1 w:val="02010609060101010101"/>
    <w:charset w:val="86"/>
    <w:family w:val="auto"/>
    <w:pitch w:val="default"/>
    <w:sig w:usb0="800002BF" w:usb1="38CF7CFA" w:usb2="00000016" w:usb3="00000000" w:csb0="00040001" w:csb1="00000000"/>
    <w:embedRegular r:id="rId3" w:fontKey="{F0EF8C89-A535-453B-8AAA-5AB6451AEF2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0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S Mincho">
    <w:altName w:val="Yu Gothic UI"/>
    <w:panose1 w:val="02020609040002080304"/>
    <w:charset w:val="80"/>
    <w:family w:val="roma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0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宋体.....">
    <w:altName w:val="宋体"/>
    <w:panose1 w:val="00000000000000000000"/>
    <w:charset w:val="86"/>
    <w:family w:val="roman"/>
    <w:pitch w:val="default"/>
    <w:sig w:usb0="00000000" w:usb1="00000000" w:usb2="00000010" w:usb3="00000000" w:csb0="00040000" w:csb1="00000000"/>
    <w:embedRegular r:id="rId4" w:fontKey="{36926517-BDC0-4E03-AC9C-362106A38D6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E7BCD">
    <w:pPr>
      <w:tabs>
        <w:tab w:val="center" w:pos="4153"/>
        <w:tab w:val="right" w:pos="8306"/>
      </w:tabs>
    </w:pPr>
    <w:r>
      <w:rPr>
        <w:sz w:val="24"/>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3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3544621">
                          <w:pPr>
                            <w:pStyle w:val="32"/>
                          </w:pPr>
                          <w:r>
                            <w:fldChar w:fldCharType="begin"/>
                          </w:r>
                          <w:r>
                            <w:instrText xml:space="preserve"> PAGE  \* MERGEFORMAT </w:instrText>
                          </w:r>
                          <w:r>
                            <w:fldChar w:fldCharType="separate"/>
                          </w:r>
                          <w:r>
                            <w:t>- 1 -</w:t>
                          </w:r>
                          <w:r>
                            <w:fldChar w:fldCharType="end"/>
                          </w:r>
                        </w:p>
                      </w:txbxContent>
                    </wps:txbx>
                    <wps:bodyPr vert="horz" wrap="none" lIns="0" tIns="0" rIns="0" bIns="0" anchor="t" upright="0">
                      <a:spAutoFit/>
                    </wps:bodyPr>
                  </wps:wsp>
                </a:graphicData>
              </a:graphic>
            </wp:anchor>
          </w:drawing>
        </mc:Choice>
        <mc:Fallback>
          <w:pict>
            <v:rect id="文本框 3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&#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l1uVLQAAAABQEAAA8AAAAAAAAAAQAgAAAAIgAAAGRy&#10;cy9kb3ducmV2LnhtbFBLAQIUABQAAAAIAIdO4kDbvZH61AEAAJ8DAAAOAAAAAAAAAAEAIAAAAB8B&#10;AABkcnMvZTJvRG9jLnhtbFBLBQYAAAAABgAGAFkBAABlBQAAAAA=&#10;">
              <v:fill on="f" focussize="0,0"/>
              <v:stroke on="f"/>
              <v:imagedata o:title=""/>
              <o:lock v:ext="edit" aspectratio="f"/>
              <v:textbox inset="0mm,0mm,0mm,0mm" style="mso-fit-shape-to-text:t;">
                <w:txbxContent>
                  <w:p w14:paraId="03544621">
                    <w:pPr>
                      <w:pStyle w:val="32"/>
                    </w:pPr>
                    <w:r>
                      <w:fldChar w:fldCharType="begin"/>
                    </w:r>
                    <w:r>
                      <w:instrText xml:space="preserve"> PAGE  \* MERGEFORMAT </w:instrText>
                    </w:r>
                    <w:r>
                      <w:fldChar w:fldCharType="separate"/>
                    </w:r>
                    <w:r>
                      <w:t>- 1 -</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029DA">
    <w:pPr>
      <w:tabs>
        <w:tab w:val="center" w:pos="4153"/>
        <w:tab w:val="right" w:pos="8306"/>
      </w:tabs>
    </w:pPr>
    <w:r>
      <w:rPr>
        <w:sz w:val="24"/>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3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79E68A9">
                          <w:pPr>
                            <w:pStyle w:val="32"/>
                          </w:pPr>
                          <w:r>
                            <w:fldChar w:fldCharType="begin"/>
                          </w:r>
                          <w:r>
                            <w:instrText xml:space="preserve"> PAGE  \* MERGEFORMAT </w:instrText>
                          </w:r>
                          <w:r>
                            <w:fldChar w:fldCharType="separate"/>
                          </w:r>
                          <w:r>
                            <w:t>- 1 -</w:t>
                          </w:r>
                          <w:r>
                            <w:fldChar w:fldCharType="end"/>
                          </w:r>
                        </w:p>
                      </w:txbxContent>
                    </wps:txbx>
                    <wps:bodyPr vert="horz" wrap="none" lIns="0" tIns="0" rIns="0" bIns="0" anchor="t" upright="0">
                      <a:spAutoFit/>
                    </wps:bodyPr>
                  </wps:wsp>
                </a:graphicData>
              </a:graphic>
            </wp:anchor>
          </w:drawing>
        </mc:Choice>
        <mc:Fallback>
          <w:pict>
            <v:rect id="文本框 3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JTDXz3TAQAAnwMAAA4AAAAAAAAAAQAgAAAAHwEA&#10;AGRycy9lMm9Eb2MueG1sUEsFBgAAAAAGAAYAWQEAAGQFAAAAAA==&#10;">
              <v:fill on="f" focussize="0,0"/>
              <v:stroke on="f"/>
              <v:imagedata o:title=""/>
              <o:lock v:ext="edit" aspectratio="f"/>
              <v:textbox inset="0mm,0mm,0mm,0mm" style="mso-fit-shape-to-text:t;">
                <w:txbxContent>
                  <w:p w14:paraId="079E68A9">
                    <w:pPr>
                      <w:pStyle w:val="32"/>
                    </w:pPr>
                    <w:r>
                      <w:fldChar w:fldCharType="begin"/>
                    </w:r>
                    <w:r>
                      <w:instrText xml:space="preserve"> PAGE  \* MERGEFORMAT </w:instrText>
                    </w:r>
                    <w:r>
                      <w:fldChar w:fldCharType="separate"/>
                    </w:r>
                    <w:r>
                      <w:t>- 1 -</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C1433">
    <w:pPr>
      <w:pStyle w:val="21"/>
      <w:spacing w:line="14" w:lineRule="auto"/>
      <w:ind w:firstLine="40"/>
      <w:rPr>
        <w:sz w:val="2"/>
      </w:rPr>
    </w:pPr>
    <w:r>
      <w:rPr>
        <w:sz w:val="2"/>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9" name="文本框 15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2CE0555">
                          <w:pPr>
                            <w:pStyle w:val="32"/>
                          </w:pPr>
                          <w:r>
                            <w:fldChar w:fldCharType="begin"/>
                          </w:r>
                          <w:r>
                            <w:instrText xml:space="preserve"> PAGE  \* MERGEFORMAT </w:instrText>
                          </w:r>
                          <w:r>
                            <w:fldChar w:fldCharType="separate"/>
                          </w:r>
                          <w:r>
                            <w:t>- 98 -</w:t>
                          </w:r>
                          <w:r>
                            <w:fldChar w:fldCharType="end"/>
                          </w:r>
                        </w:p>
                      </w:txbxContent>
                    </wps:txbx>
                    <wps:bodyPr vert="horz" wrap="none" lIns="0" tIns="0" rIns="0" bIns="0" anchor="t" upright="0">
                      <a:spAutoFit/>
                    </wps:bodyPr>
                  </wps:wsp>
                </a:graphicData>
              </a:graphic>
            </wp:anchor>
          </w:drawing>
        </mc:Choice>
        <mc:Fallback>
          <w:pict>
            <v:rect id="文本框 157"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5dblS0AAAAAUBAAAPAAAAAAAAAAEAIAAAACIAAABk&#10;cnMvZG93bnJldi54bWxQSwECFAAUAAAACACHTuJASqVLk9UBAACgAwAADgAAAAAAAAABACAAAAAf&#10;AQAAZHJzL2Uyb0RvYy54bWxQSwUGAAAAAAYABgBZAQAAZgUAAAAA&#10;">
              <v:fill on="f" focussize="0,0"/>
              <v:stroke on="f"/>
              <v:imagedata o:title=""/>
              <o:lock v:ext="edit" aspectratio="f"/>
              <v:textbox inset="0mm,0mm,0mm,0mm" style="mso-fit-shape-to-text:t;">
                <w:txbxContent>
                  <w:p w14:paraId="12CE0555">
                    <w:pPr>
                      <w:pStyle w:val="32"/>
                    </w:pPr>
                    <w:r>
                      <w:fldChar w:fldCharType="begin"/>
                    </w:r>
                    <w:r>
                      <w:instrText xml:space="preserve"> PAGE  \* MERGEFORMAT </w:instrText>
                    </w:r>
                    <w:r>
                      <w:fldChar w:fldCharType="separate"/>
                    </w:r>
                    <w:r>
                      <w:t>- 98 -</w:t>
                    </w:r>
                    <w: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A5F66">
    <w:pPr>
      <w:pStyle w:val="21"/>
      <w:spacing w:line="14" w:lineRule="auto"/>
      <w:ind w:firstLine="40"/>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EC509B"/>
    <w:multiLevelType w:val="singleLevel"/>
    <w:tmpl w:val="B8EC509B"/>
    <w:lvl w:ilvl="0" w:tentative="0">
      <w:start w:val="1"/>
      <w:numFmt w:val="decimal"/>
      <w:suff w:val="nothing"/>
      <w:lvlText w:val="（%1）"/>
      <w:lvlJc w:val="left"/>
    </w:lvl>
  </w:abstractNum>
  <w:abstractNum w:abstractNumId="1">
    <w:nsid w:val="CD497DD7"/>
    <w:multiLevelType w:val="singleLevel"/>
    <w:tmpl w:val="CD497DD7"/>
    <w:lvl w:ilvl="0" w:tentative="0">
      <w:start w:val="1"/>
      <w:numFmt w:val="decimal"/>
      <w:suff w:val="nothing"/>
      <w:lvlText w:val="（%1）"/>
      <w:lvlJc w:val="left"/>
    </w:lvl>
  </w:abstractNum>
  <w:abstractNum w:abstractNumId="2">
    <w:nsid w:val="00000000"/>
    <w:multiLevelType w:val="singleLevel"/>
    <w:tmpl w:val="00000000"/>
    <w:lvl w:ilvl="0" w:tentative="0">
      <w:start w:val="1"/>
      <w:numFmt w:val="bullet"/>
      <w:pStyle w:val="23"/>
      <w:lvlText w:val=""/>
      <w:lvlJc w:val="left"/>
      <w:pPr>
        <w:tabs>
          <w:tab w:val="left" w:pos="780"/>
        </w:tabs>
        <w:ind w:left="840" w:hanging="360"/>
      </w:pPr>
      <w:rPr>
        <w:rFonts w:hint="default" w:ascii="Wingdings" w:hAnsi="Wingdings"/>
      </w:rPr>
    </w:lvl>
  </w:abstractNum>
  <w:abstractNum w:abstractNumId="3">
    <w:nsid w:val="00000001"/>
    <w:multiLevelType w:val="singleLevel"/>
    <w:tmpl w:val="00000001"/>
    <w:lvl w:ilvl="0" w:tentative="0">
      <w:start w:val="1"/>
      <w:numFmt w:val="chineseCounting"/>
      <w:suff w:val="nothing"/>
      <w:lvlText w:val="%1、"/>
      <w:lvlJc w:val="left"/>
      <w:rPr>
        <w:rFonts w:hint="eastAsia"/>
      </w:rPr>
    </w:lvl>
  </w:abstractNum>
  <w:abstractNum w:abstractNumId="4">
    <w:nsid w:val="00000002"/>
    <w:multiLevelType w:val="multilevel"/>
    <w:tmpl w:val="00000002"/>
    <w:lvl w:ilvl="0" w:tentative="0">
      <w:start w:val="1"/>
      <w:numFmt w:val="bullet"/>
      <w:pStyle w:val="29"/>
      <w:lvlText w:val=""/>
      <w:lvlJc w:val="left"/>
      <w:pPr>
        <w:tabs>
          <w:tab w:val="left" w:pos="2040"/>
        </w:tabs>
        <w:ind w:left="2040" w:hanging="360"/>
      </w:pPr>
      <w:rPr>
        <w:rFonts w:hint="default" w:ascii="Wingdings" w:hAnsi="Wingdings"/>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00000003"/>
    <w:multiLevelType w:val="singleLevel"/>
    <w:tmpl w:val="00000003"/>
    <w:lvl w:ilvl="0" w:tentative="0">
      <w:start w:val="12"/>
      <w:numFmt w:val="chineseCounting"/>
      <w:suff w:val="space"/>
      <w:lvlText w:val="第%1条"/>
      <w:lvlJc w:val="left"/>
      <w:rPr>
        <w:rFonts w:hint="eastAsia"/>
      </w:rPr>
    </w:lvl>
  </w:abstractNum>
  <w:abstractNum w:abstractNumId="6">
    <w:nsid w:val="00000004"/>
    <w:multiLevelType w:val="singleLevel"/>
    <w:tmpl w:val="00000004"/>
    <w:lvl w:ilvl="0" w:tentative="0">
      <w:start w:val="2"/>
      <w:numFmt w:val="decimal"/>
      <w:suff w:val="nothing"/>
      <w:lvlText w:val="%1）"/>
      <w:lvlJc w:val="left"/>
      <w:rPr>
        <w:rFonts w:hint="default"/>
        <w:color w:val="auto"/>
      </w:rPr>
    </w:lvl>
  </w:abstractNum>
  <w:abstractNum w:abstractNumId="7">
    <w:nsid w:val="00000005"/>
    <w:multiLevelType w:val="multilevel"/>
    <w:tmpl w:val="00000005"/>
    <w:lvl w:ilvl="0" w:tentative="0">
      <w:start w:val="1"/>
      <w:numFmt w:val="decimal"/>
      <w:lvlText w:val="%1"/>
      <w:lvlJc w:val="left"/>
      <w:pPr>
        <w:ind w:left="432" w:hanging="432"/>
      </w:pPr>
      <w:rPr>
        <w:rFonts w:hint="eastAsia"/>
      </w:rPr>
    </w:lvl>
    <w:lvl w:ilvl="1" w:tentative="0">
      <w:start w:val="1"/>
      <w:numFmt w:val="none"/>
      <w:pStyle w:val="8"/>
      <w:suff w:val="nothing"/>
      <w:lvlText w:val=""/>
      <w:lvlJc w:val="left"/>
      <w:pPr>
        <w:tabs>
          <w:tab w:val="left" w:pos="0"/>
        </w:tabs>
        <w:ind w:left="0" w:firstLine="0"/>
      </w:pPr>
      <w:rPr>
        <w:rFonts w:hint="eastAsia" w:ascii="宋体" w:hAnsi="宋体" w:eastAsia="宋体" w:cs="宋体"/>
      </w:rPr>
    </w:lvl>
    <w:lvl w:ilvl="2" w:tentative="0">
      <w:start w:val="1"/>
      <w:numFmt w:val="chineseCounting"/>
      <w:pStyle w:val="9"/>
      <w:suff w:val="nothing"/>
      <w:lvlText w:val="%3、"/>
      <w:lvlJc w:val="left"/>
      <w:pPr>
        <w:tabs>
          <w:tab w:val="left" w:pos="0"/>
        </w:tabs>
        <w:ind w:left="-2" w:firstLine="0"/>
      </w:pPr>
      <w:rPr>
        <w:rFonts w:hint="eastAsia" w:ascii="宋体" w:hAnsi="宋体" w:eastAsia="宋体" w:cs="宋体"/>
        <w:b/>
        <w:bCs/>
        <w:sz w:val="24"/>
        <w:szCs w:val="24"/>
      </w:rPr>
    </w:lvl>
    <w:lvl w:ilvl="3" w:tentative="0">
      <w:start w:val="1"/>
      <w:numFmt w:val="decimal"/>
      <w:pStyle w:val="10"/>
      <w:suff w:val="nothing"/>
      <w:lvlText w:val="%4、"/>
      <w:lvlJc w:val="left"/>
      <w:pPr>
        <w:tabs>
          <w:tab w:val="left" w:pos="0"/>
        </w:tabs>
        <w:ind w:left="-96" w:hanging="864"/>
      </w:pPr>
      <w:rPr>
        <w:rFonts w:hint="eastAsia" w:ascii="Times New Roman" w:hAnsi="Times New Roman" w:eastAsia="宋体" w:cs="宋体"/>
        <w:b/>
        <w:bCs/>
        <w:sz w:val="24"/>
        <w:szCs w:val="24"/>
      </w:rPr>
    </w:lvl>
    <w:lvl w:ilvl="4" w:tentative="0">
      <w:start w:val="1"/>
      <w:numFmt w:val="decimal"/>
      <w:pStyle w:val="11"/>
      <w:suff w:val="nothing"/>
      <w:lvlText w:val="（%5）"/>
      <w:lvlJc w:val="left"/>
      <w:pPr>
        <w:tabs>
          <w:tab w:val="left" w:pos="0"/>
        </w:tabs>
        <w:ind w:left="-960" w:firstLine="0"/>
      </w:pPr>
      <w:rPr>
        <w:rFonts w:hint="eastAsia" w:ascii="Times New Roman" w:hAnsi="Times New Roman" w:eastAsia="宋体" w:cs="宋体"/>
      </w:rPr>
    </w:lvl>
    <w:lvl w:ilvl="5" w:tentative="0">
      <w:start w:val="1"/>
      <w:numFmt w:val="decimalEnclosedCircleChinese"/>
      <w:pStyle w:val="12"/>
      <w:suff w:val="nothing"/>
      <w:lvlText w:val="%6"/>
      <w:lvlJc w:val="left"/>
      <w:pPr>
        <w:tabs>
          <w:tab w:val="left" w:pos="0"/>
        </w:tabs>
        <w:ind w:left="0" w:firstLine="0"/>
      </w:pPr>
      <w:rPr>
        <w:rFonts w:hint="eastAsia" w:ascii="宋体" w:hAnsi="宋体" w:eastAsia="宋体" w:cs="宋体"/>
        <w:sz w:val="21"/>
        <w:szCs w:val="21"/>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8">
    <w:nsid w:val="00000006"/>
    <w:multiLevelType w:val="singleLevel"/>
    <w:tmpl w:val="00000006"/>
    <w:lvl w:ilvl="0" w:tentative="0">
      <w:start w:val="4"/>
      <w:numFmt w:val="decimal"/>
      <w:suff w:val="nothing"/>
      <w:lvlText w:val="%1、"/>
      <w:lvlJc w:val="left"/>
    </w:lvl>
  </w:abstractNum>
  <w:abstractNum w:abstractNumId="9">
    <w:nsid w:val="00000007"/>
    <w:multiLevelType w:val="singleLevel"/>
    <w:tmpl w:val="00000007"/>
    <w:lvl w:ilvl="0" w:tentative="0">
      <w:start w:val="1"/>
      <w:numFmt w:val="chineseCounting"/>
      <w:pStyle w:val="7"/>
      <w:suff w:val="nothing"/>
      <w:lvlText w:val="%1、"/>
      <w:lvlJc w:val="left"/>
      <w:pPr>
        <w:tabs>
          <w:tab w:val="left" w:pos="0"/>
        </w:tabs>
        <w:ind w:left="0" w:firstLine="0"/>
      </w:pPr>
      <w:rPr>
        <w:rFonts w:hint="eastAsia" w:ascii="黑体" w:hAnsi="黑体" w:eastAsia="黑体" w:cs="黑体"/>
        <w:sz w:val="30"/>
        <w:szCs w:val="30"/>
      </w:rPr>
    </w:lvl>
  </w:abstractNum>
  <w:abstractNum w:abstractNumId="10">
    <w:nsid w:val="00000008"/>
    <w:multiLevelType w:val="singleLevel"/>
    <w:tmpl w:val="00000008"/>
    <w:lvl w:ilvl="0" w:tentative="0">
      <w:start w:val="1"/>
      <w:numFmt w:val="chineseCounting"/>
      <w:pStyle w:val="106"/>
      <w:suff w:val="nothing"/>
      <w:lvlText w:val="（%1）"/>
      <w:lvlJc w:val="left"/>
      <w:pPr>
        <w:ind w:left="0" w:firstLine="420"/>
      </w:pPr>
      <w:rPr>
        <w:rFonts w:hint="eastAsia"/>
      </w:rPr>
    </w:lvl>
  </w:abstractNum>
  <w:abstractNum w:abstractNumId="11">
    <w:nsid w:val="00000009"/>
    <w:multiLevelType w:val="singleLevel"/>
    <w:tmpl w:val="00000009"/>
    <w:lvl w:ilvl="0" w:tentative="0">
      <w:start w:val="1"/>
      <w:numFmt w:val="decimal"/>
      <w:pStyle w:val="125"/>
      <w:suff w:val="nothing"/>
      <w:lvlText w:val="表%1 "/>
      <w:lvlJc w:val="left"/>
      <w:pPr>
        <w:ind w:left="0" w:firstLine="420"/>
      </w:pPr>
      <w:rPr>
        <w:rFonts w:hint="default"/>
      </w:rPr>
    </w:lvl>
  </w:abstractNum>
  <w:abstractNum w:abstractNumId="12">
    <w:nsid w:val="6740B032"/>
    <w:multiLevelType w:val="singleLevel"/>
    <w:tmpl w:val="6740B032"/>
    <w:lvl w:ilvl="0" w:tentative="0">
      <w:start w:val="1"/>
      <w:numFmt w:val="decimal"/>
      <w:suff w:val="nothing"/>
      <w:lvlText w:val="（%1）"/>
      <w:lvlJc w:val="left"/>
    </w:lvl>
  </w:abstractNum>
  <w:num w:numId="1">
    <w:abstractNumId w:val="9"/>
  </w:num>
  <w:num w:numId="2">
    <w:abstractNumId w:val="7"/>
  </w:num>
  <w:num w:numId="3">
    <w:abstractNumId w:val="2"/>
  </w:num>
  <w:num w:numId="4">
    <w:abstractNumId w:val="4"/>
  </w:num>
  <w:num w:numId="5">
    <w:abstractNumId w:val="10"/>
  </w:num>
  <w:num w:numId="6">
    <w:abstractNumId w:val="11"/>
  </w:num>
  <w:num w:numId="7">
    <w:abstractNumId w:val="8"/>
  </w:num>
  <w:num w:numId="8">
    <w:abstractNumId w:val="5"/>
  </w:num>
  <w:num w:numId="9">
    <w:abstractNumId w:val="1"/>
  </w:num>
  <w:num w:numId="10">
    <w:abstractNumId w:val="12"/>
  </w:num>
  <w:num w:numId="11">
    <w:abstractNumId w:val="0"/>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420"/>
  <w:drawingGridVerticalSpacing w:val="167"/>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2C2BE8"/>
    <w:rsid w:val="07910041"/>
    <w:rsid w:val="0B391BB8"/>
    <w:rsid w:val="10245B94"/>
    <w:rsid w:val="149A3B57"/>
    <w:rsid w:val="15FF7E8F"/>
    <w:rsid w:val="18DD3AC8"/>
    <w:rsid w:val="18FD12F6"/>
    <w:rsid w:val="21FA3114"/>
    <w:rsid w:val="221E4D99"/>
    <w:rsid w:val="230127BC"/>
    <w:rsid w:val="275A27F2"/>
    <w:rsid w:val="34215143"/>
    <w:rsid w:val="388F24BF"/>
    <w:rsid w:val="406065FA"/>
    <w:rsid w:val="434916A9"/>
    <w:rsid w:val="48E1714C"/>
    <w:rsid w:val="4AFB650D"/>
    <w:rsid w:val="4BAD14DA"/>
    <w:rsid w:val="4F1A5A0F"/>
    <w:rsid w:val="4F7506C1"/>
    <w:rsid w:val="521879D9"/>
    <w:rsid w:val="586922F3"/>
    <w:rsid w:val="59165909"/>
    <w:rsid w:val="595E36A5"/>
    <w:rsid w:val="60851A1E"/>
    <w:rsid w:val="654233FA"/>
    <w:rsid w:val="66E12DEC"/>
    <w:rsid w:val="68E76115"/>
    <w:rsid w:val="6BB64300"/>
    <w:rsid w:val="6D3F18B7"/>
    <w:rsid w:val="70D10D69"/>
    <w:rsid w:val="74895F39"/>
    <w:rsid w:val="74A40EAA"/>
    <w:rsid w:val="78670B6C"/>
    <w:rsid w:val="79093BDF"/>
    <w:rsid w:val="7948429A"/>
    <w:rsid w:val="7EC90772"/>
    <w:rsid w:val="7F7A4E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qFormat="1" w:unhideWhenUsed="0" w:uiPriority="0" w:semiHidden="0" w:name="Body Text Indent 2"/>
    <w:lsdException w:qFormat="1" w:unhideWhenUsed="0" w:uiPriority="99"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7">
    <w:name w:val="heading 1"/>
    <w:basedOn w:val="1"/>
    <w:next w:val="1"/>
    <w:qFormat/>
    <w:uiPriority w:val="0"/>
    <w:pPr>
      <w:keepNext/>
      <w:keepLines/>
      <w:numPr>
        <w:ilvl w:val="0"/>
        <w:numId w:val="1"/>
      </w:numPr>
      <w:jc w:val="center"/>
      <w:outlineLvl w:val="0"/>
    </w:pPr>
    <w:rPr>
      <w:rFonts w:eastAsia="黑体" w:cs="宋体"/>
      <w:color w:val="000000"/>
      <w:kern w:val="44"/>
      <w:sz w:val="30"/>
      <w:szCs w:val="30"/>
    </w:rPr>
  </w:style>
  <w:style w:type="paragraph" w:styleId="8">
    <w:name w:val="heading 2"/>
    <w:basedOn w:val="1"/>
    <w:next w:val="1"/>
    <w:qFormat/>
    <w:uiPriority w:val="0"/>
    <w:pPr>
      <w:keepNext/>
      <w:numPr>
        <w:ilvl w:val="1"/>
        <w:numId w:val="2"/>
      </w:numPr>
      <w:tabs>
        <w:tab w:val="clear" w:pos="0"/>
      </w:tabs>
      <w:jc w:val="center"/>
      <w:outlineLvl w:val="1"/>
    </w:pPr>
    <w:rPr>
      <w:rFonts w:ascii="Times New Roman" w:hAnsi="Times New Roman" w:eastAsia="宋体" w:cs="Times New Roman"/>
      <w:color w:val="000000"/>
      <w:sz w:val="24"/>
      <w:szCs w:val="24"/>
      <w:lang w:val="en-US" w:eastAsia="zh-CN" w:bidi="ar-SA"/>
    </w:rPr>
  </w:style>
  <w:style w:type="paragraph" w:styleId="9">
    <w:name w:val="heading 3"/>
    <w:basedOn w:val="1"/>
    <w:next w:val="1"/>
    <w:qFormat/>
    <w:uiPriority w:val="0"/>
    <w:pPr>
      <w:keepNext/>
      <w:keepLines/>
      <w:numPr>
        <w:ilvl w:val="2"/>
        <w:numId w:val="2"/>
      </w:numPr>
      <w:tabs>
        <w:tab w:val="clear" w:pos="0"/>
      </w:tabs>
      <w:ind w:firstLine="1440" w:firstLineChars="200"/>
      <w:outlineLvl w:val="2"/>
    </w:pPr>
    <w:rPr>
      <w:b/>
      <w:bCs/>
      <w:color w:val="000000"/>
    </w:rPr>
  </w:style>
  <w:style w:type="paragraph" w:styleId="10">
    <w:name w:val="heading 4"/>
    <w:basedOn w:val="1"/>
    <w:next w:val="1"/>
    <w:qFormat/>
    <w:uiPriority w:val="0"/>
    <w:pPr>
      <w:keepNext/>
      <w:keepLines/>
      <w:numPr>
        <w:ilvl w:val="3"/>
        <w:numId w:val="2"/>
      </w:numPr>
      <w:tabs>
        <w:tab w:val="clear" w:pos="0"/>
      </w:tabs>
      <w:ind w:left="0" w:firstLine="1440" w:firstLineChars="200"/>
      <w:outlineLvl w:val="3"/>
    </w:pPr>
    <w:rPr>
      <w:b/>
      <w:bCs/>
      <w:color w:val="000000"/>
      <w:szCs w:val="28"/>
    </w:rPr>
  </w:style>
  <w:style w:type="paragraph" w:styleId="11">
    <w:name w:val="heading 5"/>
    <w:next w:val="1"/>
    <w:qFormat/>
    <w:uiPriority w:val="0"/>
    <w:pPr>
      <w:keepNext/>
      <w:keepLines/>
      <w:numPr>
        <w:ilvl w:val="4"/>
        <w:numId w:val="2"/>
      </w:numPr>
      <w:spacing w:line="360" w:lineRule="auto"/>
      <w:ind w:firstLine="1440" w:firstLineChars="200"/>
      <w:outlineLvl w:val="4"/>
    </w:pPr>
    <w:rPr>
      <w:rFonts w:ascii="Times New Roman" w:hAnsi="Times New Roman" w:eastAsia="宋体" w:cs="Times New Roman"/>
      <w:b/>
      <w:bCs/>
      <w:sz w:val="24"/>
      <w:szCs w:val="24"/>
      <w:lang w:val="en-US" w:eastAsia="zh-CN" w:bidi="ar-SA"/>
    </w:rPr>
  </w:style>
  <w:style w:type="paragraph" w:styleId="12">
    <w:name w:val="heading 6"/>
    <w:basedOn w:val="1"/>
    <w:next w:val="1"/>
    <w:qFormat/>
    <w:uiPriority w:val="0"/>
    <w:pPr>
      <w:keepNext/>
      <w:keepLines/>
      <w:numPr>
        <w:ilvl w:val="5"/>
        <w:numId w:val="2"/>
      </w:numPr>
      <w:ind w:firstLine="1440" w:firstLineChars="200"/>
      <w:outlineLvl w:val="5"/>
    </w:pPr>
    <w:rPr>
      <w:szCs w:val="21"/>
    </w:rPr>
  </w:style>
  <w:style w:type="character" w:default="1" w:styleId="46">
    <w:name w:val="Default Paragraph Font"/>
    <w:qFormat/>
    <w:uiPriority w:val="1"/>
  </w:style>
  <w:style w:type="table" w:default="1" w:styleId="44">
    <w:name w:val="Normal Table"/>
    <w:qFormat/>
    <w:uiPriority w:val="99"/>
    <w:tblPr>
      <w:tblCellMar>
        <w:top w:w="0" w:type="dxa"/>
        <w:left w:w="108" w:type="dxa"/>
        <w:bottom w:w="0" w:type="dxa"/>
        <w:right w:w="108" w:type="dxa"/>
      </w:tblCellMar>
    </w:tblPr>
  </w:style>
  <w:style w:type="paragraph" w:customStyle="1" w:styleId="2">
    <w:name w:val="Default"/>
    <w:basedOn w:val="3"/>
    <w:next w:val="4"/>
    <w:qFormat/>
    <w:uiPriority w:val="0"/>
    <w:pPr>
      <w:autoSpaceDE w:val="0"/>
      <w:autoSpaceDN w:val="0"/>
    </w:pPr>
    <w:rPr>
      <w:rFonts w:hAnsi="Times New Roman" w:cs="宋体"/>
      <w:color w:val="000000"/>
    </w:rPr>
  </w:style>
  <w:style w:type="paragraph" w:customStyle="1" w:styleId="3">
    <w:name w:val="纯文本1"/>
    <w:basedOn w:val="1"/>
    <w:next w:val="1"/>
    <w:link w:val="122"/>
    <w:qFormat/>
    <w:uiPriority w:val="0"/>
    <w:pPr>
      <w:adjustRightInd w:val="0"/>
    </w:pPr>
    <w:rPr>
      <w:rFonts w:ascii="宋体" w:hAnsi="Courier New"/>
    </w:rPr>
  </w:style>
  <w:style w:type="paragraph" w:customStyle="1" w:styleId="4">
    <w:name w:val="正文文字 6"/>
    <w:basedOn w:val="5"/>
    <w:next w:val="1"/>
    <w:qFormat/>
    <w:uiPriority w:val="0"/>
    <w:pPr>
      <w:widowControl w:val="0"/>
      <w:ind w:left="240"/>
      <w:jc w:val="both"/>
    </w:pPr>
    <w:rPr>
      <w:rFonts w:ascii="宋体"/>
      <w:b/>
      <w:bCs/>
      <w:sz w:val="32"/>
      <w:szCs w:val="32"/>
    </w:rPr>
  </w:style>
  <w:style w:type="paragraph" w:customStyle="1" w:styleId="5">
    <w:name w:val="图位置"/>
    <w:next w:val="6"/>
    <w:qFormat/>
    <w:uiPriority w:val="0"/>
    <w:pPr>
      <w:jc w:val="center"/>
    </w:pPr>
    <w:rPr>
      <w:rFonts w:ascii="Times New Roman" w:hAnsi="Times New Roman" w:eastAsia="宋体" w:cs="Times New Roman"/>
      <w:kern w:val="2"/>
      <w:sz w:val="24"/>
      <w:szCs w:val="21"/>
      <w:lang w:val="en-US" w:eastAsia="zh-CN" w:bidi="ar-SA"/>
    </w:rPr>
  </w:style>
  <w:style w:type="paragraph" w:customStyle="1" w:styleId="6">
    <w:name w:val="图题"/>
    <w:basedOn w:val="1"/>
    <w:next w:val="1"/>
    <w:qFormat/>
    <w:uiPriority w:val="0"/>
    <w:pPr>
      <w:jc w:val="center"/>
    </w:pPr>
    <w:rPr>
      <w:rFonts w:ascii="宋体" w:hAnsi="宋体" w:eastAsia="黑体"/>
      <w:b/>
    </w:rPr>
  </w:style>
  <w:style w:type="paragraph" w:styleId="13">
    <w:name w:val="List 3"/>
    <w:basedOn w:val="1"/>
    <w:next w:val="1"/>
    <w:qFormat/>
    <w:uiPriority w:val="0"/>
    <w:pPr>
      <w:autoSpaceDE w:val="0"/>
      <w:autoSpaceDN w:val="0"/>
      <w:adjustRightInd w:val="0"/>
      <w:spacing w:line="288" w:lineRule="auto"/>
      <w:ind w:left="1260" w:hanging="420"/>
      <w:jc w:val="left"/>
      <w:textAlignment w:val="baseline"/>
    </w:pPr>
    <w:rPr>
      <w:kern w:val="0"/>
      <w:szCs w:val="20"/>
    </w:rPr>
  </w:style>
  <w:style w:type="paragraph" w:styleId="14">
    <w:name w:val="E-mail Signature"/>
    <w:basedOn w:val="1"/>
    <w:next w:val="15"/>
    <w:qFormat/>
    <w:uiPriority w:val="0"/>
    <w:pPr>
      <w:spacing w:line="460" w:lineRule="exact"/>
      <w:ind w:firstLine="200"/>
    </w:pPr>
  </w:style>
  <w:style w:type="paragraph" w:customStyle="1" w:styleId="15">
    <w:name w:val="文章"/>
    <w:basedOn w:val="16"/>
    <w:next w:val="18"/>
    <w:qFormat/>
    <w:uiPriority w:val="0"/>
    <w:pPr>
      <w:widowControl/>
      <w:ind w:firstLine="480"/>
      <w:jc w:val="center"/>
    </w:pPr>
    <w:rPr>
      <w:sz w:val="26"/>
    </w:rPr>
  </w:style>
  <w:style w:type="paragraph" w:styleId="16">
    <w:name w:val="Body Text Indent"/>
    <w:basedOn w:val="1"/>
    <w:next w:val="17"/>
    <w:qFormat/>
    <w:uiPriority w:val="0"/>
    <w:pPr>
      <w:adjustRightInd w:val="0"/>
      <w:spacing w:after="120"/>
      <w:ind w:left="420" w:leftChars="200"/>
      <w:textAlignment w:val="baseline"/>
    </w:pPr>
    <w:rPr>
      <w:sz w:val="21"/>
      <w:szCs w:val="21"/>
    </w:rPr>
  </w:style>
  <w:style w:type="paragraph" w:styleId="17">
    <w:name w:val="caption"/>
    <w:basedOn w:val="1"/>
    <w:next w:val="1"/>
    <w:link w:val="62"/>
    <w:qFormat/>
    <w:uiPriority w:val="0"/>
    <w:pPr>
      <w:jc w:val="center"/>
    </w:pPr>
    <w:rPr>
      <w:b/>
      <w:bCs/>
      <w:color w:val="000000"/>
      <w:sz w:val="21"/>
      <w:szCs w:val="21"/>
    </w:rPr>
  </w:style>
  <w:style w:type="paragraph" w:styleId="18">
    <w:name w:val="List"/>
    <w:basedOn w:val="1"/>
    <w:next w:val="1"/>
    <w:qFormat/>
    <w:uiPriority w:val="0"/>
    <w:pPr>
      <w:ind w:left="200" w:hanging="200" w:hangingChars="200"/>
      <w:contextualSpacing/>
    </w:pPr>
  </w:style>
  <w:style w:type="paragraph" w:styleId="19">
    <w:name w:val="Normal Indent"/>
    <w:basedOn w:val="1"/>
    <w:next w:val="10"/>
    <w:qFormat/>
    <w:uiPriority w:val="0"/>
    <w:pPr>
      <w:ind w:firstLine="200" w:firstLineChars="200"/>
    </w:pPr>
    <w:rPr>
      <w:sz w:val="21"/>
    </w:rPr>
  </w:style>
  <w:style w:type="paragraph" w:styleId="20">
    <w:name w:val="annotation text"/>
    <w:basedOn w:val="1"/>
    <w:link w:val="88"/>
    <w:qFormat/>
    <w:uiPriority w:val="0"/>
    <w:pPr>
      <w:jc w:val="left"/>
    </w:pPr>
    <w:rPr>
      <w:kern w:val="0"/>
      <w:szCs w:val="20"/>
    </w:rPr>
  </w:style>
  <w:style w:type="paragraph" w:styleId="21">
    <w:name w:val="Body Text"/>
    <w:basedOn w:val="1"/>
    <w:qFormat/>
    <w:uiPriority w:val="0"/>
    <w:pPr>
      <w:wordWrap w:val="0"/>
      <w:ind w:firstLine="1440" w:firstLineChars="200"/>
    </w:pPr>
    <w:rPr>
      <w:color w:val="000000"/>
    </w:rPr>
  </w:style>
  <w:style w:type="paragraph" w:styleId="22">
    <w:name w:val="List 2"/>
    <w:basedOn w:val="1"/>
    <w:qFormat/>
    <w:uiPriority w:val="0"/>
    <w:rPr>
      <w:rFonts w:ascii="楷体_GB2312" w:hAnsi="宋体" w:eastAsia="楷体_GB2312"/>
      <w:color w:val="000000"/>
      <w:szCs w:val="28"/>
    </w:rPr>
  </w:style>
  <w:style w:type="paragraph" w:styleId="23">
    <w:name w:val="List Bullet 2"/>
    <w:basedOn w:val="1"/>
    <w:next w:val="24"/>
    <w:qFormat/>
    <w:uiPriority w:val="0"/>
    <w:pPr>
      <w:numPr>
        <w:ilvl w:val="0"/>
        <w:numId w:val="3"/>
      </w:numPr>
    </w:pPr>
  </w:style>
  <w:style w:type="paragraph" w:customStyle="1" w:styleId="24">
    <w:name w:val="xl70"/>
    <w:basedOn w:val="1"/>
    <w:next w:val="25"/>
    <w:qFormat/>
    <w:uiPriority w:val="0"/>
    <w:pPr>
      <w:widowControl/>
      <w:spacing w:before="280" w:after="280" w:line="240" w:lineRule="auto"/>
    </w:pPr>
    <w:rPr>
      <w:rFonts w:ascii="宋体"/>
    </w:rPr>
  </w:style>
  <w:style w:type="paragraph" w:customStyle="1" w:styleId="25">
    <w:name w:val="正文缩进1"/>
    <w:basedOn w:val="1"/>
    <w:next w:val="26"/>
    <w:qFormat/>
    <w:uiPriority w:val="0"/>
    <w:pPr>
      <w:spacing w:line="312" w:lineRule="atLeast"/>
      <w:textAlignment w:val="baseline"/>
    </w:pPr>
    <w:rPr>
      <w:kern w:val="0"/>
      <w:sz w:val="28"/>
      <w:szCs w:val="20"/>
    </w:rPr>
  </w:style>
  <w:style w:type="paragraph" w:customStyle="1" w:styleId="26">
    <w:name w:val="td1"/>
    <w:basedOn w:val="1"/>
    <w:next w:val="1"/>
    <w:qFormat/>
    <w:uiPriority w:val="0"/>
    <w:pPr>
      <w:widowControl/>
      <w:spacing w:before="280" w:after="280" w:line="300" w:lineRule="atLeast"/>
      <w:ind w:firstLine="200"/>
    </w:pPr>
    <w:rPr>
      <w:color w:val="000000"/>
      <w:sz w:val="18"/>
    </w:rPr>
  </w:style>
  <w:style w:type="paragraph" w:styleId="27">
    <w:name w:val="toc 5"/>
    <w:basedOn w:val="1"/>
    <w:next w:val="1"/>
    <w:qFormat/>
    <w:uiPriority w:val="39"/>
    <w:pPr>
      <w:ind w:left="840"/>
      <w:jc w:val="left"/>
    </w:pPr>
    <w:rPr>
      <w:sz w:val="18"/>
      <w:szCs w:val="18"/>
    </w:rPr>
  </w:style>
  <w:style w:type="paragraph" w:styleId="28">
    <w:name w:val="Plain Text"/>
    <w:basedOn w:val="1"/>
    <w:qFormat/>
    <w:uiPriority w:val="0"/>
    <w:rPr>
      <w:rFonts w:ascii="宋体" w:hAnsi="Courier New"/>
      <w:sz w:val="20"/>
      <w:szCs w:val="20"/>
    </w:rPr>
  </w:style>
  <w:style w:type="paragraph" w:styleId="29">
    <w:name w:val="List Bullet 5"/>
    <w:basedOn w:val="1"/>
    <w:qFormat/>
    <w:uiPriority w:val="0"/>
    <w:pPr>
      <w:numPr>
        <w:ilvl w:val="0"/>
        <w:numId w:val="4"/>
      </w:numPr>
    </w:pPr>
  </w:style>
  <w:style w:type="paragraph" w:styleId="30">
    <w:name w:val="Body Text Indent 2"/>
    <w:basedOn w:val="1"/>
    <w:next w:val="1"/>
    <w:qFormat/>
    <w:uiPriority w:val="0"/>
    <w:pPr>
      <w:spacing w:after="120" w:line="480" w:lineRule="auto"/>
      <w:ind w:left="420" w:leftChars="200"/>
    </w:pPr>
  </w:style>
  <w:style w:type="paragraph" w:styleId="31">
    <w:name w:val="Balloon Text"/>
    <w:basedOn w:val="1"/>
    <w:qFormat/>
    <w:uiPriority w:val="0"/>
    <w:rPr>
      <w:kern w:val="0"/>
      <w:sz w:val="18"/>
      <w:szCs w:val="20"/>
    </w:rPr>
  </w:style>
  <w:style w:type="paragraph" w:styleId="32">
    <w:name w:val="footer"/>
    <w:basedOn w:val="1"/>
    <w:qFormat/>
    <w:uiPriority w:val="0"/>
    <w:pPr>
      <w:tabs>
        <w:tab w:val="center" w:pos="4153"/>
        <w:tab w:val="right" w:pos="8306"/>
      </w:tabs>
      <w:snapToGrid w:val="0"/>
      <w:jc w:val="left"/>
    </w:pPr>
    <w:rPr>
      <w:sz w:val="18"/>
    </w:rPr>
  </w:style>
  <w:style w:type="paragraph" w:styleId="3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34">
    <w:name w:val="toc 1"/>
    <w:basedOn w:val="1"/>
    <w:next w:val="1"/>
    <w:qFormat/>
    <w:uiPriority w:val="0"/>
  </w:style>
  <w:style w:type="paragraph" w:styleId="35">
    <w:name w:val="Subtitle"/>
    <w:basedOn w:val="1"/>
    <w:next w:val="1"/>
    <w:qFormat/>
    <w:uiPriority w:val="0"/>
    <w:pPr>
      <w:ind w:firstLine="200" w:firstLineChars="200"/>
      <w:outlineLvl w:val="1"/>
    </w:pPr>
    <w:rPr>
      <w:bCs/>
      <w:kern w:val="28"/>
      <w:szCs w:val="32"/>
    </w:rPr>
  </w:style>
  <w:style w:type="paragraph" w:styleId="36">
    <w:name w:val="Body Text Indent 3"/>
    <w:basedOn w:val="1"/>
    <w:qFormat/>
    <w:uiPriority w:val="99"/>
    <w:pPr>
      <w:snapToGrid w:val="0"/>
      <w:spacing w:line="480" w:lineRule="exact"/>
      <w:ind w:firstLine="535" w:firstLineChars="191"/>
    </w:pPr>
    <w:rPr>
      <w:sz w:val="28"/>
    </w:rPr>
  </w:style>
  <w:style w:type="paragraph" w:styleId="37">
    <w:name w:val="table of figures"/>
    <w:basedOn w:val="1"/>
    <w:next w:val="1"/>
    <w:qFormat/>
    <w:uiPriority w:val="0"/>
    <w:pPr>
      <w:ind w:left="200" w:leftChars="200" w:hanging="200" w:hangingChars="200"/>
    </w:pPr>
  </w:style>
  <w:style w:type="paragraph" w:styleId="38">
    <w:name w:val="toc 2"/>
    <w:basedOn w:val="1"/>
    <w:next w:val="14"/>
    <w:qFormat/>
    <w:uiPriority w:val="0"/>
    <w:pPr>
      <w:ind w:left="420" w:leftChars="200"/>
    </w:pPr>
  </w:style>
  <w:style w:type="paragraph" w:styleId="39">
    <w:name w:val="Body Text 2"/>
    <w:basedOn w:val="1"/>
    <w:unhideWhenUsed/>
    <w:qFormat/>
    <w:uiPriority w:val="0"/>
    <w:pPr>
      <w:spacing w:after="120" w:line="480" w:lineRule="auto"/>
    </w:pPr>
  </w:style>
  <w:style w:type="paragraph" w:styleId="40">
    <w:name w:val="Normal (Web)"/>
    <w:basedOn w:val="1"/>
    <w:qFormat/>
    <w:uiPriority w:val="0"/>
    <w:pPr>
      <w:spacing w:before="100" w:beforeAutospacing="1" w:after="100" w:afterAutospacing="1"/>
      <w:jc w:val="left"/>
    </w:pPr>
    <w:rPr>
      <w:kern w:val="0"/>
    </w:rPr>
  </w:style>
  <w:style w:type="paragraph" w:styleId="41">
    <w:name w:val="annotation subject"/>
    <w:basedOn w:val="20"/>
    <w:next w:val="20"/>
    <w:link w:val="89"/>
    <w:qFormat/>
    <w:uiPriority w:val="0"/>
    <w:rPr>
      <w:b/>
      <w:bCs/>
      <w:kern w:val="2"/>
      <w:szCs w:val="24"/>
    </w:rPr>
  </w:style>
  <w:style w:type="paragraph" w:styleId="42">
    <w:name w:val="Body Text First Indent"/>
    <w:basedOn w:val="21"/>
    <w:next w:val="1"/>
    <w:qFormat/>
    <w:uiPriority w:val="0"/>
    <w:pPr>
      <w:spacing w:after="120" w:line="240" w:lineRule="auto"/>
      <w:ind w:firstLine="420" w:firstLineChars="100"/>
    </w:pPr>
    <w:rPr>
      <w:sz w:val="21"/>
    </w:rPr>
  </w:style>
  <w:style w:type="paragraph" w:styleId="43">
    <w:name w:val="Body Text First Indent 2"/>
    <w:basedOn w:val="1"/>
    <w:next w:val="42"/>
    <w:qFormat/>
    <w:uiPriority w:val="0"/>
    <w:pPr>
      <w:widowControl/>
      <w:adjustRightInd/>
      <w:ind w:firstLine="420"/>
      <w:jc w:val="left"/>
      <w:textAlignment w:val="auto"/>
    </w:pPr>
    <w:rPr>
      <w:kern w:val="0"/>
      <w:sz w:val="28"/>
      <w:szCs w:val="20"/>
    </w:rPr>
  </w:style>
  <w:style w:type="table" w:styleId="45">
    <w:name w:val="Table Grid"/>
    <w:basedOn w:val="4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7">
    <w:name w:val="Strong"/>
    <w:basedOn w:val="46"/>
    <w:qFormat/>
    <w:uiPriority w:val="0"/>
    <w:rPr>
      <w:b/>
    </w:rPr>
  </w:style>
  <w:style w:type="character" w:styleId="48">
    <w:name w:val="Hyperlink"/>
    <w:basedOn w:val="46"/>
    <w:qFormat/>
    <w:uiPriority w:val="0"/>
    <w:rPr>
      <w:color w:val="0000FF"/>
      <w:u w:val="single"/>
    </w:rPr>
  </w:style>
  <w:style w:type="character" w:styleId="49">
    <w:name w:val="annotation reference"/>
    <w:basedOn w:val="46"/>
    <w:qFormat/>
    <w:uiPriority w:val="0"/>
    <w:rPr>
      <w:sz w:val="21"/>
      <w:szCs w:val="21"/>
    </w:rPr>
  </w:style>
  <w:style w:type="paragraph" w:customStyle="1" w:styleId="50">
    <w:name w:val="样式35"/>
    <w:basedOn w:val="51"/>
    <w:next w:val="56"/>
    <w:qFormat/>
    <w:uiPriority w:val="0"/>
    <w:pPr>
      <w:tabs>
        <w:tab w:val="left" w:pos="0"/>
        <w:tab w:val="left" w:pos="360"/>
        <w:tab w:val="left" w:pos="540"/>
        <w:tab w:val="left" w:pos="567"/>
        <w:tab w:val="left" w:pos="4140"/>
      </w:tabs>
      <w:spacing w:line="312" w:lineRule="auto"/>
      <w:ind w:firstLine="567"/>
    </w:pPr>
  </w:style>
  <w:style w:type="paragraph" w:customStyle="1" w:styleId="51">
    <w:name w:val="样式26"/>
    <w:basedOn w:val="52"/>
    <w:qFormat/>
    <w:uiPriority w:val="0"/>
    <w:pPr>
      <w:tabs>
        <w:tab w:val="left" w:pos="0"/>
        <w:tab w:val="left" w:pos="360"/>
        <w:tab w:val="left" w:pos="540"/>
        <w:tab w:val="left" w:pos="567"/>
        <w:tab w:val="left" w:pos="4140"/>
      </w:tabs>
    </w:pPr>
  </w:style>
  <w:style w:type="paragraph" w:customStyle="1" w:styleId="52">
    <w:name w:val="样式21"/>
    <w:basedOn w:val="53"/>
    <w:qFormat/>
    <w:uiPriority w:val="0"/>
    <w:pPr>
      <w:tabs>
        <w:tab w:val="left" w:pos="0"/>
        <w:tab w:val="left" w:pos="360"/>
        <w:tab w:val="left" w:pos="567"/>
        <w:tab w:val="left" w:pos="4140"/>
      </w:tabs>
      <w:ind w:hanging="992"/>
    </w:pPr>
  </w:style>
  <w:style w:type="paragraph" w:customStyle="1" w:styleId="53">
    <w:name w:val="样式5"/>
    <w:basedOn w:val="54"/>
    <w:qFormat/>
    <w:uiPriority w:val="0"/>
    <w:pPr>
      <w:tabs>
        <w:tab w:val="left" w:pos="0"/>
        <w:tab w:val="left" w:pos="360"/>
        <w:tab w:val="left" w:pos="4140"/>
      </w:tabs>
      <w:ind w:right="-105" w:rightChars="-50"/>
      <w:jc w:val="center"/>
    </w:pPr>
    <w:rPr>
      <w:rFonts w:ascii="宋体"/>
      <w:sz w:val="21"/>
    </w:rPr>
  </w:style>
  <w:style w:type="paragraph" w:customStyle="1" w:styleId="54">
    <w:name w:val="样式12"/>
    <w:basedOn w:val="55"/>
    <w:qFormat/>
    <w:uiPriority w:val="0"/>
    <w:pPr>
      <w:keepNext/>
      <w:keepLines/>
      <w:tabs>
        <w:tab w:val="left" w:pos="0"/>
        <w:tab w:val="left" w:pos="360"/>
        <w:tab w:val="left" w:pos="4140"/>
      </w:tabs>
      <w:spacing w:beforeLines="50" w:afterLines="50"/>
      <w:ind w:left="567" w:hanging="567"/>
      <w:outlineLvl w:val="1"/>
    </w:pPr>
    <w:rPr>
      <w:rFonts w:eastAsia="MS Mincho"/>
      <w:kern w:val="0"/>
      <w:sz w:val="28"/>
      <w:szCs w:val="28"/>
    </w:rPr>
  </w:style>
  <w:style w:type="paragraph" w:customStyle="1" w:styleId="55">
    <w:name w:val="样式 标题 3标题 3 Char标题3H3h33rd level第二层条三级标题ReHead 3 WSA头..."/>
    <w:basedOn w:val="9"/>
    <w:qFormat/>
    <w:uiPriority w:val="0"/>
    <w:pPr>
      <w:ind w:left="4140" w:hanging="720"/>
    </w:pPr>
    <w:rPr>
      <w:rFonts w:eastAsia="黑体"/>
      <w:color w:val="FF0000"/>
    </w:rPr>
  </w:style>
  <w:style w:type="paragraph" w:customStyle="1" w:styleId="56">
    <w:name w:val="font6"/>
    <w:basedOn w:val="1"/>
    <w:next w:val="38"/>
    <w:qFormat/>
    <w:uiPriority w:val="0"/>
    <w:pPr>
      <w:widowControl/>
      <w:spacing w:before="280" w:after="280"/>
    </w:pPr>
    <w:rPr>
      <w:sz w:val="21"/>
    </w:rPr>
  </w:style>
  <w:style w:type="paragraph" w:customStyle="1" w:styleId="57">
    <w:name w:val="xl27"/>
    <w:basedOn w:val="1"/>
    <w:next w:val="1"/>
    <w:qFormat/>
    <w:uiPriority w:val="0"/>
    <w:pPr>
      <w:widowControl/>
      <w:spacing w:before="100" w:beforeAutospacing="1" w:after="100" w:afterAutospacing="1" w:line="360" w:lineRule="exact"/>
      <w:jc w:val="center"/>
      <w:textAlignment w:val="center"/>
    </w:pPr>
    <w:rPr>
      <w:rFonts w:hint="eastAsia" w:ascii="黑体" w:eastAsia="黑体"/>
      <w:kern w:val="0"/>
      <w:sz w:val="32"/>
      <w:szCs w:val="32"/>
    </w:rPr>
  </w:style>
  <w:style w:type="paragraph" w:customStyle="1" w:styleId="58">
    <w:name w:val="6-正文"/>
    <w:basedOn w:val="1"/>
    <w:link w:val="92"/>
    <w:qFormat/>
    <w:uiPriority w:val="0"/>
    <w:rPr>
      <w:szCs w:val="28"/>
    </w:rPr>
  </w:style>
  <w:style w:type="paragraph" w:customStyle="1" w:styleId="59">
    <w:name w:val="表 内容"/>
    <w:basedOn w:val="1"/>
    <w:qFormat/>
    <w:uiPriority w:val="0"/>
    <w:pPr>
      <w:adjustRightInd w:val="0"/>
      <w:snapToGrid w:val="0"/>
      <w:spacing w:beforeLines="15"/>
      <w:jc w:val="center"/>
    </w:pPr>
    <w:rPr>
      <w:kern w:val="0"/>
      <w:sz w:val="20"/>
      <w:szCs w:val="21"/>
    </w:rPr>
  </w:style>
  <w:style w:type="paragraph" w:customStyle="1" w:styleId="60">
    <w:name w:val="flName"/>
    <w:basedOn w:val="1"/>
    <w:qFormat/>
    <w:uiPriority w:val="0"/>
    <w:pPr>
      <w:autoSpaceDE w:val="0"/>
      <w:autoSpaceDN w:val="0"/>
      <w:spacing w:before="320" w:after="160"/>
      <w:jc w:val="center"/>
    </w:pPr>
    <w:rPr>
      <w:rFonts w:ascii="Arial" w:hAnsi="Arial" w:eastAsia="黑体" w:cs="宋体"/>
      <w:sz w:val="32"/>
      <w:szCs w:val="22"/>
      <w:lang w:val="zh-CN" w:bidi="zh-CN"/>
    </w:rPr>
  </w:style>
  <w:style w:type="paragraph" w:customStyle="1" w:styleId="61">
    <w:name w:val="表格文字"/>
    <w:basedOn w:val="28"/>
    <w:qFormat/>
    <w:uiPriority w:val="0"/>
    <w:pPr>
      <w:tabs>
        <w:tab w:val="left" w:pos="-2848"/>
      </w:tabs>
      <w:wordWrap w:val="0"/>
      <w:autoSpaceDE w:val="0"/>
      <w:autoSpaceDN w:val="0"/>
      <w:jc w:val="center"/>
      <w:textAlignment w:val="center"/>
    </w:pPr>
    <w:rPr>
      <w:rFonts w:ascii="Times New Roman" w:hAnsi="Times New Roman" w:eastAsia="宋体" w:cs="Times New Roman"/>
      <w:position w:val="-10"/>
      <w:sz w:val="21"/>
      <w:szCs w:val="21"/>
      <w:lang w:val="en-US" w:eastAsia="zh-CN" w:bidi="ar-SA"/>
    </w:rPr>
  </w:style>
  <w:style w:type="character" w:customStyle="1" w:styleId="62">
    <w:name w:val="题注 字符"/>
    <w:link w:val="17"/>
    <w:qFormat/>
    <w:uiPriority w:val="0"/>
    <w:rPr>
      <w:rFonts w:ascii="Times New Roman" w:hAnsi="Times New Roman"/>
      <w:b/>
      <w:bCs/>
      <w:color w:val="000000"/>
      <w:sz w:val="21"/>
      <w:szCs w:val="21"/>
    </w:rPr>
  </w:style>
  <w:style w:type="paragraph" w:customStyle="1" w:styleId="63">
    <w:name w:val="括号标题"/>
    <w:basedOn w:val="3"/>
    <w:next w:val="4"/>
    <w:qFormat/>
    <w:uiPriority w:val="0"/>
    <w:pPr>
      <w:autoSpaceDE w:val="0"/>
      <w:autoSpaceDN w:val="0"/>
    </w:pPr>
    <w:rPr>
      <w:rFonts w:hAnsi="宋体"/>
      <w:color w:val="000000"/>
    </w:rPr>
  </w:style>
  <w:style w:type="paragraph" w:customStyle="1" w:styleId="64">
    <w:name w:val="J-表格内容（5号+居中）"/>
    <w:basedOn w:val="1"/>
    <w:qFormat/>
    <w:uiPriority w:val="0"/>
    <w:pPr>
      <w:spacing w:line="240" w:lineRule="auto"/>
      <w:jc w:val="center"/>
    </w:pPr>
    <w:rPr>
      <w:sz w:val="21"/>
      <w:szCs w:val="21"/>
    </w:rPr>
  </w:style>
  <w:style w:type="paragraph" w:customStyle="1" w:styleId="65">
    <w:name w:val="表内字"/>
    <w:basedOn w:val="66"/>
    <w:qFormat/>
    <w:uiPriority w:val="0"/>
    <w:pPr>
      <w:autoSpaceDE w:val="0"/>
      <w:autoSpaceDN w:val="0"/>
      <w:spacing w:line="320" w:lineRule="exact"/>
    </w:pPr>
    <w:rPr>
      <w:rFonts w:hAnsi="宋体"/>
      <w:kern w:val="2"/>
      <w:sz w:val="21"/>
      <w:szCs w:val="21"/>
    </w:rPr>
  </w:style>
  <w:style w:type="paragraph" w:customStyle="1" w:styleId="66">
    <w:name w:val="表格"/>
    <w:basedOn w:val="19"/>
    <w:next w:val="1"/>
    <w:qFormat/>
    <w:uiPriority w:val="0"/>
    <w:pPr>
      <w:adjustRightInd w:val="0"/>
      <w:snapToGrid w:val="0"/>
      <w:spacing w:before="31" w:beforeLines="10" w:after="31" w:afterLines="10" w:line="259" w:lineRule="auto"/>
      <w:jc w:val="center"/>
    </w:pPr>
    <w:rPr>
      <w:rFonts w:ascii="宋体"/>
      <w:kern w:val="0"/>
      <w:szCs w:val="20"/>
    </w:rPr>
  </w:style>
  <w:style w:type="paragraph" w:customStyle="1" w:styleId="67">
    <w:name w:val="表内字1"/>
    <w:basedOn w:val="1"/>
    <w:qFormat/>
    <w:uiPriority w:val="0"/>
    <w:pPr>
      <w:adjustRightInd w:val="0"/>
      <w:snapToGrid w:val="0"/>
      <w:spacing w:line="300" w:lineRule="exact"/>
      <w:jc w:val="center"/>
    </w:pPr>
    <w:rPr>
      <w:rFonts w:ascii="Calibri" w:hAnsi="Calibri"/>
      <w:color w:val="000000"/>
      <w:sz w:val="22"/>
      <w:szCs w:val="21"/>
    </w:rPr>
  </w:style>
  <w:style w:type="paragraph" w:customStyle="1" w:styleId="68">
    <w:name w:val="表格内容居中"/>
    <w:qFormat/>
    <w:uiPriority w:val="0"/>
    <w:pPr>
      <w:adjustRightInd w:val="0"/>
      <w:snapToGrid w:val="0"/>
      <w:jc w:val="center"/>
    </w:pPr>
    <w:rPr>
      <w:rFonts w:ascii="Times New Roman" w:hAnsi="Times New Roman" w:eastAsia="宋体" w:cs="Times New Roman"/>
      <w:snapToGrid w:val="0"/>
      <w:sz w:val="21"/>
      <w:szCs w:val="21"/>
      <w:lang w:val="en-US" w:eastAsia="zh-CN" w:bidi="ar-SA"/>
    </w:rPr>
  </w:style>
  <w:style w:type="paragraph" w:customStyle="1" w:styleId="69">
    <w:name w:val="无间隔1"/>
    <w:qFormat/>
    <w:uiPriority w:val="99"/>
    <w:pPr>
      <w:widowControl w:val="0"/>
      <w:jc w:val="both"/>
    </w:pPr>
    <w:rPr>
      <w:rFonts w:ascii="Times New Roman" w:hAnsi="Times New Roman" w:eastAsia="宋体" w:cs="Times New Roman"/>
      <w:kern w:val="2"/>
      <w:sz w:val="24"/>
      <w:szCs w:val="24"/>
      <w:lang w:val="en-US" w:eastAsia="zh-CN" w:bidi="ar-SA"/>
    </w:rPr>
  </w:style>
  <w:style w:type="character" w:customStyle="1" w:styleId="70">
    <w:name w:val="font61"/>
    <w:basedOn w:val="46"/>
    <w:qFormat/>
    <w:uiPriority w:val="0"/>
    <w:rPr>
      <w:rFonts w:hint="default" w:ascii="Times New Roman" w:hAnsi="Times New Roman" w:cs="Times New Roman"/>
      <w:b/>
      <w:color w:val="000000"/>
      <w:sz w:val="18"/>
      <w:szCs w:val="18"/>
      <w:u w:val="none"/>
    </w:rPr>
  </w:style>
  <w:style w:type="character" w:customStyle="1" w:styleId="71">
    <w:name w:val="font81"/>
    <w:basedOn w:val="46"/>
    <w:qFormat/>
    <w:uiPriority w:val="0"/>
    <w:rPr>
      <w:rFonts w:hint="default" w:ascii="Times New Roman" w:hAnsi="Times New Roman" w:cs="Times New Roman"/>
      <w:b/>
      <w:color w:val="000000"/>
      <w:sz w:val="18"/>
      <w:szCs w:val="18"/>
      <w:u w:val="none"/>
    </w:rPr>
  </w:style>
  <w:style w:type="character" w:customStyle="1" w:styleId="72">
    <w:name w:val="font51"/>
    <w:basedOn w:val="46"/>
    <w:qFormat/>
    <w:uiPriority w:val="0"/>
    <w:rPr>
      <w:rFonts w:hint="eastAsia" w:ascii="宋体" w:hAnsi="宋体" w:eastAsia="宋体" w:cs="宋体"/>
      <w:b/>
      <w:color w:val="000000"/>
      <w:sz w:val="18"/>
      <w:szCs w:val="18"/>
      <w:u w:val="none"/>
    </w:rPr>
  </w:style>
  <w:style w:type="character" w:customStyle="1" w:styleId="73">
    <w:name w:val="font91"/>
    <w:basedOn w:val="46"/>
    <w:qFormat/>
    <w:uiPriority w:val="0"/>
    <w:rPr>
      <w:rFonts w:ascii="Calibri" w:hAnsi="Calibri" w:cs="Calibri"/>
      <w:color w:val="auto"/>
      <w:sz w:val="21"/>
      <w:szCs w:val="21"/>
      <w:u w:val="none"/>
    </w:rPr>
  </w:style>
  <w:style w:type="character" w:customStyle="1" w:styleId="74">
    <w:name w:val="font111"/>
    <w:basedOn w:val="46"/>
    <w:qFormat/>
    <w:uiPriority w:val="0"/>
    <w:rPr>
      <w:rFonts w:hint="default" w:ascii="Times New Roman" w:hAnsi="Times New Roman" w:cs="Times New Roman"/>
      <w:b/>
      <w:color w:val="000000"/>
      <w:sz w:val="18"/>
      <w:szCs w:val="18"/>
      <w:u w:val="none"/>
    </w:rPr>
  </w:style>
  <w:style w:type="character" w:customStyle="1" w:styleId="75">
    <w:name w:val="font101"/>
    <w:basedOn w:val="46"/>
    <w:qFormat/>
    <w:uiPriority w:val="0"/>
    <w:rPr>
      <w:rFonts w:hint="eastAsia" w:ascii="宋体" w:hAnsi="宋体" w:eastAsia="宋体" w:cs="宋体"/>
      <w:b/>
      <w:color w:val="000000"/>
      <w:sz w:val="18"/>
      <w:szCs w:val="18"/>
      <w:u w:val="none"/>
    </w:rPr>
  </w:style>
  <w:style w:type="paragraph" w:customStyle="1" w:styleId="76">
    <w:name w:val="附图附件"/>
    <w:basedOn w:val="1"/>
    <w:qFormat/>
    <w:uiPriority w:val="0"/>
    <w:pPr>
      <w:spacing w:line="240" w:lineRule="auto"/>
      <w:jc w:val="center"/>
      <w:outlineLvl w:val="0"/>
    </w:pPr>
  </w:style>
  <w:style w:type="paragraph" w:customStyle="1" w:styleId="77">
    <w:name w:val="J-表格标题+图片标题（5号+居中）"/>
    <w:basedOn w:val="1"/>
    <w:qFormat/>
    <w:uiPriority w:val="0"/>
    <w:pPr>
      <w:spacing w:line="240" w:lineRule="auto"/>
      <w:jc w:val="center"/>
    </w:pPr>
    <w:rPr>
      <w:b/>
      <w:sz w:val="21"/>
      <w:szCs w:val="21"/>
    </w:rPr>
  </w:style>
  <w:style w:type="paragraph" w:customStyle="1" w:styleId="78">
    <w:name w:val="报告表小标题"/>
    <w:basedOn w:val="1"/>
    <w:qFormat/>
    <w:uiPriority w:val="0"/>
    <w:pPr>
      <w:spacing w:before="100" w:beforeAutospacing="1"/>
    </w:pPr>
    <w:rPr>
      <w:b/>
    </w:rPr>
  </w:style>
  <w:style w:type="character" w:customStyle="1" w:styleId="79">
    <w:name w:val="font21"/>
    <w:basedOn w:val="46"/>
    <w:qFormat/>
    <w:uiPriority w:val="0"/>
    <w:rPr>
      <w:rFonts w:hint="eastAsia" w:ascii="宋体" w:hAnsi="宋体" w:eastAsia="宋体" w:cs="宋体"/>
      <w:b/>
      <w:bCs/>
      <w:color w:val="000000"/>
      <w:sz w:val="21"/>
      <w:szCs w:val="21"/>
      <w:u w:val="none"/>
    </w:rPr>
  </w:style>
  <w:style w:type="character" w:customStyle="1" w:styleId="80">
    <w:name w:val="font11"/>
    <w:basedOn w:val="46"/>
    <w:qFormat/>
    <w:uiPriority w:val="0"/>
    <w:rPr>
      <w:rFonts w:hint="eastAsia" w:ascii="宋体" w:hAnsi="宋体" w:eastAsia="宋体" w:cs="宋体"/>
      <w:color w:val="000000"/>
      <w:sz w:val="21"/>
      <w:szCs w:val="21"/>
      <w:u w:val="none"/>
    </w:rPr>
  </w:style>
  <w:style w:type="character" w:customStyle="1" w:styleId="81">
    <w:name w:val="font41"/>
    <w:basedOn w:val="46"/>
    <w:qFormat/>
    <w:uiPriority w:val="0"/>
    <w:rPr>
      <w:rFonts w:hint="eastAsia" w:ascii="宋体" w:hAnsi="宋体" w:eastAsia="宋体" w:cs="宋体"/>
      <w:color w:val="000000"/>
      <w:sz w:val="21"/>
      <w:szCs w:val="21"/>
      <w:u w:val="none"/>
    </w:rPr>
  </w:style>
  <w:style w:type="paragraph" w:customStyle="1" w:styleId="82">
    <w:name w:val="样式 方正仿宋_GBK 三号 行距: 固定值 28 磅"/>
    <w:basedOn w:val="1"/>
    <w:qFormat/>
    <w:uiPriority w:val="0"/>
    <w:pPr>
      <w:ind w:firstLine="200" w:firstLineChars="200"/>
      <w:jc w:val="left"/>
    </w:pPr>
    <w:rPr>
      <w:rFonts w:ascii="方正仿宋_GBK" w:hAnsi="方正仿宋_GBK" w:cs="宋体"/>
      <w:sz w:val="28"/>
      <w:szCs w:val="20"/>
    </w:rPr>
  </w:style>
  <w:style w:type="paragraph" w:styleId="83">
    <w:name w:val="List Paragraph"/>
    <w:basedOn w:val="1"/>
    <w:qFormat/>
    <w:uiPriority w:val="99"/>
    <w:pPr>
      <w:ind w:firstLine="420" w:firstLineChars="200"/>
    </w:pPr>
  </w:style>
  <w:style w:type="character" w:customStyle="1" w:styleId="84">
    <w:name w:val="fontstyle01"/>
    <w:qFormat/>
    <w:uiPriority w:val="0"/>
    <w:rPr>
      <w:rFonts w:hint="eastAsia" w:ascii="宋体" w:hAnsi="宋体" w:eastAsia="宋体"/>
      <w:color w:val="000000"/>
      <w:sz w:val="24"/>
      <w:szCs w:val="24"/>
    </w:rPr>
  </w:style>
  <w:style w:type="paragraph" w:customStyle="1" w:styleId="85">
    <w:name w:val="HJ-正文"/>
    <w:basedOn w:val="1"/>
    <w:qFormat/>
    <w:uiPriority w:val="0"/>
    <w:pPr>
      <w:ind w:firstLine="480" w:firstLineChars="200"/>
    </w:pPr>
  </w:style>
  <w:style w:type="paragraph" w:customStyle="1" w:styleId="86">
    <w:name w:val="WPSOffice手动目录 1"/>
    <w:qFormat/>
    <w:uiPriority w:val="0"/>
    <w:rPr>
      <w:rFonts w:ascii="Times New Roman" w:hAnsi="Times New Roman" w:eastAsia="宋体" w:cs="Times New Roman"/>
      <w:lang w:val="en-US" w:eastAsia="zh-CN" w:bidi="ar-SA"/>
    </w:rPr>
  </w:style>
  <w:style w:type="paragraph" w:customStyle="1" w:styleId="87">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88">
    <w:name w:val="批注文字 字符"/>
    <w:basedOn w:val="46"/>
    <w:link w:val="20"/>
    <w:qFormat/>
    <w:uiPriority w:val="0"/>
    <w:rPr>
      <w:sz w:val="24"/>
    </w:rPr>
  </w:style>
  <w:style w:type="character" w:customStyle="1" w:styleId="89">
    <w:name w:val="批注主题 字符"/>
    <w:basedOn w:val="88"/>
    <w:link w:val="41"/>
    <w:qFormat/>
    <w:uiPriority w:val="0"/>
    <w:rPr>
      <w:b/>
      <w:bCs/>
      <w:kern w:val="2"/>
      <w:sz w:val="24"/>
      <w:szCs w:val="24"/>
    </w:rPr>
  </w:style>
  <w:style w:type="character" w:customStyle="1" w:styleId="90">
    <w:name w:val="NormalCharacter"/>
    <w:qFormat/>
    <w:uiPriority w:val="0"/>
    <w:rPr>
      <w:rFonts w:ascii="Times New Roman" w:hAnsi="Times New Roman" w:eastAsia="宋体" w:cs="Times New Roman"/>
      <w:kern w:val="2"/>
      <w:sz w:val="24"/>
      <w:szCs w:val="24"/>
      <w:lang w:val="en-US" w:eastAsia="zh-CN" w:bidi="ar-SA"/>
    </w:rPr>
  </w:style>
  <w:style w:type="character" w:customStyle="1" w:styleId="91">
    <w:name w:val="font31"/>
    <w:basedOn w:val="46"/>
    <w:qFormat/>
    <w:uiPriority w:val="0"/>
    <w:rPr>
      <w:rFonts w:hint="default" w:ascii="Times New Roman" w:hAnsi="Times New Roman" w:cs="Times New Roman"/>
      <w:color w:val="000000"/>
      <w:sz w:val="21"/>
      <w:szCs w:val="21"/>
      <w:u w:val="none"/>
    </w:rPr>
  </w:style>
  <w:style w:type="character" w:customStyle="1" w:styleId="92">
    <w:name w:val="6-正文 Char"/>
    <w:link w:val="58"/>
    <w:qFormat/>
    <w:uiPriority w:val="0"/>
    <w:rPr>
      <w:szCs w:val="28"/>
    </w:rPr>
  </w:style>
  <w:style w:type="table" w:customStyle="1" w:styleId="93">
    <w:name w:val="报告书标准表格"/>
    <w:basedOn w:val="44"/>
    <w:qFormat/>
    <w:uiPriority w:val="0"/>
    <w:pPr>
      <w:jc w:val="center"/>
    </w:pPr>
    <w:rPr>
      <w:rFonts w:eastAsia="Times New Roman"/>
      <w:sz w:val="21"/>
    </w:rPr>
    <w:tblPr>
      <w:tblBorders>
        <w:top w:val="single" w:color="auto" w:sz="12" w:space="0"/>
        <w:bottom w:val="single" w:color="auto" w:sz="12" w:space="0"/>
        <w:insideH w:val="single" w:color="auto" w:sz="4" w:space="0"/>
        <w:insideV w:val="single" w:color="auto" w:sz="4" w:space="0"/>
      </w:tblBorders>
    </w:tblPr>
    <w:tcPr>
      <w:vAlign w:val="center"/>
    </w:tcPr>
  </w:style>
  <w:style w:type="paragraph" w:customStyle="1" w:styleId="94">
    <w:name w:val="报告正文"/>
    <w:basedOn w:val="1"/>
    <w:qFormat/>
    <w:uiPriority w:val="0"/>
    <w:pPr>
      <w:ind w:firstLine="480" w:firstLineChars="200"/>
    </w:pPr>
  </w:style>
  <w:style w:type="paragraph" w:customStyle="1" w:styleId="95">
    <w:name w:val="表格内容"/>
    <w:basedOn w:val="68"/>
    <w:next w:val="1"/>
    <w:qFormat/>
    <w:uiPriority w:val="0"/>
    <w:rPr>
      <w:sz w:val="21"/>
      <w:szCs w:val="21"/>
    </w:rPr>
  </w:style>
  <w:style w:type="paragraph" w:customStyle="1" w:styleId="96">
    <w:name w:val="表格标题"/>
    <w:basedOn w:val="28"/>
    <w:qFormat/>
    <w:uiPriority w:val="0"/>
    <w:pPr>
      <w:jc w:val="center"/>
    </w:pPr>
    <w:rPr>
      <w:rFonts w:ascii="Times New Roman" w:hAnsi="Times New Roman"/>
      <w:b/>
    </w:rPr>
  </w:style>
  <w:style w:type="character" w:customStyle="1" w:styleId="97">
    <w:name w:val="16"/>
    <w:basedOn w:val="46"/>
    <w:qFormat/>
    <w:uiPriority w:val="0"/>
    <w:rPr>
      <w:rFonts w:hint="default" w:ascii="Times New Roman" w:hAnsi="Times New Roman" w:cs="Times New Roman"/>
      <w:color w:val="000000"/>
      <w:sz w:val="21"/>
      <w:szCs w:val="21"/>
    </w:rPr>
  </w:style>
  <w:style w:type="character" w:customStyle="1" w:styleId="98">
    <w:name w:val="17"/>
    <w:basedOn w:val="46"/>
    <w:qFormat/>
    <w:uiPriority w:val="0"/>
    <w:rPr>
      <w:rFonts w:hint="default" w:ascii="Times New Roman" w:hAnsi="Times New Roman" w:cs="Times New Roman"/>
      <w:color w:val="000000"/>
      <w:sz w:val="21"/>
      <w:szCs w:val="21"/>
      <w:vertAlign w:val="superscript"/>
    </w:rPr>
  </w:style>
  <w:style w:type="character" w:customStyle="1" w:styleId="99">
    <w:name w:val="15"/>
    <w:basedOn w:val="46"/>
    <w:qFormat/>
    <w:uiPriority w:val="0"/>
    <w:rPr>
      <w:rFonts w:hint="eastAsia" w:ascii="宋体" w:hAnsi="宋体" w:eastAsia="宋体"/>
      <w:color w:val="000000"/>
      <w:sz w:val="21"/>
      <w:szCs w:val="21"/>
    </w:rPr>
  </w:style>
  <w:style w:type="paragraph" w:customStyle="1" w:styleId="100">
    <w:name w:val="List Paragraph1"/>
    <w:basedOn w:val="1"/>
    <w:qFormat/>
    <w:uiPriority w:val="34"/>
    <w:pPr>
      <w:widowControl w:val="0"/>
      <w:ind w:firstLine="420" w:firstLineChars="200"/>
      <w:jc w:val="both"/>
    </w:pPr>
    <w:rPr>
      <w:rFonts w:ascii="Calibri" w:hAnsi="Calibri" w:eastAsia="宋体" w:cs="Times New Roman"/>
      <w:kern w:val="2"/>
      <w:sz w:val="21"/>
      <w:szCs w:val="22"/>
    </w:rPr>
  </w:style>
  <w:style w:type="paragraph" w:customStyle="1" w:styleId="101">
    <w:name w:val="图表标题"/>
    <w:basedOn w:val="1"/>
    <w:next w:val="1"/>
    <w:qFormat/>
    <w:uiPriority w:val="0"/>
    <w:pPr>
      <w:jc w:val="center"/>
    </w:pPr>
    <w:rPr>
      <w:b/>
      <w:sz w:val="21"/>
    </w:rPr>
  </w:style>
  <w:style w:type="paragraph" w:customStyle="1" w:styleId="102">
    <w:name w:val="表头"/>
    <w:basedOn w:val="103"/>
    <w:next w:val="1"/>
    <w:qFormat/>
    <w:uiPriority w:val="99"/>
    <w:pPr>
      <w:adjustRightInd w:val="0"/>
      <w:spacing w:beforeLines="50"/>
      <w:ind w:firstLine="200"/>
    </w:pPr>
    <w:rPr>
      <w:szCs w:val="28"/>
    </w:rPr>
  </w:style>
  <w:style w:type="paragraph" w:customStyle="1" w:styleId="103">
    <w:name w:val="表标题"/>
    <w:basedOn w:val="21"/>
    <w:next w:val="21"/>
    <w:qFormat/>
    <w:uiPriority w:val="0"/>
    <w:pPr>
      <w:spacing w:line="500" w:lineRule="exact"/>
      <w:ind w:firstLine="482" w:firstLineChars="200"/>
      <w:jc w:val="center"/>
    </w:pPr>
    <w:rPr>
      <w:rFonts w:ascii="仿宋_GB2312" w:eastAsia="仿宋_GB2312"/>
      <w:b/>
      <w:sz w:val="24"/>
    </w:rPr>
  </w:style>
  <w:style w:type="paragraph" w:customStyle="1" w:styleId="104">
    <w:name w:val="列表段落1"/>
    <w:basedOn w:val="1"/>
    <w:qFormat/>
    <w:uiPriority w:val="99"/>
    <w:pPr>
      <w:spacing w:line="360" w:lineRule="auto"/>
      <w:ind w:firstLine="420" w:firstLineChars="200"/>
    </w:pPr>
    <w:rPr>
      <w:sz w:val="24"/>
      <w:szCs w:val="22"/>
    </w:rPr>
  </w:style>
  <w:style w:type="paragraph" w:customStyle="1" w:styleId="105">
    <w:name w:val="表格内容1"/>
    <w:basedOn w:val="1"/>
    <w:qFormat/>
    <w:uiPriority w:val="0"/>
    <w:pPr>
      <w:adjustRightInd w:val="0"/>
      <w:snapToGrid w:val="0"/>
      <w:spacing w:before="15" w:beforeLines="15" w:after="15" w:afterLines="15" w:line="300" w:lineRule="exact"/>
      <w:jc w:val="center"/>
    </w:pPr>
    <w:rPr>
      <w:kern w:val="0"/>
    </w:rPr>
  </w:style>
  <w:style w:type="paragraph" w:customStyle="1" w:styleId="106">
    <w:name w:val="（一）"/>
    <w:basedOn w:val="1"/>
    <w:qFormat/>
    <w:uiPriority w:val="0"/>
    <w:pPr>
      <w:numPr>
        <w:ilvl w:val="0"/>
        <w:numId w:val="5"/>
      </w:numPr>
      <w:spacing w:line="400" w:lineRule="exact"/>
    </w:pPr>
    <w:rPr>
      <w:b/>
      <w:sz w:val="24"/>
    </w:rPr>
  </w:style>
  <w:style w:type="paragraph" w:customStyle="1" w:styleId="107">
    <w:name w:val="正文1"/>
    <w:basedOn w:val="1"/>
    <w:qFormat/>
    <w:uiPriority w:val="0"/>
    <w:rPr>
      <w:sz w:val="24"/>
    </w:rPr>
  </w:style>
  <w:style w:type="paragraph" w:customStyle="1" w:styleId="108">
    <w:name w:val="表格 32"/>
    <w:basedOn w:val="1"/>
    <w:qFormat/>
    <w:uiPriority w:val="0"/>
    <w:pPr>
      <w:autoSpaceDE w:val="0"/>
      <w:autoSpaceDN w:val="0"/>
      <w:adjustRightInd w:val="0"/>
      <w:spacing w:line="240" w:lineRule="atLeast"/>
      <w:jc w:val="center"/>
      <w:textAlignment w:val="baseline"/>
    </w:pPr>
    <w:rPr>
      <w:spacing w:val="0"/>
      <w:sz w:val="24"/>
      <w:szCs w:val="24"/>
    </w:rPr>
  </w:style>
  <w:style w:type="paragraph" w:customStyle="1" w:styleId="109">
    <w:name w:val="表格文字！！！！"/>
    <w:basedOn w:val="1"/>
    <w:qFormat/>
    <w:uiPriority w:val="0"/>
    <w:pPr>
      <w:jc w:val="center"/>
    </w:pPr>
    <w:rPr>
      <w:spacing w:val="0"/>
      <w:kern w:val="2"/>
      <w:sz w:val="21"/>
      <w:szCs w:val="24"/>
    </w:rPr>
  </w:style>
  <w:style w:type="paragraph" w:customStyle="1" w:styleId="110">
    <w:name w:val="陆晶 表格式"/>
    <w:basedOn w:val="1"/>
    <w:qFormat/>
    <w:uiPriority w:val="0"/>
    <w:pPr>
      <w:jc w:val="center"/>
    </w:pPr>
    <w:rPr>
      <w:spacing w:val="0"/>
      <w:kern w:val="2"/>
      <w:sz w:val="21"/>
    </w:rPr>
  </w:style>
  <w:style w:type="paragraph" w:customStyle="1" w:styleId="111">
    <w:name w:val="表格2"/>
    <w:basedOn w:val="1"/>
    <w:next w:val="1"/>
    <w:qFormat/>
    <w:uiPriority w:val="0"/>
    <w:pPr>
      <w:topLinePunct/>
      <w:autoSpaceDE w:val="0"/>
      <w:autoSpaceDN w:val="0"/>
      <w:adjustRightInd w:val="0"/>
      <w:spacing w:line="288" w:lineRule="auto"/>
      <w:jc w:val="center"/>
    </w:pPr>
    <w:rPr>
      <w:rFonts w:ascii="宋体"/>
      <w:kern w:val="0"/>
      <w:position w:val="-28"/>
      <w:sz w:val="18"/>
      <w:szCs w:val="20"/>
    </w:rPr>
  </w:style>
  <w:style w:type="paragraph" w:customStyle="1" w:styleId="112">
    <w:name w:val="AP外表文字居中（图）"/>
    <w:basedOn w:val="113"/>
    <w:qFormat/>
    <w:uiPriority w:val="0"/>
    <w:pPr>
      <w:spacing w:line="240" w:lineRule="auto"/>
      <w:ind w:firstLine="0" w:firstLineChars="0"/>
      <w:jc w:val="center"/>
    </w:pPr>
    <w:rPr>
      <w:kern w:val="2"/>
    </w:rPr>
  </w:style>
  <w:style w:type="paragraph" w:customStyle="1" w:styleId="113">
    <w:name w:val="AP外表文字段落"/>
    <w:basedOn w:val="114"/>
    <w:qFormat/>
    <w:uiPriority w:val="0"/>
    <w:pPr>
      <w:widowControl w:val="0"/>
      <w:spacing w:line="360" w:lineRule="auto"/>
    </w:pPr>
    <w:rPr>
      <w:rFonts w:hint="eastAsia"/>
      <w:kern w:val="44"/>
      <w:sz w:val="24"/>
    </w:rPr>
  </w:style>
  <w:style w:type="paragraph" w:customStyle="1" w:styleId="114">
    <w:name w:val="BP内表文字段落"/>
    <w:next w:val="1"/>
    <w:qFormat/>
    <w:uiPriority w:val="0"/>
    <w:pPr>
      <w:kinsoku w:val="0"/>
      <w:wordWrap w:val="0"/>
      <w:topLinePunct/>
      <w:ind w:firstLine="200" w:firstLineChars="200"/>
      <w:jc w:val="both"/>
    </w:pPr>
    <w:rPr>
      <w:rFonts w:ascii="Times New Roman" w:hAnsi="Times New Roman" w:eastAsia="宋体" w:cs="Times New Roman"/>
      <w:kern w:val="2"/>
      <w:sz w:val="21"/>
      <w:szCs w:val="24"/>
      <w:lang w:val="en-US" w:eastAsia="zh-CN" w:bidi="ar-SA"/>
    </w:rPr>
  </w:style>
  <w:style w:type="paragraph" w:customStyle="1" w:styleId="115">
    <w:name w:val="Table Paragraph"/>
    <w:basedOn w:val="1"/>
    <w:qFormat/>
    <w:uiPriority w:val="1"/>
    <w:rPr>
      <w:rFonts w:ascii="宋体" w:hAnsi="宋体" w:cs="宋体"/>
      <w:lang w:val="zh-CN" w:bidi="zh-CN"/>
    </w:rPr>
  </w:style>
  <w:style w:type="paragraph" w:customStyle="1" w:styleId="116">
    <w:name w:val="0-正文"/>
    <w:basedOn w:val="1"/>
    <w:qFormat/>
    <w:uiPriority w:val="0"/>
    <w:pPr>
      <w:ind w:firstLine="200" w:firstLineChars="200"/>
    </w:pPr>
    <w:rPr>
      <w:spacing w:val="4"/>
      <w:szCs w:val="28"/>
      <w:lang w:val="zh-CN"/>
    </w:rPr>
  </w:style>
  <w:style w:type="paragraph" w:customStyle="1" w:styleId="117">
    <w:name w:val="0表格文字 五号 常规"/>
    <w:basedOn w:val="1"/>
    <w:qFormat/>
    <w:uiPriority w:val="0"/>
    <w:pPr>
      <w:autoSpaceDE w:val="0"/>
      <w:autoSpaceDN w:val="0"/>
      <w:jc w:val="center"/>
    </w:pPr>
    <w:rPr>
      <w:sz w:val="21"/>
      <w:szCs w:val="20"/>
    </w:rPr>
  </w:style>
  <w:style w:type="paragraph" w:customStyle="1" w:styleId="118">
    <w:name w:val="【正文】"/>
    <w:basedOn w:val="1"/>
    <w:qFormat/>
    <w:uiPriority w:val="0"/>
    <w:pPr>
      <w:ind w:firstLine="200" w:firstLineChars="200"/>
    </w:pPr>
    <w:rPr>
      <w:rFonts w:cs="宋体"/>
      <w:szCs w:val="20"/>
    </w:rPr>
  </w:style>
  <w:style w:type="paragraph" w:customStyle="1" w:styleId="119">
    <w:name w:val="表格 标题"/>
    <w:qFormat/>
    <w:uiPriority w:val="0"/>
    <w:pPr>
      <w:spacing w:before="60"/>
      <w:jc w:val="center"/>
    </w:pPr>
    <w:rPr>
      <w:rFonts w:ascii="Times New Roman" w:hAnsi="Times New Roman" w:eastAsia="宋体" w:cs="Times New Roman"/>
      <w:b/>
      <w:snapToGrid w:val="0"/>
      <w:color w:val="000000"/>
      <w:sz w:val="21"/>
      <w:szCs w:val="22"/>
      <w:lang w:val="zh-CN" w:eastAsia="zh-CN" w:bidi="ar-SA"/>
    </w:rPr>
  </w:style>
  <w:style w:type="paragraph" w:customStyle="1" w:styleId="120">
    <w:name w:val="LL表格内容"/>
    <w:basedOn w:val="1"/>
    <w:qFormat/>
    <w:uiPriority w:val="0"/>
    <w:pPr>
      <w:wordWrap w:val="0"/>
      <w:overflowPunct w:val="0"/>
      <w:topLinePunct/>
      <w:autoSpaceDE w:val="0"/>
      <w:autoSpaceDN w:val="0"/>
      <w:spacing w:line="240" w:lineRule="auto"/>
      <w:jc w:val="center"/>
    </w:pPr>
    <w:rPr>
      <w:rFonts w:cs="宋体"/>
      <w:color w:val="auto"/>
      <w:kern w:val="0"/>
      <w:sz w:val="21"/>
      <w:szCs w:val="22"/>
      <w:lang w:val="zh-CN" w:bidi="zh-CN"/>
    </w:rPr>
  </w:style>
  <w:style w:type="paragraph" w:customStyle="1" w:styleId="121">
    <w:name w:val="国寰正文"/>
    <w:basedOn w:val="1"/>
    <w:qFormat/>
    <w:uiPriority w:val="0"/>
    <w:pPr>
      <w:adjustRightInd w:val="0"/>
      <w:snapToGrid w:val="0"/>
      <w:spacing w:line="360" w:lineRule="auto"/>
      <w:ind w:firstLine="200" w:firstLineChars="200"/>
    </w:pPr>
    <w:rPr>
      <w:spacing w:val="0"/>
      <w:kern w:val="2"/>
      <w:sz w:val="24"/>
      <w:szCs w:val="24"/>
    </w:rPr>
  </w:style>
  <w:style w:type="character" w:customStyle="1" w:styleId="122">
    <w:name w:val="纯文本1 Char"/>
    <w:link w:val="3"/>
    <w:qFormat/>
    <w:uiPriority w:val="0"/>
    <w:rPr>
      <w:rFonts w:ascii="宋体" w:hAnsi="Courier New"/>
    </w:rPr>
  </w:style>
  <w:style w:type="paragraph" w:customStyle="1" w:styleId="123">
    <w:name w:val="Lux 正文"/>
    <w:basedOn w:val="1"/>
    <w:qFormat/>
    <w:uiPriority w:val="0"/>
    <w:pPr>
      <w:spacing w:before="80" w:after="80" w:line="360" w:lineRule="auto"/>
      <w:ind w:firstLine="200" w:firstLineChars="200"/>
    </w:pPr>
    <w:rPr>
      <w:kern w:val="0"/>
      <w:sz w:val="24"/>
      <w:szCs w:val="20"/>
    </w:rPr>
  </w:style>
  <w:style w:type="paragraph" w:customStyle="1" w:styleId="124">
    <w:name w:val="lai表格格式"/>
    <w:next w:val="21"/>
    <w:qFormat/>
    <w:uiPriority w:val="0"/>
    <w:pPr>
      <w:ind w:firstLine="0" w:firstLineChars="0"/>
      <w:jc w:val="center"/>
    </w:pPr>
    <w:rPr>
      <w:rFonts w:ascii="Times New Roman" w:hAnsi="Times New Roman" w:eastAsia="宋体" w:cs="Times New Roman"/>
      <w:sz w:val="21"/>
      <w:szCs w:val="21"/>
    </w:rPr>
  </w:style>
  <w:style w:type="paragraph" w:customStyle="1" w:styleId="125">
    <w:name w:val="lai表格标题"/>
    <w:next w:val="1"/>
    <w:qFormat/>
    <w:uiPriority w:val="0"/>
    <w:pPr>
      <w:widowControl w:val="0"/>
      <w:numPr>
        <w:ilvl w:val="0"/>
        <w:numId w:val="6"/>
      </w:numPr>
      <w:spacing w:before="50" w:beforeLines="50"/>
      <w:ind w:firstLine="0"/>
      <w:jc w:val="center"/>
    </w:pPr>
    <w:rPr>
      <w:rFonts w:ascii="Times New Roman" w:hAnsi="Times New Roman" w:eastAsia="宋体" w:cs="Times New Roman"/>
      <w:b/>
      <w:kern w:val="2"/>
      <w:sz w:val="24"/>
      <w:szCs w:val="24"/>
      <w:lang w:val="en-US" w:eastAsia="zh-CN" w:bidi="ar-SA"/>
    </w:rPr>
  </w:style>
  <w:style w:type="table" w:customStyle="1" w:styleId="126">
    <w:name w:val="Table Normal"/>
    <w:qFormat/>
    <w:uiPriority w:val="0"/>
    <w:tblPr>
      <w:tblCellMar>
        <w:top w:w="0" w:type="dxa"/>
        <w:left w:w="0" w:type="dxa"/>
        <w:bottom w:w="0" w:type="dxa"/>
        <w:right w:w="0" w:type="dxa"/>
      </w:tblCellMar>
    </w:tblPr>
  </w:style>
  <w:style w:type="paragraph" w:customStyle="1" w:styleId="127">
    <w:name w:val="Huo 表 五号居中"/>
    <w:basedOn w:val="1"/>
    <w:qFormat/>
    <w:uiPriority w:val="0"/>
    <w:pPr>
      <w:spacing w:line="360" w:lineRule="exact"/>
      <w:jc w:val="center"/>
    </w:pPr>
    <w:rPr>
      <w:rFonts w:cs="仿宋_GB2312"/>
      <w:szCs w:val="21"/>
    </w:rPr>
  </w:style>
  <w:style w:type="paragraph" w:customStyle="1" w:styleId="128">
    <w:name w:val="Table Text"/>
    <w:basedOn w:val="1"/>
    <w:qFormat/>
    <w:uiPriority w:val="0"/>
    <w:rPr>
      <w:rFonts w:ascii="Times New Roman" w:hAnsi="Times New Roman" w:eastAsia="Times New Roman" w:cs="Times New Roman"/>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1.xml"/><Relationship Id="rId65" Type="http://schemas.openxmlformats.org/officeDocument/2006/relationships/fontTable" Target="fontTable.xml"/><Relationship Id="rId64" Type="http://schemas.openxmlformats.org/officeDocument/2006/relationships/customXml" Target="../customXml/item3.xml"/><Relationship Id="rId63" Type="http://schemas.openxmlformats.org/officeDocument/2006/relationships/customXml" Target="../customXml/item2.xml"/><Relationship Id="rId62" Type="http://schemas.openxmlformats.org/officeDocument/2006/relationships/numbering" Target="numbering.xml"/><Relationship Id="rId61" Type="http://schemas.openxmlformats.org/officeDocument/2006/relationships/customXml" Target="../customXml/item1.xml"/><Relationship Id="rId60" Type="http://schemas.openxmlformats.org/officeDocument/2006/relationships/image" Target="media/image47.png"/><Relationship Id="rId6" Type="http://schemas.openxmlformats.org/officeDocument/2006/relationships/footer" Target="footer2.xml"/><Relationship Id="rId59" Type="http://schemas.openxmlformats.org/officeDocument/2006/relationships/image" Target="media/image46.png"/><Relationship Id="rId58" Type="http://schemas.openxmlformats.org/officeDocument/2006/relationships/image" Target="media/image45.png"/><Relationship Id="rId57" Type="http://schemas.openxmlformats.org/officeDocument/2006/relationships/image" Target="media/image44.png"/><Relationship Id="rId56" Type="http://schemas.openxmlformats.org/officeDocument/2006/relationships/image" Target="media/image43.png"/><Relationship Id="rId55" Type="http://schemas.openxmlformats.org/officeDocument/2006/relationships/image" Target="media/image42.png"/><Relationship Id="rId54" Type="http://schemas.openxmlformats.org/officeDocument/2006/relationships/image" Target="media/image41.jpeg"/><Relationship Id="rId53" Type="http://schemas.openxmlformats.org/officeDocument/2006/relationships/image" Target="media/image40.jpeg"/><Relationship Id="rId52" Type="http://schemas.openxmlformats.org/officeDocument/2006/relationships/image" Target="media/image39.jpeg"/><Relationship Id="rId51" Type="http://schemas.openxmlformats.org/officeDocument/2006/relationships/image" Target="media/image38.jpeg"/><Relationship Id="rId50" Type="http://schemas.openxmlformats.org/officeDocument/2006/relationships/image" Target="media/image37.jpeg"/><Relationship Id="rId5" Type="http://schemas.openxmlformats.org/officeDocument/2006/relationships/footer" Target="footer1.xml"/><Relationship Id="rId49" Type="http://schemas.openxmlformats.org/officeDocument/2006/relationships/image" Target="media/image36.jpeg"/><Relationship Id="rId48" Type="http://schemas.openxmlformats.org/officeDocument/2006/relationships/image" Target="media/image35.jpeg"/><Relationship Id="rId47" Type="http://schemas.openxmlformats.org/officeDocument/2006/relationships/image" Target="media/image34.jpeg"/><Relationship Id="rId46" Type="http://schemas.openxmlformats.org/officeDocument/2006/relationships/image" Target="media/image33.png"/><Relationship Id="rId45" Type="http://schemas.openxmlformats.org/officeDocument/2006/relationships/image" Target="media/image32.jpeg"/><Relationship Id="rId44" Type="http://schemas.openxmlformats.org/officeDocument/2006/relationships/image" Target="media/image31.jpeg"/><Relationship Id="rId43" Type="http://schemas.openxmlformats.org/officeDocument/2006/relationships/image" Target="media/image30.jpeg"/><Relationship Id="rId42" Type="http://schemas.openxmlformats.org/officeDocument/2006/relationships/customXml" Target="ink/ink4.xml"/><Relationship Id="rId41" Type="http://schemas.openxmlformats.org/officeDocument/2006/relationships/customXml" Target="ink/ink3.xml"/><Relationship Id="rId40" Type="http://schemas.openxmlformats.org/officeDocument/2006/relationships/customXml" Target="ink/ink2.xml"/><Relationship Id="rId4" Type="http://schemas.openxmlformats.org/officeDocument/2006/relationships/endnotes" Target="endnotes.xml"/><Relationship Id="rId39" Type="http://schemas.openxmlformats.org/officeDocument/2006/relationships/image" Target="media/image29.png"/><Relationship Id="rId38" Type="http://schemas.openxmlformats.org/officeDocument/2006/relationships/customXml" Target="ink/ink1.xml"/><Relationship Id="rId37" Type="http://schemas.openxmlformats.org/officeDocument/2006/relationships/image" Target="media/image28.png"/><Relationship Id="rId36" Type="http://schemas.openxmlformats.org/officeDocument/2006/relationships/image" Target="media/image27.png"/><Relationship Id="rId35" Type="http://schemas.openxmlformats.org/officeDocument/2006/relationships/image" Target="media/image26.png"/><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jpeg"/><Relationship Id="rId3" Type="http://schemas.openxmlformats.org/officeDocument/2006/relationships/footnotes" Target="footnotes.xml"/><Relationship Id="rId29" Type="http://schemas.openxmlformats.org/officeDocument/2006/relationships/image" Target="media/image20.jpeg"/><Relationship Id="rId28" Type="http://schemas.openxmlformats.org/officeDocument/2006/relationships/image" Target="media/image19.jpeg"/><Relationship Id="rId27" Type="http://schemas.openxmlformats.org/officeDocument/2006/relationships/image" Target="media/image18.jpe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NULL"/><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ink/ink1.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6" units="1/cm"/>
          <inkml:channelProperty channel="Y" name="resolution" value="28.34646" units="1/cm"/>
        </inkml:channelProperties>
      </inkml:inkSource>
      <inkml:timestamp xml:id="ts0" timeString="2022-05-31T18:09:19"/>
    </inkml:context>
    <inkml:brush xml:id="br0">
      <inkml:brushProperty name="width" value="0.0504" units="cm"/>
      <inkml:brushProperty name="height" value="0.0504" units="cm"/>
      <inkml:brushProperty name="color" value="#f80600"/>
    </inkml:brush>
  </inkml:definitions>
  <inkml:trace contextRef="#ctx0" brushRef="#br0">10905.000 953700.000,'0.000'0.000</inkml:trace>
</inkml:ink>
</file>

<file path=word/ink/ink2.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6" units="1/cm"/>
          <inkml:channelProperty channel="Y" name="resolution" value="28.34646" units="1/cm"/>
        </inkml:channelProperties>
      </inkml:inkSource>
      <inkml:timestamp xml:id="ts0" timeString="2022-05-31T18:09:19"/>
    </inkml:context>
    <inkml:brush xml:id="br0">
      <inkml:brushProperty name="width" value="0.0504" units="cm"/>
      <inkml:brushProperty name="height" value="0.0504" units="cm"/>
      <inkml:brushProperty name="color" value="#f80600"/>
    </inkml:brush>
  </inkml:definitions>
  <inkml:trace contextRef="#ctx0" brushRef="#br0">10380.000 953700.000,'0.000'0.000</inkml:trace>
</inkml:ink>
</file>

<file path=word/ink/ink3.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6" units="1/cm"/>
          <inkml:channelProperty channel="Y" name="resolution" value="28.34646" units="1/cm"/>
        </inkml:channelProperties>
      </inkml:inkSource>
      <inkml:timestamp xml:id="ts0" timeString="2022-05-31T18:09:19"/>
    </inkml:context>
    <inkml:brush xml:id="br0">
      <inkml:brushProperty name="width" value="0.0504" units="cm"/>
      <inkml:brushProperty name="height" value="0.0504" units="cm"/>
      <inkml:brushProperty name="color" value="#f80600"/>
    </inkml:brush>
  </inkml:definitions>
  <inkml:trace contextRef="#ctx0" brushRef="#br0">10860.000 953850.000,'0.000'0.000</inkml:trace>
</inkml:ink>
</file>

<file path=word/ink/ink4.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6" units="1/cm"/>
          <inkml:channelProperty channel="Y" name="resolution" value="28.34646" units="1/cm"/>
        </inkml:channelProperties>
      </inkml:inkSource>
      <inkml:timestamp xml:id="ts0" timeString="2022-05-31T18:09:19"/>
    </inkml:context>
    <inkml:brush xml:id="br0">
      <inkml:brushProperty name="width" value="0.0504" units="cm"/>
      <inkml:brushProperty name="height" value="0.0504" units="cm"/>
      <inkml:brushProperty name="color" value="#f80600"/>
    </inkml:brush>
  </inkml:definitions>
  <inkml:trace contextRef="#ctx0" brushRef="#br0">10875.000 953685.000,'0.000'0.000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contractReview xmlns="http://schemas.wps.cn/vas-ai-hub/contract-review">
  <reviewItems>
    <reviewItem>
      <errorID>933598b1-8211-4efa-a258-73974511a9b6</errorID>
      <errorWord>胶粘剂</errorWord>
      <group>L1_Word</group>
      <groupName>字词问题</groupName>
      <ability>L2_Typo</ability>
      <abilityName>字词错误</abilityName>
      <candidateList>
        <item>胶黏剂</item>
      </candidateList>
      <explain/>
      <paraID>2E7E5059</paraID>
      <start>57</start>
      <end>60</end>
      <status>unmodified</status>
      <modifiedWord/>
      <trackRevisions>false</trackRevisions>
    </reviewItem>
    <reviewItem>
      <errorID>bfecda46-f21b-4b48-b6e5-6a1593d2a704</errorID>
      <errorWord>胶粘剂</errorWord>
      <group>L1_Word</group>
      <groupName>字词问题</groupName>
      <ability>L2_Typo</ability>
      <abilityName>字词错误</abilityName>
      <candidateList>
        <item>胶黏剂</item>
      </candidateList>
      <explain/>
      <paraID>7F58D473</paraID>
      <start>37</start>
      <end>40</end>
      <status>unmodified</status>
      <modifiedWord/>
      <trackRevisions>false</trackRevisions>
    </reviewItem>
    <reviewItem>
      <errorID>e32a16c1-d7c1-483f-ac1e-e59a1da0ea44</errorID>
      <errorWord>不在与</errorWord>
      <group>L1_Word</group>
      <groupName>字词问题</groupName>
      <ability>L2_Typo</ability>
      <abilityName>字词错误</abilityName>
      <candidateList>
        <item>不再与</item>
      </candidateList>
      <explain/>
      <paraID>1E4091BE</paraID>
      <start>2</start>
      <end>5</end>
      <status>unmodified</status>
      <modifiedWord/>
      <trackRevisions>false</trackRevisions>
    </reviewItem>
    <reviewItem>
      <errorID>f1b07265-254d-4bab-9529-20bde6c2ab4b</errorID>
      <errorWord>:</errorWord>
      <group>L1_Format</group>
      <groupName>格式问题</groupName>
      <ability>L2_HalfPunc_CN</ability>
      <abilityName>全半角问题</abilityName>
      <candidateList>
        <item>：</item>
      </candidateList>
      <explain>文本全半角错误。</explain>
      <paraID>586E5130</paraID>
      <start>51</start>
      <end>52</end>
      <status>unmodified</status>
      <modifiedWord/>
      <trackRevisions>false</trackRevisions>
    </reviewItem>
    <reviewItem>
      <errorID>0f89f61e-2ca7-4c61-aaa4-bf65862819de</errorID>
      <errorWord>;</errorWord>
      <group>L1_Format</group>
      <groupName>格式问题</groupName>
      <ability>L2_HalfPunc_CN</ability>
      <abilityName>全半角问题</abilityName>
      <candidateList>
        <item>；</item>
      </candidateList>
      <explain>文本全半角错误。</explain>
      <paraID>586E5130</paraID>
      <start>131</start>
      <end>132</end>
      <status>unmodified</status>
      <modifiedWord/>
      <trackRevisions>false</trackRevisions>
    </reviewItem>
    <reviewItem>
      <errorID>67e32341-f94d-4cad-b968-d8d4e893d442</errorID>
      <errorWord>所在地位</errorWord>
      <group>L1_Word</group>
      <groupName>字词问题</groupName>
      <ability>L2_Typo</ability>
      <abilityName>字词错误</abilityName>
      <candidateList>
        <item>所在地</item>
      </candidateList>
      <explain/>
      <paraID>3828DB99</paraID>
      <start>55</start>
      <end>59</end>
      <status>unmodified</status>
      <modifiedWord/>
      <trackRevisions>false</trackRevisions>
    </reviewItem>
    <reviewItem>
      <errorID>d12d7cff-3b4a-4512-92af-e643c2f7604e</errorID>
      <errorWord>三线一单</errorWord>
      <group>L1_Political</group>
      <groupName>政治性问题</groupName>
      <ability>L2_Keyword</ability>
      <abilityName>固定表述</abilityName>
      <candidateList>
        <item>“三线一单”</item>
      </candidateList>
      <explain>注意检查当前固定表述标点是否使用规范。</explain>
      <paraID>48EA4105</paraID>
      <start>0</start>
      <end>4</end>
      <status>unmodified</status>
      <modifiedWord/>
      <trackRevisions>false</trackRevisions>
    </reviewItem>
    <reviewItem>
      <errorID>8acef51f-bb8f-4944-a442-0bf1fc6875bc</errorID>
      <errorWord>区</errorWord>
      <group>L1_Word</group>
      <groupName>字词问题</groupName>
      <ability>L2_Typo</ability>
      <abilityName>字词错误</abilityName>
      <candidateList>
        <item>区要</item>
      </candidateList>
      <explain/>
      <paraID> FE8BC10</paraID>
      <start>291</start>
      <end>292</end>
      <status>unmodified</status>
      <modifiedWord/>
      <trackRevisions>false</trackRevisions>
    </reviewItem>
    <reviewItem>
      <errorID>b35bad5e-f2b1-4a52-802c-b13286bb6936</errorID>
      <errorWord>城乡结合部</errorWord>
      <group>L1_Word</group>
      <groupName>字词问题</groupName>
      <ability>L2_Typo</ability>
      <abilityName>字词错误</abilityName>
      <candidateList>
        <item>城乡接合部</item>
      </candidateList>
      <explain/>
      <paraID>672070F2</paraID>
      <start>34</start>
      <end>39</end>
      <status>unmodified</status>
      <modifiedWord/>
      <trackRevisions>false</trackRevisions>
    </reviewItem>
    <reviewItem>
      <errorID>86444b70-3a2a-4509-9880-bd9206849406</errorID>
      <errorWord>其它</errorWord>
      <group>L1_Word</group>
      <groupName>字词问题</groupName>
      <ability>L2_Alias</ability>
      <abilityName>也作/曾用词</abilityName>
      <candidateList>
        <item>其他</item>
      </candidateList>
      <explain>词汇[其它]为不规范表述或旧称，其规范书面表述为[其他]。</explain>
      <paraID> E75A16F</paraID>
      <start>5</start>
      <end>7</end>
      <status>unmodified</status>
      <modifiedWord/>
      <trackRevisions>false</trackRevisions>
    </reviewItem>
    <reviewItem>
      <errorID>32a737a9-d678-4877-98d0-491e296b32e1</errorID>
      <errorWord>关于</errorWord>
      <group>L1_Punc</group>
      <groupName>标点问题</groupName>
      <ability>L2_Punc_CN</ability>
      <abilityName>标点符号问题</abilityName>
      <candidateList>
        <item>《关于</item>
      </candidateList>
      <explain/>
      <paraID>75C2B2E2</paraID>
      <start>14</start>
      <end>16</end>
      <status>unmodified</status>
      <modifiedWord/>
      <trackRevisions>false</trackRevisions>
    </reviewItem>
    <reviewItem>
      <errorID>8eac6ed3-bb32-48aa-b214-b1456be0d0bf</errorID>
      <errorWord>胶粘剂</errorWord>
      <group>L1_Word</group>
      <groupName>字词问题</groupName>
      <ability>L2_Typo</ability>
      <abilityName>字词错误</abilityName>
      <candidateList>
        <item>胶黏剂</item>
      </candidateList>
      <explain/>
      <paraID>62C7604E</paraID>
      <start>286</start>
      <end>289</end>
      <status>unmodified</status>
      <modifiedWord/>
      <trackRevisions>false</trackRevisions>
    </reviewItem>
    <reviewItem>
      <errorID>b9bc50fb-9683-4d65-b7ee-ad49d36dc85a</errorID>
      <errorWord>﹝2021﹞</errorWord>
      <group>L1_Punc</group>
      <groupName>标点问题</groupName>
      <ability>L2_Punc_CN</ability>
      <abilityName>标点符号问题</abilityName>
      <candidateList>
        <item>〔2021〕</item>
      </candidateList>
      <explain/>
      <paraID>68936D96</paraID>
      <start>43</start>
      <end>49</end>
      <status>unmodified</status>
      <modifiedWord/>
      <trackRevisions>false</trackRevisions>
    </reviewItem>
    <reviewItem>
      <errorID>b210eaaf-1206-4dd7-90e8-083712cdc759</errorID>
      <errorWord>自动保护区</errorWord>
      <group>L1_Word</group>
      <groupName>字词问题</groupName>
      <ability>L2_Typo</ability>
      <abilityName>字词错误</abilityName>
      <candidateList>
        <item>自然保护区</item>
      </candidateList>
      <explain/>
      <paraID>67A9BCD6</paraID>
      <start>12</start>
      <end>17</end>
      <status>unmodified</status>
      <modifiedWord/>
      <trackRevisions>false</trackRevisions>
    </reviewItem>
    <reviewItem>
      <errorID>27f47428-9d63-43cd-bf53-a3d4ed64fde0</errorID>
      <errorWord>HJ364</errorWord>
      <group>L1_Word</group>
      <groupName>字词问题</groupName>
      <ability>L2_Typo</ability>
      <abilityName>字词错误</abilityName>
      <candidateList>
        <item>HJ 364</item>
      </candidateList>
      <explain/>
      <paraID>56B7FEB0</paraID>
      <start>15</start>
      <end>20</end>
      <status>unmodified</status>
      <modifiedWord/>
      <trackRevisions>false</trackRevisions>
    </reviewItem>
    <reviewItem>
      <errorID>67ecb038-e598-4f8c-812b-7c3e631ce3ac</errorID>
      <errorWord>收集</errorWord>
      <group>L1_Word</group>
      <groupName>字词问题</groupName>
      <ability>L2_Typo</ability>
      <abilityName>字词错误</abilityName>
      <candidateList>
        <item> 收集</item>
      </candidateList>
      <explain/>
      <paraID>2FF049A0</paraID>
      <start>3</start>
      <end>5</end>
      <status>unmodified</status>
      <modifiedWord/>
      <trackRevisions>false</trackRevisions>
    </reviewItem>
    <reviewItem>
      <errorID>b453c8f3-1dbf-4a13-8797-9057cd77ac75</errorID>
      <errorWord>T37547</errorWord>
      <group>L1_Word</group>
      <groupName>字词问题</groupName>
      <ability>L2_Typo</ability>
      <abilityName>字词错误</abilityName>
      <candidateList>
        <item>T 37547</item>
      </candidateList>
      <explain/>
      <paraID>3397924B</paraID>
      <start>19</start>
      <end>25</end>
      <status>unmodified</status>
      <modifiedWord/>
      <trackRevisions>false</trackRevisions>
    </reviewItem>
    <reviewItem>
      <errorID>10edcc56-bca2-4030-a8e3-f6654aef21e4</errorID>
      <errorWord>运输</errorWord>
      <group>L1_Word</group>
      <groupName>字词问题</groupName>
      <ability>L2_Typo</ability>
      <abilityName>字词错误</abilityName>
      <candidateList>
        <item> 运输</item>
      </candidateList>
      <explain/>
      <paraID>394C74F3</paraID>
      <start>3</start>
      <end>5</end>
      <status>unmodified</status>
      <modifiedWord/>
      <trackRevisions>false</trackRevisions>
    </reviewItem>
    <reviewItem>
      <errorID>e5eac2f7-ed98-4588-a00b-015d486ae87f</errorID>
      <errorWord>要求</errorWord>
      <group>L1_Punc</group>
      <groupName>标点问题</groupName>
      <ability>L2_Punc_CN</ability>
      <abilityName>标点符号问题</abilityName>
      <candidateList>
        <item>要求：</item>
      </candidateList>
      <explain/>
      <paraID>730DC985</paraID>
      <start>7</start>
      <end>9</end>
      <status>unmodified</status>
      <modifiedWord/>
      <trackRevisions>false</trackRevisions>
    </reviewItem>
    <reviewItem>
      <errorID>dca45d77-4b69-4c59-9ced-45858e9e550a</errorID>
      <errorWord>GB31572</errorWord>
      <group>L1_Word</group>
      <groupName>字词问题</groupName>
      <ability>L2_Typo</ability>
      <abilityName>字词错误</abilityName>
      <candidateList>
        <item>GB 31572</item>
      </candidateList>
      <explain/>
      <paraID>368C8E27</paraID>
      <start>31</start>
      <end>38</end>
      <status>unmodified</status>
      <modifiedWord/>
      <trackRevisions>false</trackRevisions>
    </reviewItem>
    <reviewItem>
      <errorID>3e33d206-0456-4e6c-91e1-21865de6a040</errorID>
      <errorWord>GB16297</errorWord>
      <group>L1_Word</group>
      <groupName>字词问题</groupName>
      <ability>L2_Typo</ability>
      <abilityName>字词错误</abilityName>
      <candidateList>
        <item>GB 16297</item>
      </candidateList>
      <explain/>
      <paraID>368C8E27</paraID>
      <start>39</start>
      <end>46</end>
      <status>unmodified</status>
      <modifiedWord/>
      <trackRevisions>false</trackRevisions>
    </reviewItem>
    <reviewItem>
      <errorID>3ea3434c-263f-4301-bbb9-73142df06052</errorID>
      <errorWord>GB37822</errorWord>
      <group>L1_Word</group>
      <groupName>字词问题</groupName>
      <ability>L2_Typo</ability>
      <abilityName>字词错误</abilityName>
      <candidateList>
        <item>GB 37822</item>
      </candidateList>
      <explain/>
      <paraID>368C8E27</paraID>
      <start>47</start>
      <end>54</end>
      <status>unmodified</status>
      <modifiedWord/>
      <trackRevisions>false</trackRevisions>
    </reviewItem>
    <reviewItem>
      <errorID>c0871d3c-c25a-42f0-95dd-a913d7f233cf</errorID>
      <errorWord>GB14554</errorWord>
      <group>L1_Word</group>
      <groupName>字词问题</groupName>
      <ability>L2_Typo</ability>
      <abilityName>字词错误</abilityName>
      <candidateList>
        <item>GB 14554</item>
      </candidateList>
      <explain/>
      <paraID>368C8E27</paraID>
      <start>71</start>
      <end>78</end>
      <status>unmodified</status>
      <modifiedWord/>
      <trackRevisions>false</trackRevisions>
    </reviewItem>
    <reviewItem>
      <errorID>21167231-f876-4c00-af1d-bc088b30642f</errorID>
      <errorWord>GB12348</errorWord>
      <group>L1_Word</group>
      <groupName>字词问题</groupName>
      <ability>L2_Typo</ability>
      <abilityName>字词错误</abilityName>
      <candidateList>
        <item>GB 12348</item>
      </candidateList>
      <explain/>
      <paraID>368C8E27</paraID>
      <start>161</start>
      <end>168</end>
      <status>unmodified</status>
      <modifiedWord/>
      <trackRevisions>false</trackRevisions>
    </reviewItem>
    <reviewItem>
      <errorID>9a14a34d-f574-4654-8238-c0278d049667</errorID>
      <errorWord>要求</errorWord>
      <group>L1_Punc</group>
      <groupName>标点问题</groupName>
      <ability>L2_Punc_CN</ability>
      <abilityName>标点符号问题</abilityName>
      <candidateList>
        <item>要求：</item>
      </candidateList>
      <explain/>
      <paraID>2D1A4583</paraID>
      <start>6</start>
      <end>8</end>
      <status>unmodified</status>
      <modifiedWord/>
      <trackRevisions>false</trackRevisions>
    </reviewItem>
    <reviewItem>
      <errorID>25d8c2b6-5331-4a53-87ef-5ed8ab740da3</errorID>
      <errorWord>要求</errorWord>
      <group>L1_Punc</group>
      <groupName>标点问题</groupName>
      <ability>L2_Punc_CN</ability>
      <abilityName>标点符号问题</abilityName>
      <candidateList>
        <item>要求：</item>
      </candidateList>
      <explain/>
      <paraID>474A0F42</paraID>
      <start>6</start>
      <end>8</end>
      <status>unmodified</status>
      <modifiedWord/>
      <trackRevisions>false</trackRevisions>
    </reviewItem>
    <reviewItem>
      <errorID>97f9285c-6613-4749-af1e-87ff81cd9303</errorID>
      <errorWord>要求</errorWord>
      <group>L1_Punc</group>
      <groupName>标点问题</groupName>
      <ability>L2_Punc_CN</ability>
      <abilityName>标点符号问题</abilityName>
      <candidateList>
        <item>要求：</item>
      </candidateList>
      <explain/>
      <paraID> D115FCD</paraID>
      <start>6</start>
      <end>8</end>
      <status>unmodified</status>
      <modifiedWord/>
      <trackRevisions>false</trackRevisions>
    </reviewItem>
    <reviewItem>
      <errorID>bebd5a79-7994-470d-a604-498bea6b41c1</errorID>
      <errorWord>要求</errorWord>
      <group>L1_Punc</group>
      <groupName>标点问题</groupName>
      <ability>L2_Punc_CN</ability>
      <abilityName>标点符号问题</abilityName>
      <candidateList>
        <item>要求：</item>
      </candidateList>
      <explain/>
      <paraID> 6FBB51D</paraID>
      <start>6</start>
      <end>8</end>
      <status>unmodified</status>
      <modifiedWord/>
      <trackRevisions>false</trackRevisions>
    </reviewItem>
    <reviewItem>
      <errorID>31dbf2af-e02d-4145-aadf-fa0857dac858</errorID>
      <errorWord> </errorWord>
      <group>L1_Punc</group>
      <groupName>标点问题</groupName>
      <ability>L2_Punc_CN</ability>
      <abilityName>标点符号问题</abilityName>
      <candidateList>
        <item>. </item>
      </candidateList>
      <explain/>
      <paraID>2FA35EB0</paraID>
      <start>1</start>
      <end>2</end>
      <status>unmodified</status>
      <modifiedWord/>
      <trackRevisions>false</trackRevisions>
    </reviewItem>
    <reviewItem>
      <errorID>313524c5-996e-4a1a-9f05-793c2c780a6e</errorID>
      <errorWord>要求</errorWord>
      <group>L1_Punc</group>
      <groupName>标点问题</groupName>
      <ability>L2_Punc_CN</ability>
      <abilityName>标点符号问题</abilityName>
      <candidateList>
        <item>要求：</item>
      </candidateList>
      <explain/>
      <paraID>540AFAF2</paraID>
      <start>7</start>
      <end>9</end>
      <status>unmodified</status>
      <modifiedWord/>
      <trackRevisions>false</trackRevisions>
    </reviewItem>
    <reviewItem>
      <errorID>32071553-64cc-46cf-bed0-ab52b7f9a84b</errorID>
      <errorWord>T19001</errorWord>
      <group>L1_Word</group>
      <groupName>字词问题</groupName>
      <ability>L2_Typo</ability>
      <abilityName>字词错误</abilityName>
      <candidateList>
        <item>T 19001</item>
      </candidateList>
      <explain/>
      <paraID>39544B55</paraID>
      <start>35</start>
      <end>41</end>
      <status>unmodified</status>
      <modifiedWord/>
      <trackRevisions>false</trackRevisions>
    </reviewItem>
    <reviewItem>
      <errorID>1823e3d6-5bb8-4dd1-bda9-5bce05496c21</errorID>
      <errorWord>T24001</errorWord>
      <group>L1_Word</group>
      <groupName>字词问题</groupName>
      <ability>L2_Typo</ability>
      <abilityName>字词错误</abilityName>
      <candidateList>
        <item>T 24001</item>
      </candidateList>
      <explain/>
      <paraID>39544B55</paraID>
      <start>45</start>
      <end>51</end>
      <status>unmodified</status>
      <modifiedWord/>
      <trackRevisions>false</trackRevisions>
    </reviewItem>
    <reviewItem>
      <errorID>48ce615f-7e76-4d8a-95b2-6e007dfaa976</errorID>
      <errorWord>T45001</errorWord>
      <group>L1_Word</group>
      <groupName>字词问题</groupName>
      <ability>L2_Typo</ability>
      <abilityName>字词错误</abilityName>
      <candidateList>
        <item>T 45001</item>
      </candidateList>
      <explain/>
      <paraID>39544B55</paraID>
      <start>55</start>
      <end>61</end>
      <status>unmodified</status>
      <modifiedWord/>
      <trackRevisions>false</trackRevisions>
    </reviewItem>
    <reviewItem>
      <errorID>11f9f8b3-d31f-4ac4-95c3-103d0b4acbb7</errorID>
      <errorWord>要求</errorWord>
      <group>L1_Punc</group>
      <groupName>标点问题</groupName>
      <ability>L2_Punc_CN</ability>
      <abilityName>标点符号问题</abilityName>
      <candidateList>
        <item>要求：</item>
      </candidateList>
      <explain/>
      <paraID>5DC1E3F0</paraID>
      <start>13</start>
      <end>15</end>
      <status>unmodified</status>
      <modifiedWord/>
      <trackRevisions>false</trackRevisions>
    </reviewItem>
    <reviewItem>
      <errorID>905c1459-ca3f-48ae-a402-de7352cc3abe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424F291D</paraID>
      <start>14</start>
      <end>15</end>
      <status>unmodified</status>
      <modifiedWord/>
      <trackRevisions>false</trackRevisions>
    </reviewItem>
    <reviewItem>
      <errorID>1f1689da-a350-435c-93c2-6660ee3710be</errorID>
      <errorWord>T39171</errorWord>
      <group>L1_Word</group>
      <groupName>字词问题</groupName>
      <ability>L2_Typo</ability>
      <abilityName>字词错误</abilityName>
      <candidateList>
        <item>T 39171</item>
      </candidateList>
      <explain/>
      <paraID>1840CE7D</paraID>
      <start>18</start>
      <end>24</end>
      <status>unmodified</status>
      <modifiedWord/>
      <trackRevisions>false</trackRevisions>
    </reviewItem>
    <reviewItem>
      <errorID>19ba6297-f37d-4f4a-9912-1d712b5f7d59</errorID>
      <errorWord>设施</errorWord>
      <group>L1_Punc</group>
      <groupName>标点问题</groupName>
      <ability>L2_Punc_CN</ability>
      <abilityName>标点符号问题</abilityName>
      <candidateList>
        <item>设施。</item>
      </candidateList>
      <explain/>
      <paraID>7F4E98D6</paraID>
      <start>44</start>
      <end>46</end>
      <status>unmodified</status>
      <modifiedWord/>
      <trackRevisions>false</trackRevisions>
    </reviewItem>
    <reviewItem>
      <errorID>3b5a5416-3295-451c-a88e-47d766d42257</errorID>
      <errorWord>;</errorWord>
      <group>L1_Format</group>
      <groupName>格式问题</groupName>
      <ability>L2_HalfPunc_CN</ability>
      <abilityName>全半角问题</abilityName>
      <candidateList>
        <item>；</item>
      </candidateList>
      <explain>文本全半角错误。</explain>
      <paraID>132242B4</paraID>
      <start>34</start>
      <end>35</end>
      <status>unmodified</status>
      <modifiedWord/>
      <trackRevisions>false</trackRevisions>
    </reviewItem>
    <reviewItem>
      <errorID>d3044fa2-80d5-410d-9bb9-e7839be50c49</errorID>
      <errorWord>;</errorWord>
      <group>L1_Format</group>
      <groupName>格式问题</groupName>
      <ability>L2_HalfPunc_CN</ability>
      <abilityName>全半角问题</abilityName>
      <candidateList>
        <item>；</item>
      </candidateList>
      <explain>文本全半角错误。</explain>
      <paraID>132242B4</paraID>
      <start>56</start>
      <end>57</end>
      <status>unmodified</status>
      <modifiedWord/>
      <trackRevisions>false</trackRevisions>
    </reviewItem>
    <reviewItem>
      <errorID>8901319c-c1d1-4b50-b0c7-2d6bacb1364b</errorID>
      <errorWord>:</errorWord>
      <group>L1_Punc</group>
      <groupName>标点问题</groupName>
      <ability>L2_Punc_CN</ability>
      <abilityName>标点符号问题</abilityName>
      <candidateList>
        <item>，</item>
      </candidateList>
      <explain/>
      <paraID>132242B4</paraID>
      <start>102</start>
      <end>103</end>
      <status>unmodified</status>
      <modifiedWord/>
      <trackRevisions>false</trackRevisions>
    </reviewItem>
    <reviewItem>
      <errorID>2a88d3bb-4dd9-4996-be2b-b2693c3e92e2</errorID>
      <errorWord>GB12348</errorWord>
      <group>L1_Word</group>
      <groupName>字词问题</groupName>
      <ability>L2_Typo</ability>
      <abilityName>字词错误</abilityName>
      <candidateList>
        <item>GB 12348</item>
      </candidateList>
      <explain/>
      <paraID>132242B4</paraID>
      <start>125</start>
      <end>132</end>
      <status>unmodified</status>
      <modifiedWord/>
      <trackRevisions>false</trackRevisions>
    </reviewItem>
    <reviewItem>
      <errorID>13f8c912-f85f-4f9b-91cc-62ab50065563</errorID>
      <errorWord>GB16297</errorWord>
      <group>L1_Word</group>
      <groupName>字词问题</groupName>
      <ability>L2_Typo</ability>
      <abilityName>字词错误</abilityName>
      <candidateList>
        <item>GB 16297</item>
      </candidateList>
      <explain/>
      <paraID>132242B4</paraID>
      <start>147</start>
      <end>154</end>
      <status>unmodified</status>
      <modifiedWord/>
      <trackRevisions>false</trackRevisions>
    </reviewItem>
    <reviewItem>
      <errorID>baddb804-c225-4cd2-affe-043b6bef28d5</errorID>
      <errorWord>;</errorWord>
      <group>L1_Punc</group>
      <groupName>标点问题</groupName>
      <ability>L2_Punc_CN</ability>
      <abilityName>标点符号问题</abilityName>
      <candidateList>
        <item>；</item>
      </candidateList>
      <explain/>
      <paraID>132242B4</paraID>
      <start>159</start>
      <end>160</end>
      <status>unmodified</status>
      <modifiedWord/>
      <trackRevisions>false</trackRevisions>
    </reviewItem>
    <reviewItem>
      <errorID>955e167f-b615-4c96-bcac-364ac2df7e92</errorID>
      <errorWord>废塑料</errorWord>
      <group>L1_Word</group>
      <groupName>字词问题</groupName>
      <ability>L2_Typo</ability>
      <abilityName>字词错误</abilityName>
      <candidateList>
        <item> 废塑料</item>
      </candidateList>
      <explain/>
      <paraID>5A24EC75</paraID>
      <start>3</start>
      <end>6</end>
      <status>unmodified</status>
      <modifiedWord/>
      <trackRevisions>false</trackRevisions>
    </reviewItem>
    <reviewItem>
      <errorID>c0688acf-d68d-4ebf-b066-479ffc59189c</errorID>
      <errorWord>;</errorWord>
      <group>L1_Format</group>
      <groupName>格式问题</groupName>
      <ability>L2_HalfPunc_CN</ability>
      <abilityName>全半角问题</abilityName>
      <candidateList>
        <item>；</item>
      </candidateList>
      <explain>文本全半角错误。</explain>
      <paraID>7AF3435E</paraID>
      <start>43</start>
      <end>44</end>
      <status>unmodified</status>
      <modifiedWord/>
      <trackRevisions>false</trackRevisions>
    </reviewItem>
    <reviewItem>
      <errorID>e8cd27dd-840b-494f-b42c-117e8aa0649c</errorID>
      <errorWord>放</errorWord>
      <group>L1_Grammar</group>
      <groupName>语法问题</groupName>
      <ability>L2_Grammar</ability>
      <abilityName>语法错误</abilityName>
      <candidateList>
        <item> 废水</item>
      </candidateList>
      <explain/>
      <paraID>561682EF</paraID>
      <start>3</start>
      <end>4</end>
      <status>unmodified</status>
      <modifiedWord/>
      <trackRevisions>false</trackRevisions>
    </reviewItem>
    <reviewItem>
      <errorID>9cb1014b-3f98-4876-8f37-de3dac76bee3</errorID>
      <errorWord>.</errorWord>
      <group>L1_Format</group>
      <groupName>格式问题</groupName>
      <ability>L2_HalfPunc_CN</ability>
      <abilityName>全半角问题</abilityName>
      <candidateList>
        <item>。</item>
      </candidateList>
      <explain>文本全半角错误。</explain>
      <paraID>4FA006BC</paraID>
      <start>21</start>
      <end>22</end>
      <status>unmodified</status>
      <modifiedWord/>
      <trackRevisions>false</trackRevisions>
    </reviewItem>
    <reviewItem>
      <errorID>945d3544-29e9-44db-a7e9-014a1de5405a</errorID>
      <errorWord>,</errorWord>
      <group>L1_Format</group>
      <groupName>格式问题</groupName>
      <ability>L2_HalfPunc_CN</ability>
      <abilityName>全半角问题</abilityName>
      <candidateList>
        <item>，</item>
      </candidateList>
      <explain>文本全半角错误。</explain>
      <paraID>3FDAE93F</paraID>
      <start>42</start>
      <end>43</end>
      <status>unmodified</status>
      <modifiedWord/>
      <trackRevisions>false</trackRevisions>
    </reviewItem>
    <reviewItem>
      <errorID>b41ac04a-d3d3-49a9-aa2b-64e61b191152</errorID>
      <errorWord>消防检</errorWord>
      <group>L1_Word</group>
      <groupName>字词问题</groupName>
      <ability>L2_Typo</ability>
      <abilityName>字词错误</abilityName>
      <candidateList>
        <item>消防栓</item>
      </candidateList>
      <explain/>
      <paraID>3FDAE93F</paraID>
      <start>49</start>
      <end>52</end>
      <status>unmodified</status>
      <modifiedWord/>
      <trackRevisions>false</trackRevisions>
    </reviewItem>
    <reviewItem>
      <errorID>dd7902d6-8f58-4f9e-a54e-7186534e6f48</errorID>
      <errorWord>撤</errorWord>
      <group>L1_Word</group>
      <groupName>字词问题</groupName>
      <ability>L2_Typo</ability>
      <abilityName>字词错误</abilityName>
      <candidateList>
        <item>撒</item>
      </candidateList>
      <explain/>
      <paraID> E00F54A</paraID>
      <start>31</start>
      <end>32</end>
      <status>unmodified</status>
      <modifiedWord/>
      <trackRevisions>false</trackRevisions>
    </reviewItem>
    <reviewItem>
      <errorID>ebf6b9ec-1274-4271-9f69-6e2d7fdf6749</errorID>
      <errorWord>发塑料包装物</errorWord>
      <group>L1_Word</group>
      <groupName>字词问题</groupName>
      <ability>L2_Typo</ability>
      <abilityName>字词错误</abilityName>
      <candidateList>
        <item>废塑料包装物</item>
      </candidateList>
      <explain/>
      <paraID>64B06951</paraID>
      <start>4</start>
      <end>10</end>
      <status>unmodified</status>
      <modifiedWord/>
      <trackRevisions>false</trackRevisions>
    </reviewItem>
    <reviewItem>
      <errorID>9e847203-2c40-46f3-974e-8ecc000c731a</errorID>
      <errorWord>时问</errorWord>
      <group>L1_Word</group>
      <groupName>字词问题</groupName>
      <ability>L2_Typo</ability>
      <abilityName>字词错误</abilityName>
      <candidateList>
        <item>时间</item>
      </candidateList>
      <explain/>
      <paraID>4FB04D1D</paraID>
      <start>35</start>
      <end>37</end>
      <status>unmodified</status>
      <modifiedWord/>
      <trackRevisions>false</trackRevisions>
    </reviewItem>
    <reviewItem>
      <errorID>9040f56e-88b0-45e9-9364-c3f78ee5fc7a</errorID>
      <errorWord>噪卢</errorWord>
      <group>L1_Word</group>
      <groupName>字词问题</groupName>
      <ability>L2_Typo</ability>
      <abilityName>字词错误</abilityName>
      <candidateList>
        <item>噪</item>
      </candidateList>
      <explain/>
      <paraID>191DB3C3</paraID>
      <start>38</start>
      <end>40</end>
      <status>unmodified</status>
      <modifiedWord/>
      <trackRevisions>false</trackRevisions>
    </reviewItem>
    <reviewItem>
      <errorID>1f10288b-6339-47d6-883d-ac5c747eae2b</errorID>
      <errorWord>:</errorWord>
      <group>L1_Punc</group>
      <groupName>标点问题</groupName>
      <ability>L2_Punc_CN</ability>
      <abilityName>标点符号问题</abilityName>
      <candidateList>
        <item>，</item>
      </candidateList>
      <explain/>
      <paraID>7E539789</paraID>
      <start>23</start>
      <end>24</end>
      <status>unmodified</status>
      <modifiedWord/>
      <trackRevisions>false</trackRevisions>
    </reviewItem>
    <reviewItem>
      <errorID>3238378d-dd70-428f-b867-8af08a11d324</errorID>
      <errorWord>GB8978</errorWord>
      <group>L1_Word</group>
      <groupName>字词问题</groupName>
      <ability>L2_Typo</ability>
      <abilityName>字词错误</abilityName>
      <candidateList>
        <item>GB 8978</item>
      </candidateList>
      <explain/>
      <paraID>7E539789</paraID>
      <start>44</start>
      <end>50</end>
      <status>unmodified</status>
      <modifiedWord/>
      <trackRevisions>false</trackRevisions>
    </reviewItem>
    <reviewItem>
      <errorID>afd4cffd-c390-4991-80b0-9446b970470d</errorID>
      <errorWord>程</errorWord>
      <group>L1_Word</group>
      <groupName>字词问题</groupName>
      <ability>L2_Typo</ability>
      <abilityName>字词错误</abilityName>
      <candidateList>
        <item>程中</item>
      </candidateList>
      <explain/>
      <paraID>546667D0</paraID>
      <start>10</start>
      <end>11</end>
      <status>unmodified</status>
      <modifiedWord/>
      <trackRevisions>false</trackRevisions>
    </reviewItem>
    <reviewItem>
      <errorID>d93cc588-2a1e-4094-b49a-3082789110f3</errorID>
      <errorWord>:</errorWord>
      <group>L1_Punc</group>
      <groupName>标点问题</groupName>
      <ability>L2_Punc_CN</ability>
      <abilityName>标点符号问题</abilityName>
      <candidateList>
        <item>，</item>
      </candidateList>
      <explain/>
      <paraID>70CB804B</paraID>
      <start>21</start>
      <end>22</end>
      <status>unmodified</status>
      <modifiedWord/>
      <trackRevisions>false</trackRevisions>
    </reviewItem>
    <reviewItem>
      <errorID>19c5d509-9a0c-415e-8d19-b05e4699d64f</errorID>
      <errorWord>。</errorWord>
      <group>L1_Grammar</group>
      <groupName>语法问题</groupName>
      <ability>L2_Grammar</ability>
      <abilityName>语法错误</abilityName>
      <candidateList>
        <item>物质。</item>
      </candidateList>
      <explain/>
      <paraID>6678F57A</paraID>
      <start>30</start>
      <end>31</end>
      <status>unmodified</status>
      <modifiedWord/>
      <trackRevisions>false</trackRevisions>
    </reviewItem>
    <reviewItem>
      <errorID>95e252b4-672a-4648-b1f4-e85cdc99d1ef</errorID>
      <errorWord>/.</errorWord>
      <group>L1_Punc</group>
      <groupName>标点问题</groupName>
      <ability>L2_Punc_CN</ability>
      <abilityName>标点符号问题</abilityName>
      <candidateList>
        <item>/</item>
      </candidateList>
      <explain/>
      <paraID>34ACF3B6</paraID>
      <start>0</start>
      <end>2</end>
      <status>unmodified</status>
      <modifiedWord/>
      <trackRevisions>false</trackRevisions>
    </reviewItem>
    <reviewItem>
      <errorID>fdca7c6e-2ef0-4b2e-bc4c-53799964968f</errorID>
      <errorWord> </errorWord>
      <group>L1_Punc</group>
      <groupName>标点问题</groupName>
      <ability>L2_Punc_CN</ability>
      <abilityName>标点符号问题</abilityName>
      <candidateList>
        <item/>
      </candidateList>
      <explain>此处空格冗余，建议删除。</explain>
      <paraID>5B37BD8A</paraID>
      <start>24</start>
      <end>25</end>
      <status>unmodified</status>
      <modifiedWord/>
      <trackRevisions>false</trackRevisions>
    </reviewItem>
    <reviewItem>
      <errorID>597cdc75-90da-4939-bacb-7ff140209ca8</errorID>
      <errorWord>28m3</errorWord>
      <group>L1_Word</group>
      <groupName>字词问题</groupName>
      <ability>L2_Typo</ability>
      <abilityName>字词错误</abilityName>
      <candidateList>
        <item>28m³</item>
      </candidateList>
      <explain/>
      <paraID>28770DF7</paraID>
      <start>149</start>
      <end>153</end>
      <status>unmodified</status>
      <modifiedWord/>
      <trackRevisions>false</trackRevisions>
    </reviewItem>
    <reviewItem>
      <errorID>fc15eeb4-6063-4482-aa99-143bbba733f7</errorID>
      <errorWord> </errorWord>
      <group>L1_Punc</group>
      <groupName>标点问题</groupName>
      <ability>L2_Punc_CN</ability>
      <abilityName>标点符号问题</abilityName>
      <candidateList>
        <item>·</item>
      </candidateList>
      <explain/>
      <paraID>28770DF7</paraID>
      <start>156</start>
      <end>157</end>
      <status>unmodified</status>
      <modifiedWord/>
      <trackRevisions>false</trackRevisions>
    </reviewItem>
    <reviewItem>
      <errorID>d361f037-eaa5-4f2b-939a-2bc5285e5fdd</errorID>
      <errorWord>28m3</errorWord>
      <group>L1_Word</group>
      <groupName>字词问题</groupName>
      <ability>L2_Typo</ability>
      <abilityName>字词错误</abilityName>
      <candidateList>
        <item>28m³</item>
      </candidateList>
      <explain/>
      <paraID>28770DF7</paraID>
      <start>174</start>
      <end>178</end>
      <status>unmodified</status>
      <modifiedWord/>
      <trackRevisions>false</trackRevisions>
    </reviewItem>
    <reviewItem>
      <errorID>b7dc075e-963b-4e63-a648-f21f1b87ebab</errorID>
      <errorWord>56m3</errorWord>
      <group>L1_Word</group>
      <groupName>字词问题</groupName>
      <ability>L2_Typo</ability>
      <abilityName>字词错误</abilityName>
      <candidateList>
        <item>56m³</item>
      </candidateList>
      <explain/>
      <paraID>28770DF7</paraID>
      <start>185</start>
      <end>189</end>
      <status>unmodified</status>
      <modifiedWord/>
      <trackRevisions>false</trackRevisions>
    </reviewItem>
    <reviewItem>
      <errorID>164ed59b-c74c-4328-b7bd-3d564b20058f</errorID>
      <errorWord>项目</errorWord>
      <group>L1_Word</group>
      <groupName>字词问题</groupName>
      <ability>L2_Typo</ability>
      <abilityName>字词错误</abilityName>
      <candidateList>
        <item> 项目</item>
      </candidateList>
      <explain/>
      <paraID>61B47737</paraID>
      <start>4</start>
      <end>6</end>
      <status>unmodified</status>
      <modifiedWord/>
      <trackRevisions>false</trackRevisions>
    </reviewItem>
    <reviewItem>
      <errorID>32399731-f59c-474f-8171-774bba75d94c</errorID>
      <errorWord>单位</errorWord>
      <group>L1_Word</group>
      <groupName>字词问题</groupName>
      <ability>L2_Typo</ability>
      <abilityName>字词错误</abilityName>
      <candidateList>
        <item> 单位</item>
      </candidateList>
      <explain/>
      <paraID>61B47737</paraID>
      <start>11</start>
      <end>13</end>
      <status>unmodified</status>
      <modifiedWord/>
      <trackRevisions>false</trackRevisions>
    </reviewItem>
    <reviewItem>
      <errorID>6010e989-b44c-4769-a20e-4e489d162f8a</errorID>
      <errorWord>硬化</errorWord>
      <group>L1_Punc</group>
      <groupName>标点问题</groupName>
      <ability>L2_Punc_CN</ability>
      <abilityName>标点符号问题</abilityName>
      <candidateList>
        <item>硬化。</item>
      </candidateList>
      <explain/>
      <paraID>4B154F8A</paraID>
      <start>40</start>
      <end>42</end>
      <status>unmodified</status>
      <modifiedWord/>
      <trackRevisions>false</trackRevisions>
    </reviewItem>
    <reviewItem>
      <errorID>5ed55308-9ee5-4d85-924e-3540f5e96cc1</errorID>
      <errorWord>属</errorWord>
      <group>L1_Word</group>
      <groupName>字词问题</groupName>
      <ability>L2_Typo</ability>
      <abilityName>字词错误</abilityName>
      <candidateList>
        <item>属于</item>
      </candidateList>
      <explain/>
      <paraID>62248B0F</paraID>
      <start>3</start>
      <end>4</end>
      <status>unmodified</status>
      <modifiedWord/>
      <trackRevisions>false</trackRevisions>
    </reviewItem>
    <reviewItem>
      <errorID>19c0dcf2-a03d-48b3-a887-e2005c477510</errorID>
      <errorWord>停产</errorWord>
      <group>L1_Punc</group>
      <groupName>标点问题</groupName>
      <ability>L2_Punc_CN</ability>
      <abilityName>标点符号问题</abilityName>
      <candidateList>
        <item>，停产</item>
      </candidateList>
      <explain/>
      <paraID>14B6B268</paraID>
      <start>166</start>
      <end>168</end>
      <status>unmodified</status>
      <modifiedWord/>
      <trackRevisions>false</trackRevisions>
    </reviewItem>
    <reviewItem>
      <errorID>9803f263-2600-44b8-9900-988117413fbe</errorID>
      <errorWord>[2018]</errorWord>
      <group>L1_Punc</group>
      <groupName>标点问题</groupName>
      <ability>L2_Punc_CN</ability>
      <abilityName>标点符号问题</abilityName>
      <candidateList>
        <item>〔2018〕</item>
      </candidateList>
      <explain/>
      <paraID>70CBD983</paraID>
      <start>3</start>
      <end>39</end>
      <status>unmodified</status>
      <modifiedWord/>
      <trackRevisions>false</trackRevisions>
    </reviewItem>
    <reviewItem>
      <errorID>1d640794-23e6-40fc-a1ad-7ee50c97df18</errorID>
      <errorWord>[2017]</errorWord>
      <group>L1_Punc</group>
      <groupName>标点问题</groupName>
      <ability>L2_Punc_CN</ability>
      <abilityName>标点符号问题</abilityName>
      <candidateList>
        <item>〔2017〕</item>
      </candidateList>
      <explain/>
      <paraID>390448B8</paraID>
      <start>3</start>
      <end>39</end>
      <status>unmodified</status>
      <modifiedWord/>
      <trackRevisions>false</trackRevisions>
    </reviewItem>
    <reviewItem>
      <errorID>96bc4462-1158-4684-a909-d3a0e345a84e</errorID>
      <errorWord>公</errorWord>
      <group>L1_Word</group>
      <groupName>字词问题</groupName>
      <ability>L2_Typo</ability>
      <abilityName>字词错误</abilityName>
      <candidateList>
        <item>公司</item>
      </candidateList>
      <explain/>
      <paraID>139EA9C5</paraID>
      <start>11</start>
      <end>12</end>
      <status>unmodified</status>
      <modifiedWord/>
      <trackRevisions>false</trackRevisions>
    </reviewItem>
    <reviewItem>
      <errorID>3334d39d-55c4-4ac6-845a-8c8d8aa142bf</errorID>
      <errorWord>[2017]</errorWord>
      <group>L1_Punc</group>
      <groupName>标点问题</groupName>
      <ability>L2_Punc_CN</ability>
      <abilityName>标点符号问题</abilityName>
      <candidateList>
        <item>〔2017〕</item>
      </candidateList>
      <explain/>
      <paraID>67FFE11F</paraID>
      <start>3</start>
      <end>39</end>
      <status>unmodified</status>
      <modifiedWord/>
      <trackRevisions>false</trackRevisions>
    </reviewItem>
    <reviewItem>
      <errorID>547a7725-5da0-4004-8eb5-e0764cbfe398</errorID>
      <errorWord>公</errorWord>
      <group>L1_Word</group>
      <groupName>字词问题</groupName>
      <ability>L2_Typo</ability>
      <abilityName>字词错误</abilityName>
      <candidateList>
        <item>公司</item>
      </candidateList>
      <explain/>
      <paraID>37E36C5B</paraID>
      <start>11</start>
      <end>12</end>
      <status>unmodified</status>
      <modifiedWord/>
      <trackRevisions>false</trackRevisions>
    </reviewItem>
    <reviewItem>
      <errorID>4db4622b-379b-4ff2-b9ef-a653d66a38a7</errorID>
      <errorWord>[2017]</errorWord>
      <group>L1_Punc</group>
      <groupName>标点问题</groupName>
      <ability>L2_Punc_CN</ability>
      <abilityName>标点符号问题</abilityName>
      <candidateList>
        <item>〔2017〕</item>
      </candidateList>
      <explain/>
      <paraID>3748BA48</paraID>
      <start>3</start>
      <end>39</end>
      <status>unmodified</status>
      <modifiedWord/>
      <trackRevisions>false</trackRevisions>
    </reviewItem>
    <reviewItem>
      <errorID>949af350-4b98-4fc6-be52-4722621b1397</errorID>
      <errorWord>公</errorWord>
      <group>L1_Word</group>
      <groupName>字词问题</groupName>
      <ability>L2_Typo</ability>
      <abilityName>字词错误</abilityName>
      <candidateList>
        <item>公司</item>
      </candidateList>
      <explain/>
      <paraID> 2849ADC</paraID>
      <start>11</start>
      <end>12</end>
      <status>unmodified</status>
      <modifiedWord/>
      <trackRevisions>false</trackRevisions>
    </reviewItem>
    <reviewItem>
      <errorID>d2802d40-b53d-4e09-8882-0ae3172e4075</errorID>
      <errorWord>[2017]</errorWord>
      <group>L1_Punc</group>
      <groupName>标点问题</groupName>
      <ability>L2_Punc_CN</ability>
      <abilityName>标点符号问题</abilityName>
      <candidateList>
        <item>〔2017〕</item>
      </candidateList>
      <explain/>
      <paraID>320461E0</paraID>
      <start>3</start>
      <end>39</end>
      <status>unmodified</status>
      <modifiedWord/>
      <trackRevisions>false</trackRevisions>
    </reviewItem>
    <reviewItem>
      <errorID>f8eca3c7-8612-4402-989d-60724512935f</errorID>
      <errorWord>公</errorWord>
      <group>L1_Word</group>
      <groupName>字词问题</groupName>
      <ability>L2_Typo</ability>
      <abilityName>字词错误</abilityName>
      <candidateList>
        <item>公司</item>
      </candidateList>
      <explain/>
      <paraID>50ED1917</paraID>
      <start>11</start>
      <end>12</end>
      <status>unmodified</status>
      <modifiedWord/>
      <trackRevisions>false</trackRevisions>
    </reviewItem>
    <reviewItem>
      <errorID>e564924f-e9ad-43d7-95e9-aa6a5e0bc4e0</errorID>
      <errorWord>[2017]</errorWord>
      <group>L1_Punc</group>
      <groupName>标点问题</groupName>
      <ability>L2_Punc_CN</ability>
      <abilityName>标点符号问题</abilityName>
      <candidateList>
        <item>〔2017〕</item>
      </candidateList>
      <explain/>
      <paraID>775BAB9B</paraID>
      <start>3</start>
      <end>39</end>
      <status>unmodified</status>
      <modifiedWord/>
      <trackRevisions>false</trackRevisions>
    </reviewItem>
    <reviewItem>
      <errorID>043f738a-7f27-4926-a154-8bc8eb81a1ef</errorID>
      <errorWord>[2021]</errorWord>
      <group>L1_Punc</group>
      <groupName>标点问题</groupName>
      <ability>L2_Punc_CN</ability>
      <abilityName>标点符号问题</abilityName>
      <candidateList>
        <item>〔2021〕</item>
      </candidateList>
      <explain/>
      <paraID>5BC7417D</paraID>
      <start>0</start>
      <end>36</end>
      <status>unmodified</status>
      <modifiedWord/>
      <trackRevisions>false</trackRevisions>
    </reviewItem>
    <reviewItem>
      <errorID>0abd6e7b-c5ba-407c-b1f9-6cfdaf62f245</errorID>
      <errorWord>[2017]</errorWord>
      <group>L1_Punc</group>
      <groupName>标点问题</groupName>
      <ability>L2_Punc_CN</ability>
      <abilityName>标点符号问题</abilityName>
      <candidateList>
        <item>〔2017〕</item>
      </candidateList>
      <explain/>
      <paraID>1D1F20B0</paraID>
      <start>3</start>
      <end>39</end>
      <status>unmodified</status>
      <modifiedWord/>
      <trackRevisions>false</trackRevisions>
    </reviewItem>
    <reviewItem>
      <errorID>f7a4553a-748a-4fd9-aff3-5aac19e9c4db</errorID>
      <errorWord>公</errorWord>
      <group>L1_Word</group>
      <groupName>字词问题</groupName>
      <ability>L2_Typo</ability>
      <abilityName>字词错误</abilityName>
      <candidateList>
        <item>公司</item>
      </candidateList>
      <explain/>
      <paraID>390E4F8F</paraID>
      <start>11</start>
      <end>12</end>
      <status>unmodified</status>
      <modifiedWord/>
      <trackRevisions>false</trackRevisions>
    </reviewItem>
    <reviewItem>
      <errorID>773e2bee-67de-4644-b797-d31298c7c2b9</errorID>
      <errorWord>[2017]</errorWord>
      <group>L1_Punc</group>
      <groupName>标点问题</groupName>
      <ability>L2_Punc_CN</ability>
      <abilityName>标点符号问题</abilityName>
      <candidateList>
        <item>〔2017〕</item>
      </candidateList>
      <explain/>
      <paraID>76187EBA</paraID>
      <start>3</start>
      <end>39</end>
      <status>unmodified</status>
      <modifiedWord/>
      <trackRevisions>false</trackRevisions>
    </reviewItem>
    <reviewItem>
      <errorID>c2d30523-8071-4290-be85-7cb4a706f0cb</errorID>
      <errorWord>[2017]</errorWord>
      <group>L1_Punc</group>
      <groupName>标点问题</groupName>
      <ability>L2_Punc_CN</ability>
      <abilityName>标点符号问题</abilityName>
      <candidateList>
        <item>〔2017〕</item>
      </candidateList>
      <explain/>
      <paraID> 159FD41</paraID>
      <start>3</start>
      <end>39</end>
      <status>unmodified</status>
      <modifiedWord/>
      <trackRevisions>false</trackRevisions>
    </reviewItem>
    <reviewItem>
      <errorID>494116c6-bff0-46f2-a769-8879722a9e67</errorID>
      <errorWord>公</errorWord>
      <group>L1_Word</group>
      <groupName>字词问题</groupName>
      <ability>L2_Typo</ability>
      <abilityName>字词错误</abilityName>
      <candidateList>
        <item>公司</item>
      </candidateList>
      <explain/>
      <paraID>273D96B6</paraID>
      <start>11</start>
      <end>12</end>
      <status>unmodified</status>
      <modifiedWord/>
      <trackRevisions>false</trackRevisions>
    </reviewItem>
    <reviewItem>
      <errorID>6ffcea91-8739-425c-b03e-10ec8b96e274</errorID>
      <errorWord>[2017]</errorWord>
      <group>L1_Punc</group>
      <groupName>标点问题</groupName>
      <ability>L2_Punc_CN</ability>
      <abilityName>标点符号问题</abilityName>
      <candidateList>
        <item>〔2017〕</item>
      </candidateList>
      <explain/>
      <paraID>6DC1035D</paraID>
      <start>3</start>
      <end>39</end>
      <status>unmodified</status>
      <modifiedWord/>
      <trackRevisions>false</trackRevisions>
    </reviewItem>
    <reviewItem>
      <errorID>478c9e8f-5a9a-4ec2-9031-61756be52fd5</errorID>
      <errorWord>[2022]</errorWord>
      <group>L1_Punc</group>
      <groupName>标点问题</groupName>
      <ability>L2_Punc_CN</ability>
      <abilityName>标点符号问题</abilityName>
      <candidateList>
        <item>〔2022〕</item>
      </candidateList>
      <explain/>
      <paraID>777DD83B</paraID>
      <start>0</start>
      <end>36</end>
      <status>unmodified</status>
      <modifiedWord/>
      <trackRevisions>false</trackRevisions>
    </reviewItem>
    <reviewItem>
      <errorID>c690b5ee-5f3c-4842-9273-49ca0b66b9b4</errorID>
      <errorWord>[2018]</errorWord>
      <group>L1_Punc</group>
      <groupName>标点问题</groupName>
      <ability>L2_Punc_CN</ability>
      <abilityName>标点符号问题</abilityName>
      <candidateList>
        <item>〔2018〕</item>
      </candidateList>
      <explain/>
      <paraID>7ADF2248</paraID>
      <start>3</start>
      <end>39</end>
      <status>unmodified</status>
      <modifiedWord/>
      <trackRevisions>false</trackRevisions>
    </reviewItem>
    <reviewItem>
      <errorID>1a62de60-89d9-4c5e-b001-1cc5296609a4</errorID>
      <errorWord>[2017]</errorWord>
      <group>L1_Punc</group>
      <groupName>标点问题</groupName>
      <ability>L2_Punc_CN</ability>
      <abilityName>标点符号问题</abilityName>
      <candidateList>
        <item>〔2017〕</item>
      </candidateList>
      <explain/>
      <paraID>194C8C21</paraID>
      <start>3</start>
      <end>39</end>
      <status>unmodified</status>
      <modifiedWord/>
      <trackRevisions>false</trackRevisions>
    </reviewItem>
    <reviewItem>
      <errorID>3095f2db-9cb4-41c8-84ef-cb75ee240150</errorID>
      <errorWord>[2018]</errorWord>
      <group>L1_Punc</group>
      <groupName>标点问题</groupName>
      <ability>L2_Punc_CN</ability>
      <abilityName>标点符号问题</abilityName>
      <candidateList>
        <item>〔2018〕</item>
      </candidateList>
      <explain/>
      <paraID>27174CB9</paraID>
      <start>3</start>
      <end>39</end>
      <status>unmodified</status>
      <modifiedWord/>
      <trackRevisions>false</trackRevisions>
    </reviewItem>
    <reviewItem>
      <errorID>19c0c44f-41b1-4993-a0de-fe9e42fab062</errorID>
      <errorWord>[2017]</errorWord>
      <group>L1_Punc</group>
      <groupName>标点问题</groupName>
      <ability>L2_Punc_CN</ability>
      <abilityName>标点符号问题</abilityName>
      <candidateList>
        <item>〔2017〕</item>
      </candidateList>
      <explain/>
      <paraID>7F750E94</paraID>
      <start>3</start>
      <end>39</end>
      <status>unmodified</status>
      <modifiedWord/>
      <trackRevisions>false</trackRevisions>
    </reviewItem>
    <reviewItem>
      <errorID>a36d0324-3ef9-4185-93f3-ed2f21a705c5</errorID>
      <errorWord>[2018]</errorWord>
      <group>L1_Punc</group>
      <groupName>标点问题</groupName>
      <ability>L2_Punc_CN</ability>
      <abilityName>标点符号问题</abilityName>
      <candidateList>
        <item>〔2018〕</item>
      </candidateList>
      <explain/>
      <paraID>7690D667</paraID>
      <start>3</start>
      <end>39</end>
      <status>unmodified</status>
      <modifiedWord/>
      <trackRevisions>false</trackRevisions>
    </reviewItem>
    <reviewItem>
      <errorID>58f29a8e-1193-495b-b8f5-a723f732e28f</errorID>
      <errorWord>[2017]</errorWord>
      <group>L1_Punc</group>
      <groupName>标点问题</groupName>
      <ability>L2_Punc_CN</ability>
      <abilityName>标点符号问题</abilityName>
      <candidateList>
        <item>〔2017〕</item>
      </candidateList>
      <explain/>
      <paraID>1C726050</paraID>
      <start>3</start>
      <end>39</end>
      <status>unmodified</status>
      <modifiedWord/>
      <trackRevisions>false</trackRevisions>
    </reviewItem>
    <reviewItem>
      <errorID>87b2c769-21f6-40ca-9e97-e521d9f27cb6</errorID>
      <errorWord>[2011]</errorWord>
      <group>L1_Punc</group>
      <groupName>标点问题</groupName>
      <ability>L2_Punc_CN</ability>
      <abilityName>标点符号问题</abilityName>
      <candidateList>
        <item>〔2011〕</item>
      </candidateList>
      <explain/>
      <paraID>5F9D38A0</paraID>
      <start>3</start>
      <end>39</end>
      <status>unmodified</status>
      <modifiedWord/>
      <trackRevisions>false</trackRevisions>
    </reviewItem>
    <reviewItem>
      <errorID>b0adbd16-cd95-441d-8bf7-81e2d16c47a7</errorID>
      <errorWord>[2018]</errorWord>
      <group>L1_Punc</group>
      <groupName>标点问题</groupName>
      <ability>L2_Punc_CN</ability>
      <abilityName>标点符号问题</abilityName>
      <candidateList>
        <item>〔2018〕</item>
      </candidateList>
      <explain/>
      <paraID>5F9D38A0</paraID>
      <start>48</start>
      <end>84</end>
      <status>unmodified</status>
      <modifiedWord/>
      <trackRevisions>false</trackRevisions>
    </reviewItem>
    <reviewItem>
      <errorID>0d881f9e-43ff-44ba-be39-6b99daec1da3</errorID>
      <errorWord>[2008]</errorWord>
      <group>L1_Punc</group>
      <groupName>标点问题</groupName>
      <ability>L2_Punc_CN</ability>
      <abilityName>标点符号问题</abilityName>
      <candidateList>
        <item>〔2008〕</item>
      </candidateList>
      <explain/>
      <paraID>4997397F</paraID>
      <start>3</start>
      <end>39</end>
      <status>unmodified</status>
      <modifiedWord/>
      <trackRevisions>false</trackRevisions>
    </reviewItem>
    <reviewItem>
      <errorID>918c502f-17aa-478b-a36f-14edbe02bcc9</errorID>
      <errorWord>[2018]</errorWord>
      <group>L1_Punc</group>
      <groupName>标点问题</groupName>
      <ability>L2_Punc_CN</ability>
      <abilityName>标点符号问题</abilityName>
      <candidateList>
        <item>〔2018〕</item>
      </candidateList>
      <explain/>
      <paraID>76E79E5C</paraID>
      <start>0</start>
      <end>36</end>
      <status>unmodified</status>
      <modifiedWord/>
      <trackRevisions>false</trackRevisions>
    </reviewItem>
    <reviewItem>
      <errorID>0f3de8eb-314c-4065-bee4-55fbaefd9543</errorID>
      <errorWord>呎</errorWord>
      <group>L1_Word</group>
      <groupName>字词问题</groupName>
      <ability>L2_Typo</ability>
      <abilityName>字词错误</abilityName>
      <candidateList>
        <item>英尺</item>
      </candidateList>
      <explain/>
      <paraID>128DD028</paraID>
      <start>14</start>
      <end>15</end>
      <status>unmodified</status>
      <modifiedWord/>
      <trackRevisions>false</trackRevisions>
    </reviewItem>
    <reviewItem>
      <errorID>522bc532-1ff2-400f-82aa-87804eceea3f</errorID>
      <errorWord>[2017]</errorWord>
      <group>L1_Punc</group>
      <groupName>标点问题</groupName>
      <ability>L2_Punc_CN</ability>
      <abilityName>标点符号问题</abilityName>
      <candidateList>
        <item>〔2017〕</item>
      </candidateList>
      <explain/>
      <paraID>7C0538B0</paraID>
      <start>3</start>
      <end>39</end>
      <status>unmodified</status>
      <modifiedWord/>
      <trackRevisions>false</trackRevisions>
    </reviewItem>
    <reviewItem>
      <errorID>87aff203-3690-4eb8-ac80-b11db7adbb20</errorID>
      <errorWord>07</errorWord>
      <group>L1_Word</group>
      <groupName>字词问题</groupName>
      <ability>L2_Typo</ability>
      <abilityName>字词错误</abilityName>
      <candidateList>
        <item>7</item>
      </candidateList>
      <explain/>
      <paraID>7C0538B0</paraID>
      <start>40</start>
      <end>42</end>
      <status>unmodified</status>
      <modifiedWord/>
      <trackRevisions>false</trackRevisions>
    </reviewItem>
    <reviewItem>
      <errorID>09253d0c-df6d-417c-9c73-0ccf4e86bf7c</errorID>
      <errorWord>有限公</errorWord>
      <group>L1_Word</group>
      <groupName>字词问题</groupName>
      <ability>L2_Typo</ability>
      <abilityName>字词错误</abilityName>
      <candidateList>
        <item>有限公司</item>
      </candidateList>
      <explain/>
      <paraID>6FF365CC</paraID>
      <start>9</start>
      <end>12</end>
      <status>unmodified</status>
      <modifiedWord/>
      <trackRevisions>false</trackRevisions>
    </reviewItem>
    <reviewItem>
      <errorID>a60363d1-a5f7-48da-ac89-bac3237908d5</errorID>
      <errorWord>[2017]</errorWord>
      <group>L1_Punc</group>
      <groupName>标点问题</groupName>
      <ability>L2_Punc_CN</ability>
      <abilityName>标点符号问题</abilityName>
      <candidateList>
        <item>〔2017〕</item>
      </candidateList>
      <explain/>
      <paraID>16171823</paraID>
      <start>3</start>
      <end>39</end>
      <status>unmodified</status>
      <modifiedWord/>
      <trackRevisions>false</trackRevisions>
    </reviewItem>
    <reviewItem>
      <errorID>a381fb1a-6685-466d-a9b5-435a523d0d8c</errorID>
      <errorWord>[2011]</errorWord>
      <group>L1_Punc</group>
      <groupName>标点问题</groupName>
      <ability>L2_Punc_CN</ability>
      <abilityName>标点符号问题</abilityName>
      <candidateList>
        <item>〔2011〕</item>
      </candidateList>
      <explain/>
      <paraID>7EBE5785</paraID>
      <start>3</start>
      <end>39</end>
      <status>unmodified</status>
      <modifiedWord/>
      <trackRevisions>false</trackRevisions>
    </reviewItem>
    <reviewItem>
      <errorID>6f782be1-15c9-4e60-b3ed-58ae02ee047c</errorID>
      <errorWord>[2017]</errorWord>
      <group>L1_Punc</group>
      <groupName>标点问题</groupName>
      <ability>L2_Punc_CN</ability>
      <abilityName>标点符号问题</abilityName>
      <candidateList>
        <item>〔2017〕</item>
      </candidateList>
      <explain/>
      <paraID>7EBE5785</paraID>
      <start>51</start>
      <end>87</end>
      <status>unmodified</status>
      <modifiedWord/>
      <trackRevisions>false</trackRevisions>
    </reviewItem>
    <reviewItem>
      <errorID>f66e7eea-8edf-4ddf-a45e-5eaa15f92730</errorID>
      <errorWord>[2018]</errorWord>
      <group>L1_Punc</group>
      <groupName>标点问题</groupName>
      <ability>L2_Punc_CN</ability>
      <abilityName>标点符号问题</abilityName>
      <candidateList>
        <item>〔2018〕</item>
      </candidateList>
      <explain/>
      <paraID>7EBE5785</paraID>
      <start>96</start>
      <end>132</end>
      <status>unmodified</status>
      <modifiedWord/>
      <trackRevisions>false</trackRevisions>
    </reviewItem>
    <reviewItem>
      <errorID>5577ba84-f2f5-4511-8bc4-c229c1db470e</errorID>
      <errorWord>公</errorWord>
      <group>L1_Word</group>
      <groupName>字词问题</groupName>
      <ability>L2_Typo</ability>
      <abilityName>字词错误</abilityName>
      <candidateList>
        <item>公司</item>
      </candidateList>
      <explain/>
      <paraID>4358A338</paraID>
      <start>11</start>
      <end>12</end>
      <status>unmodified</status>
      <modifiedWord/>
      <trackRevisions>false</trackRevisions>
    </reviewItem>
    <reviewItem>
      <errorID>bf36676c-e267-4ffd-aef9-ec51fde69873</errorID>
      <errorWord>[2015]</errorWord>
      <group>L1_Punc</group>
      <groupName>标点问题</groupName>
      <ability>L2_Punc_CN</ability>
      <abilityName>标点符号问题</abilityName>
      <candidateList>
        <item>〔2015〕</item>
      </candidateList>
      <explain/>
      <paraID>60904EEF</paraID>
      <start>3</start>
      <end>39</end>
      <status>unmodified</status>
      <modifiedWord/>
      <trackRevisions>false</trackRevisions>
    </reviewItem>
    <reviewItem>
      <errorID>ccde48ae-5138-4cbb-933e-0f6143bd0a60</errorID>
      <errorWord>公</errorWord>
      <group>L1_Word</group>
      <groupName>字词问题</groupName>
      <ability>L2_Typo</ability>
      <abilityName>字词错误</abilityName>
      <candidateList>
        <item>公司</item>
      </candidateList>
      <explain/>
      <paraID>18CB967F</paraID>
      <start>11</start>
      <end>12</end>
      <status>unmodified</status>
      <modifiedWord/>
      <trackRevisions>false</trackRevisions>
    </reviewItem>
    <reviewItem>
      <errorID>c9fa4fa2-4868-4ac4-a94a-5e8f4701b1bf</errorID>
      <errorWord>[2009]</errorWord>
      <group>L1_Punc</group>
      <groupName>标点问题</groupName>
      <ability>L2_Punc_CN</ability>
      <abilityName>标点符号问题</abilityName>
      <candidateList>
        <item>〔2009〕</item>
      </candidateList>
      <explain/>
      <paraID>1FFA44AB</paraID>
      <start>3</start>
      <end>39</end>
      <status>unmodified</status>
      <modifiedWord/>
      <trackRevisions>false</trackRevisions>
    </reviewItem>
    <reviewItem>
      <errorID>ee1b2a06-348f-49b6-9ee0-33e88823ae88</errorID>
      <errorWord>[2018]</errorWord>
      <group>L1_Punc</group>
      <groupName>标点问题</groupName>
      <ability>L2_Punc_CN</ability>
      <abilityName>标点符号问题</abilityName>
      <candidateList>
        <item>〔2018〕</item>
      </candidateList>
      <explain/>
      <paraID>342A6DC0</paraID>
      <start>3</start>
      <end>39</end>
      <status>unmodified</status>
      <modifiedWord/>
      <trackRevisions>false</trackRevisions>
    </reviewItem>
    <reviewItem>
      <errorID>dca45d41-4fcd-41b2-bb3d-2458fdbc289f</errorID>
      <errorWord>[2009]</errorWord>
      <group>L1_Punc</group>
      <groupName>标点问题</groupName>
      <ability>L2_Punc_CN</ability>
      <abilityName>标点符号问题</abilityName>
      <candidateList>
        <item>〔2009〕</item>
      </candidateList>
      <explain/>
      <paraID>4D2D0BE0</paraID>
      <start>3</start>
      <end>39</end>
      <status>unmodified</status>
      <modifiedWord/>
      <trackRevisions>false</trackRevisions>
    </reviewItem>
    <reviewItem>
      <errorID>3f1b3e79-6f00-4f9b-86c6-0f307d8f0588</errorID>
      <errorWord> </errorWord>
      <group>L1_Punc</group>
      <groupName>标点问题</groupName>
      <ability>L2_Punc_CN</ability>
      <abilityName>标点符号问题</abilityName>
      <candidateList>
        <item/>
      </candidateList>
      <explain>此处空格冗余，建议删除。</explain>
      <paraID>4D2D0BE0</paraID>
      <start>40</start>
      <end>41</end>
      <status>unmodified</status>
      <modifiedWord/>
      <trackRevisions>false</trackRevisions>
    </reviewItem>
    <reviewItem>
      <errorID>e487e475-5d42-4388-8e7d-7fee431b2406</errorID>
      <errorWord>[2011]</errorWord>
      <group>L1_Punc</group>
      <groupName>标点问题</groupName>
      <ability>L2_Punc_CN</ability>
      <abilityName>标点符号问题</abilityName>
      <candidateList>
        <item>〔2011〕</item>
      </candidateList>
      <explain/>
      <paraID>738CB4D8</paraID>
      <start>3</start>
      <end>39</end>
      <status>unmodified</status>
      <modifiedWord/>
      <trackRevisions>false</trackRevisions>
    </reviewItem>
    <reviewItem>
      <errorID>1ff6543f-a32d-434b-8dcc-30445c8dc7f8</errorID>
      <errorWord>[2018]</errorWord>
      <group>L1_Punc</group>
      <groupName>标点问题</groupName>
      <ability>L2_Punc_CN</ability>
      <abilityName>标点符号问题</abilityName>
      <candidateList>
        <item>〔2018〕</item>
      </candidateList>
      <explain/>
      <paraID>2405CE18</paraID>
      <start>3</start>
      <end>39</end>
      <status>unmodified</status>
      <modifiedWord/>
      <trackRevisions>false</trackRevisions>
    </reviewItem>
    <reviewItem>
      <errorID>1f4e52e0-5ee7-434a-b9c8-d69db0843bd8</errorID>
      <errorWord>公</errorWord>
      <group>L1_Word</group>
      <groupName>字词问题</groupName>
      <ability>L2_Typo</ability>
      <abilityName>字词错误</abilityName>
      <candidateList>
        <item>公司</item>
      </candidateList>
      <explain/>
      <paraID>709A3CE6</paraID>
      <start>11</start>
      <end>12</end>
      <status>unmodified</status>
      <modifiedWord/>
      <trackRevisions>false</trackRevisions>
    </reviewItem>
    <reviewItem>
      <errorID>41600cc1-bae1-4ab6-b5bb-d42f54b133a5</errorID>
      <errorWord>[2009]</errorWord>
      <group>L1_Punc</group>
      <groupName>标点问题</groupName>
      <ability>L2_Punc_CN</ability>
      <abilityName>标点符号问题</abilityName>
      <candidateList>
        <item>〔2009〕</item>
      </candidateList>
      <explain/>
      <paraID>494B687A</paraID>
      <start>3</start>
      <end>39</end>
      <status>unmodified</status>
      <modifiedWord/>
      <trackRevisions>false</trackRevisions>
    </reviewItem>
    <reviewItem>
      <errorID>0ddf90dd-16ab-4eb4-b50f-92b12c78b633</errorID>
      <errorWord>公</errorWord>
      <group>L1_Word</group>
      <groupName>字词问题</groupName>
      <ability>L2_Typo</ability>
      <abilityName>字词错误</abilityName>
      <candidateList>
        <item>公司</item>
      </candidateList>
      <explain/>
      <paraID>39FACC54</paraID>
      <start>11</start>
      <end>12</end>
      <status>unmodified</status>
      <modifiedWord/>
      <trackRevisions>false</trackRevisions>
    </reviewItem>
    <reviewItem>
      <errorID>b976dc42-7512-4cec-a705-df860a85b4b1</errorID>
      <errorWord>[2017]</errorWord>
      <group>L1_Punc</group>
      <groupName>标点问题</groupName>
      <ability>L2_Punc_CN</ability>
      <abilityName>标点符号问题</abilityName>
      <candidateList>
        <item>〔2017〕</item>
      </candidateList>
      <explain/>
      <paraID>59A7A0D6</paraID>
      <start>3</start>
      <end>39</end>
      <status>unmodified</status>
      <modifiedWord/>
      <trackRevisions>false</trackRevisions>
    </reviewItem>
    <reviewItem>
      <errorID>002b4355-aa1a-48c0-b178-1f4ce7034257</errorID>
      <errorWord>公</errorWord>
      <group>L1_Word</group>
      <groupName>字词问题</groupName>
      <ability>L2_Typo</ability>
      <abilityName>字词错误</abilityName>
      <candidateList>
        <item>公司</item>
      </candidateList>
      <explain/>
      <paraID>3653A916</paraID>
      <start>11</start>
      <end>12</end>
      <status>unmodified</status>
      <modifiedWord/>
      <trackRevisions>false</trackRevisions>
    </reviewItem>
    <reviewItem>
      <errorID>5ed69701-0f33-4b7d-bfe9-297bca86e482</errorID>
      <errorWord>[2016]</errorWord>
      <group>L1_Punc</group>
      <groupName>标点问题</groupName>
      <ability>L2_Punc_CN</ability>
      <abilityName>标点符号问题</abilityName>
      <candidateList>
        <item>〔2016〕</item>
      </candidateList>
      <explain/>
      <paraID>6AFC6DAF</paraID>
      <start>3</start>
      <end>39</end>
      <status>unmodified</status>
      <modifiedWord/>
      <trackRevisions>false</trackRevisions>
    </reviewItem>
    <reviewItem>
      <errorID>3060e3e0-963c-48b1-910c-5bc963f49fc7</errorID>
      <errorWord>[2018]</errorWord>
      <group>L1_Punc</group>
      <groupName>标点问题</groupName>
      <ability>L2_Punc_CN</ability>
      <abilityName>标点符号问题</abilityName>
      <candidateList>
        <item>〔2018〕</item>
      </candidateList>
      <explain/>
      <paraID>232225B6</paraID>
      <start>3</start>
      <end>39</end>
      <status>unmodified</status>
      <modifiedWord/>
      <trackRevisions>false</trackRevisions>
    </reviewItem>
    <reviewItem>
      <errorID>49bb182a-3105-45fc-8365-442c1fe0c8d7</errorID>
      <errorWord>[2023] </errorWord>
      <group>L1_Punc</group>
      <groupName>标点问题</groupName>
      <ability>L2_Punc_CN</ability>
      <abilityName>标点符号问题</abilityName>
      <candidateList>
        <item>〔2023〕</item>
      </candidateList>
      <explain/>
      <paraID>142EC942</paraID>
      <start>4</start>
      <end>42</end>
      <status>unmodified</status>
      <modifiedWord/>
      <trackRevisions>false</trackRevisions>
    </reviewItem>
    <reviewItem>
      <errorID>88820cbd-caa1-414f-b279-6a91012289c7</errorID>
      <errorWord>公</errorWord>
      <group>L1_Word</group>
      <groupName>字词问题</groupName>
      <ability>L2_Typo</ability>
      <abilityName>字词错误</abilityName>
      <candidateList>
        <item>公司</item>
      </candidateList>
      <explain/>
      <paraID>3C4EA6E3</paraID>
      <start>11</start>
      <end>12</end>
      <status>unmodified</status>
      <modifiedWord/>
      <trackRevisions>false</trackRevisions>
    </reviewItem>
    <reviewItem>
      <errorID>8cf284d2-7a89-4745-b6fa-00b9b5a74ada</errorID>
      <errorWord>公</errorWord>
      <group>L1_Word</group>
      <groupName>字词问题</groupName>
      <ability>L2_Typo</ability>
      <abilityName>字词错误</abilityName>
      <candidateList>
        <item>公司</item>
      </candidateList>
      <explain/>
      <paraID> A5F605A</paraID>
      <start>11</start>
      <end>12</end>
      <status>unmodified</status>
      <modifiedWord/>
      <trackRevisions>false</trackRevisions>
    </reviewItem>
    <reviewItem>
      <errorID>be50caff-0d8a-4b73-ad91-fd6a98614fce</errorID>
      <errorWord>[2011]</errorWord>
      <group>L1_Punc</group>
      <groupName>标点问题</groupName>
      <ability>L2_Punc_CN</ability>
      <abilityName>标点符号问题</abilityName>
      <candidateList>
        <item>〔2011〕</item>
      </candidateList>
      <explain/>
      <paraID>44E5BABF</paraID>
      <start>3</start>
      <end>39</end>
      <status>unmodified</status>
      <modifiedWord/>
      <trackRevisions>false</trackRevisions>
    </reviewItem>
    <reviewItem>
      <errorID>79570b7f-026d-4306-9746-177fba193c01</errorID>
      <errorWord>[2018]</errorWord>
      <group>L1_Punc</group>
      <groupName>标点问题</groupName>
      <ability>L2_Punc_CN</ability>
      <abilityName>标点符号问题</abilityName>
      <candidateList>
        <item>〔2018〕</item>
      </candidateList>
      <explain/>
      <paraID>6A7A805E</paraID>
      <start>0</start>
      <end>36</end>
      <status>unmodified</status>
      <modifiedWord/>
      <trackRevisions>false</trackRevisions>
    </reviewItem>
    <reviewItem>
      <errorID>b4d1a9dc-d867-4e2d-8c90-1ac0a7a89d2e</errorID>
      <errorWord>[2018]</errorWord>
      <group>L1_Punc</group>
      <groupName>标点问题</groupName>
      <ability>L2_Punc_CN</ability>
      <abilityName>标点符号问题</abilityName>
      <candidateList>
        <item>〔2018〕</item>
      </candidateList>
      <explain/>
      <paraID>6A7A805E</paraID>
      <start>45</start>
      <end>81</end>
      <status>unmodified</status>
      <modifiedWord/>
      <trackRevisions>false</trackRevisions>
    </reviewItem>
    <reviewItem>
      <errorID>89016d8c-f8cb-4c17-a6ab-9acdb586a2b9</errorID>
      <errorWord>[2012]</errorWord>
      <group>L1_Punc</group>
      <groupName>标点问题</groupName>
      <ability>L2_Punc_CN</ability>
      <abilityName>标点符号问题</abilityName>
      <candidateList>
        <item>〔2012〕</item>
      </candidateList>
      <explain/>
      <paraID>2EE6275C</paraID>
      <start>3</start>
      <end>39</end>
      <status>unmodified</status>
      <modifiedWord/>
      <trackRevisions>false</trackRevisions>
    </reviewItem>
    <reviewItem>
      <errorID>fa5b514d-083c-41c5-a8b2-07d8aea99f9f</errorID>
      <errorWord>公</errorWord>
      <group>L1_Word</group>
      <groupName>字词问题</groupName>
      <ability>L2_Typo</ability>
      <abilityName>字词错误</abilityName>
      <candidateList>
        <item>公司</item>
      </candidateList>
      <explain/>
      <paraID>3280E30E</paraID>
      <start>11</start>
      <end>12</end>
      <status>unmodified</status>
      <modifiedWord/>
      <trackRevisions>false</trackRevisions>
    </reviewItem>
    <reviewItem>
      <errorID>a12ae421-4183-4cb8-a77f-1acb2aa75f4e</errorID>
      <errorWord>[2011] </errorWord>
      <group>L1_Punc</group>
      <groupName>标点问题</groupName>
      <ability>L2_Punc_CN</ability>
      <abilityName>标点符号问题</abilityName>
      <candidateList>
        <item>〔2011〕</item>
      </candidateList>
      <explain/>
      <paraID> 50DDDA1</paraID>
      <start>3</start>
      <end>41</end>
      <status>unmodified</status>
      <modifiedWord/>
      <trackRevisions>false</trackRevisions>
    </reviewItem>
    <reviewItem>
      <errorID>51986fed-1473-439f-aa5f-961966cb1685</errorID>
      <errorWord>[2012] </errorWord>
      <group>L1_Punc</group>
      <groupName>标点问题</groupName>
      <ability>L2_Punc_CN</ability>
      <abilityName>标点符号问题</abilityName>
      <candidateList>
        <item>〔2012〕</item>
      </candidateList>
      <explain/>
      <paraID>6CAE15B0</paraID>
      <start>3</start>
      <end>41</end>
      <status>unmodified</status>
      <modifiedWord/>
      <trackRevisions>false</trackRevisions>
    </reviewItem>
    <reviewItem>
      <errorID>8485faa9-7615-49a7-9f46-4e39aa0cba59</errorID>
      <errorWord>[2010] </errorWord>
      <group>L1_Punc</group>
      <groupName>标点问题</groupName>
      <ability>L2_Punc_CN</ability>
      <abilityName>标点符号问题</abilityName>
      <candidateList>
        <item>〔2010〕</item>
      </candidateList>
      <explain/>
      <paraID>5CA30A91</paraID>
      <start>3</start>
      <end>41</end>
      <status>unmodified</status>
      <modifiedWord/>
      <trackRevisions>false</trackRevisions>
    </reviewItem>
    <reviewItem>
      <errorID>e414c5d0-2449-4c69-9d39-c50aa086cad5</errorID>
      <errorWord>[2018]</errorWord>
      <group>L1_Punc</group>
      <groupName>标点问题</groupName>
      <ability>L2_Punc_CN</ability>
      <abilityName>标点符号问题</abilityName>
      <candidateList>
        <item>〔2018〕</item>
      </candidateList>
      <explain/>
      <paraID>73514582</paraID>
      <start>3</start>
      <end>39</end>
      <status>unmodified</status>
      <modifiedWord/>
      <trackRevisions>false</trackRevisions>
    </reviewItem>
    <reviewItem>
      <errorID>182f5a18-8960-4f69-ab7e-6cf5e464239c</errorID>
      <errorWord>[2017]</errorWord>
      <group>L1_Punc</group>
      <groupName>标点问题</groupName>
      <ability>L2_Punc_CN</ability>
      <abilityName>标点符号问题</abilityName>
      <candidateList>
        <item>〔2017〕</item>
      </candidateList>
      <explain/>
      <paraID>25C48920</paraID>
      <start>3</start>
      <end>39</end>
      <status>unmodified</status>
      <modifiedWord/>
      <trackRevisions>false</trackRevisions>
    </reviewItem>
    <reviewItem>
      <errorID>6da8f59a-7616-4b04-baf9-44705965fb86</errorID>
      <errorWord>[2018]</errorWord>
      <group>L1_Punc</group>
      <groupName>标点问题</groupName>
      <ability>L2_Punc_CN</ability>
      <abilityName>标点符号问题</abilityName>
      <candidateList>
        <item>〔2018〕</item>
      </candidateList>
      <explain/>
      <paraID>1517E44C</paraID>
      <start>0</start>
      <end>36</end>
      <status>unmodified</status>
      <modifiedWord/>
      <trackRevisions>false</trackRevisions>
    </reviewItem>
    <reviewItem>
      <errorID>94653116-8cbe-48b7-8b42-090bc52abcf4</errorID>
      <errorWord>[2017]</errorWord>
      <group>L1_Punc</group>
      <groupName>标点问题</groupName>
      <ability>L2_Punc_CN</ability>
      <abilityName>标点符号问题</abilityName>
      <candidateList>
        <item>〔2017〕</item>
      </candidateList>
      <explain/>
      <paraID>7ADD418F</paraID>
      <start>3</start>
      <end>39</end>
      <status>unmodified</status>
      <modifiedWord/>
      <trackRevisions>false</trackRevisions>
    </reviewItem>
    <reviewItem>
      <errorID>b2d442b9-9b0e-4d00-a04a-9f42575137d2</errorID>
      <errorWord>[2019]</errorWord>
      <group>L1_Punc</group>
      <groupName>标点问题</groupName>
      <ability>L2_Punc_CN</ability>
      <abilityName>标点符号问题</abilityName>
      <candidateList>
        <item>〔2019〕</item>
      </candidateList>
      <explain/>
      <paraID>24DEE195</paraID>
      <start>3</start>
      <end>39</end>
      <status>unmodified</status>
      <modifiedWord/>
      <trackRevisions>false</trackRevisions>
    </reviewItem>
    <reviewItem>
      <errorID>db9f25fe-27ad-420f-b53d-46c74e50ae0c</errorID>
      <errorWord>[2017]</errorWord>
      <group>L1_Punc</group>
      <groupName>标点问题</groupName>
      <ability>L2_Punc_CN</ability>
      <abilityName>标点符号问题</abilityName>
      <candidateList>
        <item>〔2017〕</item>
      </candidateList>
      <explain/>
      <paraID>31D79C75</paraID>
      <start>3</start>
      <end>39</end>
      <status>unmodified</status>
      <modifiedWord/>
      <trackRevisions>false</trackRevisions>
    </reviewItem>
    <reviewItem>
      <errorID>85f98238-f056-4d37-ae3d-c9b3ecc33829</errorID>
      <errorWord>公</errorWord>
      <group>L1_Word</group>
      <groupName>字词问题</groupName>
      <ability>L2_Typo</ability>
      <abilityName>字词错误</abilityName>
      <candidateList>
        <item>公司</item>
      </candidateList>
      <explain/>
      <paraID>6342E3C2</paraID>
      <start>11</start>
      <end>12</end>
      <status>unmodified</status>
      <modifiedWord/>
      <trackRevisions>false</trackRevisions>
    </reviewItem>
    <reviewItem>
      <errorID>853ed01b-bf4f-422b-a0f6-3ee65454081d</errorID>
      <errorWord>[2018]</errorWord>
      <group>L1_Punc</group>
      <groupName>标点问题</groupName>
      <ability>L2_Punc_CN</ability>
      <abilityName>标点符号问题</abilityName>
      <candidateList>
        <item>〔2018〕</item>
      </candidateList>
      <explain/>
      <paraID> C7A9F98</paraID>
      <start>3</start>
      <end>39</end>
      <status>unmodified</status>
      <modifiedWord/>
      <trackRevisions>false</trackRevisions>
    </reviewItem>
    <reviewItem>
      <errorID>f49f2348-fa63-4e8a-a2bc-41eeb3e9baea</errorID>
      <errorWord>公</errorWord>
      <group>L1_Word</group>
      <groupName>字词问题</groupName>
      <ability>L2_Typo</ability>
      <abilityName>字词错误</abilityName>
      <candidateList>
        <item>公司</item>
      </candidateList>
      <explain/>
      <paraID>671A48EE</paraID>
      <start>11</start>
      <end>12</end>
      <status>unmodified</status>
      <modifiedWord/>
      <trackRevisions>false</trackRevisions>
    </reviewItem>
    <reviewItem>
      <errorID>da55d208-a01a-4122-bb93-1647312f36aa</errorID>
      <errorWord>公</errorWord>
      <group>L1_Word</group>
      <groupName>字词问题</groupName>
      <ability>L2_Typo</ability>
      <abilityName>字词错误</abilityName>
      <candidateList>
        <item>公司</item>
      </candidateList>
      <explain/>
      <paraID>3DC92046</paraID>
      <start>12</start>
      <end>13</end>
      <status>unmodified</status>
      <modifiedWord/>
      <trackRevisions>false</trackRevisions>
    </reviewItem>
    <reviewItem>
      <errorID>ed9175d1-0635-4b0f-90b1-a2796aa5356f</errorID>
      <errorWord>公</errorWord>
      <group>L1_Word</group>
      <groupName>字词问题</groupName>
      <ability>L2_Typo</ability>
      <abilityName>字词错误</abilityName>
      <candidateList>
        <item>公司</item>
      </candidateList>
      <explain/>
      <paraID>40E245BE</paraID>
      <start>11</start>
      <end>12</end>
      <status>unmodified</status>
      <modifiedWord/>
      <trackRevisions>false</trackRevisions>
    </reviewItem>
    <reviewItem>
      <errorID>d5ca3b82-40f5-4a5a-aebc-27cdf63b8b6b</errorID>
      <errorWord>公</errorWord>
      <group>L1_Word</group>
      <groupName>字词问题</groupName>
      <ability>L2_Typo</ability>
      <abilityName>字词错误</abilityName>
      <candidateList>
        <item>公司</item>
      </candidateList>
      <explain/>
      <paraID>1A88F4C9</paraID>
      <start>11</start>
      <end>12</end>
      <status>unmodified</status>
      <modifiedWord/>
      <trackRevisions>false</trackRevisions>
    </reviewItem>
    <reviewItem>
      <errorID>20cc2464-cea9-43aa-9994-fe77e7e82ea2</errorID>
      <errorWord>堂石</errorWord>
      <group>L1_Word</group>
      <groupName>字词问题</groupName>
      <ability>L2_Typo</ability>
      <abilityName>字词错误</abilityName>
      <candidateList>
        <item>萤石</item>
      </candidateList>
      <explain/>
      <paraID>7C3064F9</paraID>
      <start>2</start>
      <end>4</end>
      <status>unmodified</status>
      <modifiedWord/>
      <trackRevisions>false</trackRevisions>
    </reviewItem>
    <reviewItem>
      <errorID>6bcfbb90-9673-45c6-9e9f-30d81cd96dde</errorID>
      <errorWord>公</errorWord>
      <group>L1_Word</group>
      <groupName>字词问题</groupName>
      <ability>L2_Typo</ability>
      <abilityName>字词错误</abilityName>
      <candidateList>
        <item>公司</item>
      </candidateList>
      <explain/>
      <paraID>49C76773</paraID>
      <start>11</start>
      <end>12</end>
      <status>unmodified</status>
      <modifiedWord/>
      <trackRevisions>false</trackRevisions>
    </reviewItem>
    <reviewItem>
      <errorID>18c2586b-c37b-4694-9094-e2d42d29b561</errorID>
      <errorWord>[2017]</errorWord>
      <group>L1_Punc</group>
      <groupName>标点问题</groupName>
      <ability>L2_Punc_CN</ability>
      <abilityName>标点符号问题</abilityName>
      <candidateList>
        <item>〔2017〕</item>
      </candidateList>
      <explain/>
      <paraID> 21A75ED</paraID>
      <start>3</start>
      <end>39</end>
      <status>unmodified</status>
      <modifiedWord/>
      <trackRevisions>false</trackRevisions>
    </reviewItem>
    <reviewItem>
      <errorID>e0121f8d-37e4-413c-9212-8ace8cac6dad</errorID>
      <errorWord>公</errorWord>
      <group>L1_Word</group>
      <groupName>字词问题</groupName>
      <ability>L2_Typo</ability>
      <abilityName>字词错误</abilityName>
      <candidateList>
        <item>公司</item>
      </candidateList>
      <explain/>
      <paraID>2D4266F6</paraID>
      <start>11</start>
      <end>12</end>
      <status>unmodified</status>
      <modifiedWord/>
      <trackRevisions>false</trackRevisions>
    </reviewItem>
    <reviewItem>
      <errorID>d214e25b-cdf4-41f4-bbfc-2b3864c849b5</errorID>
      <errorWord>[2018]</errorWord>
      <group>L1_Punc</group>
      <groupName>标点问题</groupName>
      <ability>L2_Punc_CN</ability>
      <abilityName>标点符号问题</abilityName>
      <candidateList>
        <item>〔2018〕</item>
      </candidateList>
      <explain/>
      <paraID>6CC8BB4F</paraID>
      <start>3</start>
      <end>39</end>
      <status>unmodified</status>
      <modifiedWord/>
      <trackRevisions>false</trackRevisions>
    </reviewItem>
    <reviewItem>
      <errorID>c8ee0ffe-7907-44c3-99c5-6c69811251b8</errorID>
      <errorWord>公</errorWord>
      <group>L1_Word</group>
      <groupName>字词问题</groupName>
      <ability>L2_Typo</ability>
      <abilityName>字词错误</abilityName>
      <candidateList>
        <item>公司</item>
      </candidateList>
      <explain/>
      <paraID>45682454</paraID>
      <start>12</start>
      <end>13</end>
      <status>unmodified</status>
      <modifiedWord/>
      <trackRevisions>false</trackRevisions>
    </reviewItem>
    <reviewItem>
      <errorID>26ff7741-2600-45d5-9fa4-595ba0b38e49</errorID>
      <errorWord>[2017]</errorWord>
      <group>L1_Punc</group>
      <groupName>标点问题</groupName>
      <ability>L2_Punc_CN</ability>
      <abilityName>标点符号问题</abilityName>
      <candidateList>
        <item>〔2017〕</item>
      </candidateList>
      <explain/>
      <paraID>5F17DEF2</paraID>
      <start>3</start>
      <end>39</end>
      <status>unmodified</status>
      <modifiedWord/>
      <trackRevisions>false</trackRevisions>
    </reviewItem>
    <reviewItem>
      <errorID>7e51d705-cfc3-4a37-a53d-33bba7defdc5</errorID>
      <errorWord>[2023]</errorWord>
      <group>L1_Punc</group>
      <groupName>标点问题</groupName>
      <ability>L2_Punc_CN</ability>
      <abilityName>标点符号问题</abilityName>
      <candidateList>
        <item>〔2023〕</item>
      </candidateList>
      <explain/>
      <paraID>77D5C85E</paraID>
      <start>0</start>
      <end>36</end>
      <status>unmodified</status>
      <modifiedWord/>
      <trackRevisions>false</trackRevisions>
    </reviewItem>
    <reviewItem>
      <errorID>398f7c7d-c8ec-4245-ba49-3af6af208328</errorID>
      <errorWord>公</errorWord>
      <group>L1_Word</group>
      <groupName>字词问题</groupName>
      <ability>L2_Typo</ability>
      <abilityName>字词错误</abilityName>
      <candidateList>
        <item>公司</item>
      </candidateList>
      <explain/>
      <paraID>54BD1DDE</paraID>
      <start>11</start>
      <end>12</end>
      <status>unmodified</status>
      <modifiedWord/>
      <trackRevisions>false</trackRevisions>
    </reviewItem>
    <reviewItem>
      <errorID>44b465f0-327c-4aa1-9741-c5c35f7debf5</errorID>
      <errorWord>[2018]</errorWord>
      <group>L1_Punc</group>
      <groupName>标点问题</groupName>
      <ability>L2_Punc_CN</ability>
      <abilityName>标点符号问题</abilityName>
      <candidateList>
        <item>〔2018〕</item>
      </candidateList>
      <explain/>
      <paraID>7E4CF4D6</paraID>
      <start>3</start>
      <end>39</end>
      <status>unmodified</status>
      <modifiedWord/>
      <trackRevisions>false</trackRevisions>
    </reviewItem>
    <reviewItem>
      <errorID>996e62c8-0675-4109-9df9-6b4e36e82a00</errorID>
      <errorWord>[2018]</errorWord>
      <group>L1_Punc</group>
      <groupName>标点问题</groupName>
      <ability>L2_Punc_CN</ability>
      <abilityName>标点符号问题</abilityName>
      <candidateList>
        <item>〔2018〕</item>
      </candidateList>
      <explain/>
      <paraID>3D48A75E</paraID>
      <start>3</start>
      <end>39</end>
      <status>unmodified</status>
      <modifiedWord/>
      <trackRevisions>false</trackRevisions>
    </reviewItem>
    <reviewItem>
      <errorID>c1178232-8a73-4dfc-b4f3-26014790d7f3</errorID>
      <errorWord>[2022]</errorWord>
      <group>L1_Punc</group>
      <groupName>标点问题</groupName>
      <ability>L2_Punc_CN</ability>
      <abilityName>标点符号问题</abilityName>
      <candidateList>
        <item>〔2022〕</item>
      </candidateList>
      <explain/>
      <paraID> DE24DCA</paraID>
      <start>4</start>
      <end>40</end>
      <status>unmodified</status>
      <modifiedWord/>
      <trackRevisions>false</trackRevisions>
    </reviewItem>
    <reviewItem>
      <errorID>f5b23afd-6f3b-4a56-ab69-c0f79c9d1dea</errorID>
      <errorWord>[2018]</errorWord>
      <group>L1_Punc</group>
      <groupName>标点问题</groupName>
      <ability>L2_Punc_CN</ability>
      <abilityName>标点符号问题</abilityName>
      <candidateList>
        <item>〔2018〕</item>
      </candidateList>
      <explain/>
      <paraID>29F5501F</paraID>
      <start>3</start>
      <end>39</end>
      <status>unmodified</status>
      <modifiedWord/>
      <trackRevisions>false</trackRevisions>
    </reviewItem>
    <reviewItem>
      <errorID>c7a5e15e-56af-4677-8bc9-b9da281b0944</errorID>
      <errorWord>[2022]</errorWord>
      <group>L1_Punc</group>
      <groupName>标点问题</groupName>
      <ability>L2_Punc_CN</ability>
      <abilityName>标点符号问题</abilityName>
      <candidateList>
        <item>〔2022〕</item>
      </candidateList>
      <explain/>
      <paraID>5D480CBE</paraID>
      <start>0</start>
      <end>36</end>
      <status>unmodified</status>
      <modifiedWord/>
      <trackRevisions>false</trackRevisions>
    </reviewItem>
    <reviewItem>
      <errorID>e470702d-4e21-4bac-a3e8-ef5b8586be0d</errorID>
      <errorWord>均能</errorWord>
      <group>L1_Word</group>
      <groupName>字词问题</groupName>
      <ability>L2_Typo</ability>
      <abilityName>字词错误</abilityName>
      <candidateList>
        <item>均</item>
      </candidateList>
      <explain/>
      <paraID>3FAC2D87</paraID>
      <start>57</start>
      <end>59</end>
      <status>unmodified</status>
      <modifiedWord/>
      <trackRevisions>false</trackRevisions>
    </reviewItem>
    <reviewItem>
      <errorID>894e5a92-0abe-426b-bf0a-3c6106dd89fa</errorID>
      <errorWord>》（试行）</errorWord>
      <group>L1_Word</group>
      <groupName>字词问题</groupName>
      <ability>L2_Typo</ability>
      <abilityName>字词错误</abilityName>
      <candidateList>
        <item>（试行）》</item>
      </candidateList>
      <explain/>
      <paraID>32F7969E</paraID>
      <start>27</start>
      <end>32</end>
      <status>unmodified</status>
      <modifiedWord/>
      <trackRevisions>false</trackRevisions>
    </reviewItem>
    <reviewItem>
      <errorID>04f0a39e-575a-4360-9b61-3a74da75d90d</errorID>
      <errorWord>。。</errorWord>
      <group>L1_Punc</group>
      <groupName>标点问题</groupName>
      <ability>L2_Punc_CN</ability>
      <abilityName>标点符号问题</abilityName>
      <candidateList>
        <item>。</item>
      </candidateList>
      <explain/>
      <paraID>3E8A61FA</paraID>
      <start>166</start>
      <end>168</end>
      <status>unmodified</status>
      <modifiedWord/>
      <trackRevisions>false</trackRevisions>
    </reviewItem>
    <reviewItem>
      <errorID>7dcf6f1f-c673-41f1-a902-e2209fd539a7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24EAC5D2</paraID>
      <start>11</start>
      <end>12</end>
      <status>unmodified</status>
      <modifiedWord/>
      <trackRevisions>false</trackRevisions>
    </reviewItem>
    <reviewItem>
      <errorID>e761fe1f-9332-4fa2-acaf-7682a2802143</errorID>
      <errorWord>III类</errorWord>
      <group>L1_Knowledge</group>
      <groupName>知识性问题</groupName>
      <ability>L2_Knowledge</ability>
      <abilityName>其他知识</abilityName>
      <candidateList>
        <item>Ⅲ类</item>
      </candidateList>
      <explain>中文环境下罗马数字格式错误。</explain>
      <paraID>7A8E2AE6</paraID>
      <start>119</start>
      <end>123</end>
      <status>unmodified</status>
      <modifiedWord/>
      <trackRevisions>false</trackRevisions>
    </reviewItem>
    <reviewItem>
      <errorID>585e4dbc-cc58-4992-acd8-8e763d721c2e</errorID>
      <errorWord>III类</errorWord>
      <group>L1_Knowledge</group>
      <groupName>知识性问题</groupName>
      <ability>L2_Knowledge</ability>
      <abilityName>其他知识</abilityName>
      <candidateList>
        <item>Ⅲ类</item>
      </candidateList>
      <explain>中文环境下罗马数字格式错误。</explain>
      <paraID>7A8E2AE6</paraID>
      <start>157</start>
      <end>161</end>
      <status>unmodified</status>
      <modifiedWord/>
      <trackRevisions>false</trackRevisions>
    </reviewItem>
    <reviewItem>
      <errorID>431b1619-301c-405f-b96c-d67ad967349c</errorID>
      <errorWord>（</errorWord>
      <group>L1_Punc</group>
      <groupName>标点问题</groupName>
      <ability>L2_Punc_CN</ability>
      <abilityName>标点符号问题</abilityName>
      <candidateList/>
      <explain>同一形式括号套用。</explain>
      <paraID>78D7BE71</paraID>
      <start>40</start>
      <end>41</end>
      <status>unmodified</status>
      <modifiedWord/>
      <trackRevisions>false</trackRevisions>
    </reviewItem>
    <reviewItem>
      <errorID>2a97e822-cb13-43bb-8c21-03e772686ffc</errorID>
      <errorWord>）</errorWord>
      <group>L1_Punc</group>
      <groupName>标点问题</groupName>
      <ability>L2_Punc_CN</ability>
      <abilityName>标点符号问题</abilityName>
      <candidateList/>
      <explain>同一形式括号套用。</explain>
      <paraID>78D7BE71</paraID>
      <start>60</start>
      <end>61</end>
      <status>unmodified</status>
      <modifiedWord/>
      <trackRevisions>false</trackRevisions>
    </reviewItem>
    <reviewItem>
      <errorID>da45f040-32c9-48cb-a839-ea6184b79f6f</errorID>
      <errorWord>勘踏</errorWord>
      <group>L1_Knowledge</group>
      <groupName>知识性问题</groupName>
      <ability>L2_Knowledge</ability>
      <abilityName>其他知识</abilityName>
      <candidateList>
        <item>勘探</item>
      </candidateList>
      <explain/>
      <paraID>1283FAA1</paraID>
      <start>23</start>
      <end>25</end>
      <status>unmodified</status>
      <modifiedWord/>
      <trackRevisions>false</trackRevisions>
    </reviewItem>
    <reviewItem>
      <errorID>f96baf1f-b457-4649-aebc-51aaa118d260</errorID>
      <errorWord>（</errorWord>
      <group>L1_Format</group>
      <groupName>格式问题</groupName>
      <ability>L2_HalfPunc_CN</ability>
      <abilityName>全半角问题</abilityName>
      <candidateList>
        <item>(</item>
      </candidateList>
      <explain>文本全半角错误。</explain>
      <paraID>19CBDEB3</paraID>
      <start>3</start>
      <end>4</end>
      <status>unmodified</status>
      <modifiedWord/>
      <trackRevisions>false</trackRevisions>
    </reviewItem>
    <reviewItem>
      <errorID>1278825b-be01-470f-b2a2-646375159dad</errorID>
      <errorWord>）</errorWord>
      <group>L1_Format</group>
      <groupName>格式问题</groupName>
      <ability>L2_HalfPunc_CN</ability>
      <abilityName>全半角问题</abilityName>
      <candidateList>
        <item>)</item>
      </candidateList>
      <explain>文本全半角错误。</explain>
      <paraID>19CBDEB3</paraID>
      <start>9</start>
      <end>10</end>
      <status>unmodified</status>
      <modifiedWord/>
      <trackRevisions>false</trackRevisions>
    </reviewItem>
    <reviewItem>
      <errorID>0bf3e81b-9279-44d4-ac15-24fbb4548755</errorID>
      <errorWord>（</errorWord>
      <group>L1_Format</group>
      <groupName>格式问题</groupName>
      <ability>L2_HalfPunc_CN</ability>
      <abilityName>全半角问题</abilityName>
      <candidateList>
        <item>(</item>
      </candidateList>
      <explain>文本全半角错误。</explain>
      <paraID>78BE6F6F</paraID>
      <start>2</start>
      <end>3</end>
      <status>unmodified</status>
      <modifiedWord/>
      <trackRevisions>false</trackRevisions>
    </reviewItem>
    <reviewItem>
      <errorID>a82571cb-be8f-4ef9-b98a-e0c49511802c</errorID>
      <errorWord>）</errorWord>
      <group>L1_Format</group>
      <groupName>格式问题</groupName>
      <ability>L2_HalfPunc_CN</ability>
      <abilityName>全半角问题</abilityName>
      <candidateList>
        <item>)</item>
      </candidateList>
      <explain>文本全半角错误。</explain>
      <paraID>78BE6F6F</paraID>
      <start>4</start>
      <end>5</end>
      <status>unmodified</status>
      <modifiedWord/>
      <trackRevisions>false</trackRevisions>
    </reviewItem>
    <reviewItem>
      <errorID>8e0ce9d5-34ac-49a8-a708-daa48a3dd494</errorID>
      <errorWord>期</errorWord>
      <group>L1_Word</group>
      <groupName>字词问题</groupName>
      <ability>L2_Typo</ability>
      <abilityName>字词错误</abilityName>
      <candidateList>
        <item>期间</item>
      </candidateList>
      <explain/>
      <paraID>4467FED7</paraID>
      <start>193</start>
      <end>194</end>
      <status>unmodified</status>
      <modifiedWord/>
      <trackRevisions>false</trackRevisions>
    </reviewItem>
    <reviewItem>
      <errorID>dc4a6933-6890-4385-a18b-8338fab245bd</errorID>
      <errorWord>使用</errorWord>
      <group>L1_Grammar</group>
      <groupName>语法问题</groupName>
      <ability>L2_Grammar</ability>
      <abilityName>语法错误</abilityName>
      <candidateList>
        <item>采取</item>
      </candidateList>
      <explain>“使用～措施”搭配不当，建议修改为“采取～措施”。</explain>
      <paraID> 97691BD</paraID>
      <start>3</start>
      <end>5</end>
      <status>unmodified</status>
      <modifiedWord/>
      <trackRevisions>false</trackRevisions>
    </reviewItem>
    <reviewItem>
      <errorID>4fafa55d-f71b-400a-8dc8-15d24643a487</errorID>
      <errorWord>。</errorWord>
      <group>L1_Format</group>
      <groupName>格式问题</groupName>
      <ability>L2_HalfPunc_CN</ability>
      <abilityName>全半角问题</abilityName>
      <candidateList>
        <item>.</item>
      </candidateList>
      <explain>文本全半角错误。</explain>
      <paraID> 97691BD</paraID>
      <start>75</start>
      <end>76</end>
      <status>unmodified</status>
      <modifiedWord/>
      <trackRevisions>false</trackRevisions>
    </reviewItem>
    <reviewItem>
      <errorID>c578b5ca-0eea-471d-88c2-a3bec038c5db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5DBCE4B1</paraID>
      <start>137</start>
      <end>138</end>
      <status>unmodified</status>
      <modifiedWord/>
      <trackRevisions>false</trackRevisions>
    </reviewItem>
    <reviewItem>
      <errorID>c7c693c1-0b9f-4f46-a1d8-1d516cf6c0c4</errorID>
      <errorWord>采用为</errorWord>
      <group>L1_Word</group>
      <groupName>字词问题</groupName>
      <ability>L2_Typo</ability>
      <abilityName>字词错误</abilityName>
      <candidateList>
        <item>采用</item>
      </candidateList>
      <explain/>
      <paraID>78E4B5D9</paraID>
      <start>11</start>
      <end>14</end>
      <status>unmodified</status>
      <modifiedWord/>
      <trackRevisions>false</trackRevisions>
    </reviewItem>
    <reviewItem>
      <errorID>9c2392f7-2dcc-4129-ad9e-eb1ebcf5b45b</errorID>
      <errorWord>污水厂</errorWord>
      <group>L1_Word</group>
      <groupName>字词问题</groupName>
      <ability>L2_Typo</ability>
      <abilityName>字词错误</abilityName>
      <candidateList>
        <item>污水处理厂</item>
      </candidateList>
      <explain/>
      <paraID>78E4B5D9</paraID>
      <start>77</start>
      <end>80</end>
      <status>unmodified</status>
      <modifiedWord/>
      <trackRevisions>false</trackRevisions>
    </reviewItem>
    <reviewItem>
      <errorID>e0f43b04-082b-4126-a473-d24d6c9328ec</errorID>
      <errorWord>污水厂</errorWord>
      <group>L1_Word</group>
      <groupName>字词问题</groupName>
      <ability>L2_Typo</ability>
      <abilityName>字词错误</abilityName>
      <candidateList>
        <item>污水处理厂</item>
      </candidateList>
      <explain/>
      <paraID>78E4B5D9</paraID>
      <start>157</start>
      <end>160</end>
      <status>unmodified</status>
      <modifiedWord/>
      <trackRevisions>false</trackRevisions>
    </reviewItem>
    <reviewItem>
      <errorID>0822022a-89c1-4f4f-9a0c-3f269c02133f</errorID>
      <errorWord>别</errorWord>
      <group>L1_Word</group>
      <groupName>字词问题</groupName>
      <ability>L2_Typo</ability>
      <abilityName>字词错误</abilityName>
      <candidateList>
        <item>别是</item>
      </candidateList>
      <explain/>
      <paraID>102640D0</paraID>
      <start>42</start>
      <end>43</end>
      <status>unmodified</status>
      <modifiedWord/>
      <trackRevisions>false</trackRevisions>
    </reviewItem>
    <reviewItem>
      <errorID>a687e38b-4619-4252-82cc-f18985d2826a</errorID>
      <errorWord>沙石</errorWord>
      <group>L1_Word</group>
      <groupName>字词问题</groupName>
      <ability>L2_Typo</ability>
      <abilityName>字词错误</abilityName>
      <candidateList>
        <item>砂石</item>
      </candidateList>
      <explain>存在发音相同字词的误用。</explain>
      <paraID>137D4E35</paraID>
      <start>44</start>
      <end>46</end>
      <status>unmodified</status>
      <modifiedWord/>
      <trackRevisions>false</trackRevisions>
    </reviewItem>
    <reviewItem>
      <errorID>bfa485c7-45a3-4b60-97c5-40e0ea0a969c</errorID>
      <errorWord>（</errorWord>
      <group>L1_Punc</group>
      <groupName>标点问题</groupName>
      <ability>L2_Punc_CN</ability>
      <abilityName>标点符号问题</abilityName>
      <candidateList/>
      <explain>同一形式括号套用。</explain>
      <paraID>137D4E35</paraID>
      <start>63</start>
      <end>64</end>
      <status>unmodified</status>
      <modifiedWord/>
      <trackRevisions>false</trackRevisions>
    </reviewItem>
    <reviewItem>
      <errorID>ba3ea58f-38f5-4ffe-b52a-8f73e1c1742e</errorID>
      <errorWord>）</errorWord>
      <group>L1_Punc</group>
      <groupName>标点问题</groupName>
      <ability>L2_Punc_CN</ability>
      <abilityName>标点符号问题</abilityName>
      <candidateList/>
      <explain>同一形式括号套用。</explain>
      <paraID>137D4E35</paraID>
      <start>66</start>
      <end>67</end>
      <status>unmodified</status>
      <modifiedWord/>
      <trackRevisions>false</trackRevisions>
    </reviewItem>
    <reviewItem>
      <errorID>08106ecf-48e9-4c87-89d8-850be748aae2</errorID>
      <errorWord>油油</errorWord>
      <group>L1_Word</group>
      <groupName>字词问题</groupName>
      <ability>L2_Typo</ability>
      <abilityName>字词错误</abilityName>
      <candidateList>
        <item>油</item>
      </candidateList>
      <explain/>
      <paraID>2BEB02A3</paraID>
      <start>102</start>
      <end>104</end>
      <status>unmodified</status>
      <modifiedWord/>
      <trackRevisions>false</trackRevisions>
    </reviewItem>
    <reviewItem>
      <errorID>530d9466-79ba-4aee-83bf-5b4979152d06</errorID>
      <errorWord>程</errorWord>
      <group>L1_Word</group>
      <groupName>字词问题</groupName>
      <ability>L2_Typo</ability>
      <abilityName>字词错误</abilityName>
      <candidateList>
        <item>程中</item>
      </candidateList>
      <explain/>
      <paraID>278B0737</paraID>
      <start>368</start>
      <end>369</end>
      <status>unmodified</status>
      <modifiedWord/>
      <trackRevisions>false</trackRevisions>
    </reviewItem>
    <reviewItem>
      <errorID>fb089a73-ef40-482a-8da5-1f5173557213</errorID>
      <errorWord>（</errorWord>
      <group>L1_Punc</group>
      <groupName>标点问题</groupName>
      <ability>L2_Punc_CN</ability>
      <abilityName>标点符号问题</abilityName>
      <candidateList/>
      <explain>同一形式括号套用。</explain>
      <paraID>7952B881</paraID>
      <start>170</start>
      <end>171</end>
      <status>unmodified</status>
      <modifiedWord/>
      <trackRevisions>false</trackRevisions>
    </reviewItem>
    <reviewItem>
      <errorID>aef3018d-7a80-4424-ab2c-662881e9fa40</errorID>
      <errorWord>）</errorWord>
      <group>L1_Punc</group>
      <groupName>标点问题</groupName>
      <ability>L2_Punc_CN</ability>
      <abilityName>标点符号问题</abilityName>
      <candidateList/>
      <explain>同一形式括号套用。</explain>
      <paraID>7952B881</paraID>
      <start>185</start>
      <end>186</end>
      <status>unmodified</status>
      <modifiedWord/>
      <trackRevisions>false</trackRevisions>
    </reviewItem>
    <reviewItem>
      <errorID>e1d93f9b-dedb-4e29-96de-b64a901831cc</errorID>
      <errorWord>下</errorWord>
      <group>L1_Word</group>
      <groupName>字词问题</groupName>
      <ability>L2_Typo</ability>
      <abilityName>字词错误</abilityName>
      <candidateList>
        <item>所</item>
      </candidateList>
      <explain>存在字形相近字词的误用。</explain>
      <paraID>502D5FA2</paraID>
      <start>44</start>
      <end>45</end>
      <status>unmodified</status>
      <modifiedWord/>
      <trackRevisions>false</trackRevisions>
    </reviewItem>
    <reviewItem>
      <errorID>71ef7c9d-ff44-4f29-95d7-87e8f6c8e367</errorID>
      <errorWord>（</errorWord>
      <group>L1_Format</group>
      <groupName>格式问题</groupName>
      <ability>L2_HalfPunc_CN</ability>
      <abilityName>全半角问题</abilityName>
      <candidateList>
        <item>(</item>
      </candidateList>
      <explain>文本全半角错误。</explain>
      <paraID>1F26F871</paraID>
      <start>5</start>
      <end>6</end>
      <status>unmodified</status>
      <modifiedWord/>
      <trackRevisions>false</trackRevisions>
    </reviewItem>
    <reviewItem>
      <errorID>86d92d3a-3b27-473f-8e98-0ebe01b02fcb</errorID>
      <errorWord>）</errorWord>
      <group>L1_Format</group>
      <groupName>格式问题</groupName>
      <ability>L2_HalfPunc_CN</ability>
      <abilityName>全半角问题</abilityName>
      <candidateList>
        <item>)</item>
      </candidateList>
      <explain>文本全半角错误。</explain>
      <paraID>1F26F871</paraID>
      <start>9</start>
      <end>10</end>
      <status>unmodified</status>
      <modifiedWord/>
      <trackRevisions>false</trackRevisions>
    </reviewItem>
    <reviewItem>
      <errorID>27d1d39b-3c24-4dcc-91bd-a833f24f376d</errorID>
      <errorWord>（</errorWord>
      <group>L1_Format</group>
      <groupName>格式问题</groupName>
      <ability>L2_HalfPunc_CN</ability>
      <abilityName>全半角问题</abilityName>
      <candidateList>
        <item>(</item>
      </candidateList>
      <explain>文本全半角错误。</explain>
      <paraID>5A4754C8</paraID>
      <start>4</start>
      <end>5</end>
      <status>unmodified</status>
      <modifiedWord/>
      <trackRevisions>false</trackRevisions>
    </reviewItem>
    <reviewItem>
      <errorID>aec7ae7a-87af-4dbb-82a0-ef8c798d503d</errorID>
      <errorWord>）</errorWord>
      <group>L1_Format</group>
      <groupName>格式问题</groupName>
      <ability>L2_HalfPunc_CN</ability>
      <abilityName>全半角问题</abilityName>
      <candidateList>
        <item>)</item>
      </candidateList>
      <explain>文本全半角错误。</explain>
      <paraID>5A4754C8</paraID>
      <start>8</start>
      <end>9</end>
      <status>unmodified</status>
      <modifiedWord/>
      <trackRevisions>false</trackRevisions>
    </reviewItem>
    <reviewItem>
      <errorID>3e822f83-81fe-4825-ae68-5886ace12292</errorID>
      <errorWord>（</errorWord>
      <group>L1_Format</group>
      <groupName>格式问题</groupName>
      <ability>L2_HalfPunc_CN</ability>
      <abilityName>全半角问题</abilityName>
      <candidateList>
        <item>(</item>
      </candidateList>
      <explain>文本全半角错误。</explain>
      <paraID>45271220</paraID>
      <start>2</start>
      <end>3</end>
      <status>unmodified</status>
      <modifiedWord/>
      <trackRevisions>false</trackRevisions>
    </reviewItem>
    <reviewItem>
      <errorID>bdd65d67-4a56-40fc-ad92-2e14f20b8cd8</errorID>
      <errorWord>）</errorWord>
      <group>L1_Format</group>
      <groupName>格式问题</groupName>
      <ability>L2_HalfPunc_CN</ability>
      <abilityName>全半角问题</abilityName>
      <candidateList>
        <item>)</item>
      </candidateList>
      <explain>文本全半角错误。</explain>
      <paraID>45271220</paraID>
      <start>6</start>
      <end>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4d1aee-91e9-4760-83ad-a48291fe8e91}">
  <ds:schemaRefs/>
</ds:datastoreItem>
</file>

<file path=customXml/itemProps3.xml><?xml version="1.0" encoding="utf-8"?>
<ds:datastoreItem xmlns:ds="http://schemas.openxmlformats.org/officeDocument/2006/customXml" ds:itemID="{eee1ee8d-06fb-4a7d-bc1d-133b210c0fd6}">
  <ds:schemaRefs/>
</ds:datastoreItem>
</file>

<file path=docProps/app.xml><?xml version="1.0" encoding="utf-8"?>
<Properties xmlns="http://schemas.openxmlformats.org/officeDocument/2006/extended-properties" xmlns:vt="http://schemas.openxmlformats.org/officeDocument/2006/docPropsVTypes">
  <Template>Normal.dotm</Template>
  <Pages>103</Pages>
  <Words>414</Words>
  <Characters>457</Characters>
  <Paragraphs>3817</Paragraphs>
  <TotalTime>18</TotalTime>
  <ScaleCrop>false</ScaleCrop>
  <LinksUpToDate>false</LinksUpToDate>
  <CharactersWithSpaces>504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2022-04-28T02:26:00Z</dcterms:created>
  <dc:creator>O</dc:creator>
  <cp:lastModifiedBy>柳桤</cp:lastModifiedBy>
  <cp:lastPrinted>2024-10-17T02:17:00Z</cp:lastPrinted>
  <dcterms:modified xsi:type="dcterms:W3CDTF">2026-08-13T03:11:49Z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B2D24CAACB3348AAA9133E93964E2842_13</vt:lpwstr>
  </property>
  <property fmtid="{D5CDD505-2E9C-101B-9397-08002B2CF9AE}" pid="4" name="KSOTemplateDocerSaveRecord">
    <vt:lpwstr>eyJoZGlkIjoiODQzZjM4Y2JlY2VjZjE1YWMxZjcxOGU4N2IzNTk5OGEiLCJ1c2VySWQiOiI4NzIyMDUzOTgifQ==</vt:lpwstr>
  </property>
</Properties>
</file>